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F374" w14:textId="77777777" w:rsidR="00622FBF" w:rsidRPr="00490EED" w:rsidRDefault="00622FBF" w:rsidP="00D03A8B">
      <w:pPr>
        <w:pStyle w:val="Heading1"/>
        <w:spacing w:before="0" w:after="0"/>
        <w:jc w:val="left"/>
        <w:rPr>
          <w:sz w:val="28"/>
          <w:szCs w:val="28"/>
        </w:rPr>
      </w:pPr>
      <w:bookmarkStart w:id="0" w:name="_GoBack"/>
      <w:bookmarkEnd w:id="0"/>
      <w:r w:rsidRPr="00490EED">
        <w:rPr>
          <w:sz w:val="28"/>
          <w:szCs w:val="28"/>
        </w:rPr>
        <w:t>Museum Victoria Policy Statement</w:t>
      </w:r>
    </w:p>
    <w:p w14:paraId="37481AC0" w14:textId="77777777" w:rsidR="001A57C7" w:rsidRPr="00490EED" w:rsidRDefault="001A57C7" w:rsidP="00D03A8B">
      <w:pPr>
        <w:pStyle w:val="NoSpacing"/>
        <w:pBdr>
          <w:bottom w:val="single" w:sz="18" w:space="1" w:color="auto"/>
        </w:pBdr>
        <w:rPr>
          <w:b/>
          <w:sz w:val="28"/>
          <w:szCs w:val="28"/>
        </w:rPr>
      </w:pPr>
    </w:p>
    <w:p w14:paraId="643716AF" w14:textId="77777777" w:rsidR="001A57C7" w:rsidRPr="00490EED" w:rsidRDefault="001A57C7" w:rsidP="00D03A8B">
      <w:pPr>
        <w:pStyle w:val="NoSpacing"/>
        <w:rPr>
          <w:b/>
          <w:sz w:val="28"/>
          <w:szCs w:val="28"/>
        </w:rPr>
      </w:pPr>
    </w:p>
    <w:p w14:paraId="74395BB8" w14:textId="58463D27" w:rsidR="00A32AAE" w:rsidRPr="00490EED" w:rsidRDefault="00622FBF" w:rsidP="00D03A8B">
      <w:pPr>
        <w:pStyle w:val="Heading1"/>
        <w:spacing w:before="0" w:after="0"/>
        <w:jc w:val="left"/>
        <w:rPr>
          <w:sz w:val="28"/>
          <w:szCs w:val="28"/>
        </w:rPr>
      </w:pPr>
      <w:r w:rsidRPr="00490EED">
        <w:rPr>
          <w:sz w:val="28"/>
          <w:szCs w:val="28"/>
        </w:rPr>
        <w:t>Repatriation of Indigenous Cultural Property Policy</w:t>
      </w:r>
    </w:p>
    <w:p w14:paraId="7A978E3F" w14:textId="77777777" w:rsidR="00D03A8B" w:rsidRPr="00D03A8B" w:rsidRDefault="00D03A8B" w:rsidP="00D03A8B">
      <w:pPr>
        <w:spacing w:before="0"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licy Details"/>
      </w:tblPr>
      <w:tblGrid>
        <w:gridCol w:w="2886"/>
        <w:gridCol w:w="5427"/>
      </w:tblGrid>
      <w:tr w:rsidR="000130CE" w:rsidRPr="00355664" w14:paraId="58DC24AD" w14:textId="77777777" w:rsidTr="000368A2">
        <w:trPr>
          <w:trHeight w:val="243"/>
        </w:trPr>
        <w:tc>
          <w:tcPr>
            <w:tcW w:w="2943" w:type="dxa"/>
          </w:tcPr>
          <w:p w14:paraId="02BD9B7B" w14:textId="77777777" w:rsidR="000130CE" w:rsidRPr="00355664" w:rsidRDefault="000130CE" w:rsidP="00D03A8B">
            <w:pPr>
              <w:pStyle w:val="NoSpacing"/>
              <w:rPr>
                <w:sz w:val="20"/>
              </w:rPr>
            </w:pPr>
            <w:r w:rsidRPr="00355664">
              <w:rPr>
                <w:sz w:val="20"/>
              </w:rPr>
              <w:t>Policy Register Number</w:t>
            </w:r>
          </w:p>
        </w:tc>
        <w:tc>
          <w:tcPr>
            <w:tcW w:w="5586" w:type="dxa"/>
          </w:tcPr>
          <w:p w14:paraId="3F025DFA" w14:textId="61D2E716" w:rsidR="000130CE" w:rsidRPr="00355664" w:rsidRDefault="00C031D3" w:rsidP="00680EC7">
            <w:pPr>
              <w:pStyle w:val="NoSpacing"/>
              <w:rPr>
                <w:sz w:val="20"/>
              </w:rPr>
            </w:pPr>
            <w:r>
              <w:rPr>
                <w:sz w:val="20"/>
              </w:rPr>
              <w:t>DOC/16/7841</w:t>
            </w:r>
          </w:p>
        </w:tc>
      </w:tr>
      <w:tr w:rsidR="000130CE" w:rsidRPr="00355664" w14:paraId="3C13CE24" w14:textId="77777777" w:rsidTr="000368A2">
        <w:trPr>
          <w:trHeight w:val="237"/>
        </w:trPr>
        <w:tc>
          <w:tcPr>
            <w:tcW w:w="2943" w:type="dxa"/>
          </w:tcPr>
          <w:p w14:paraId="1077DE10" w14:textId="77777777" w:rsidR="000130CE" w:rsidRPr="00355664" w:rsidRDefault="000130CE" w:rsidP="00D03A8B">
            <w:pPr>
              <w:pStyle w:val="NoSpacing"/>
              <w:rPr>
                <w:sz w:val="20"/>
              </w:rPr>
            </w:pPr>
            <w:r w:rsidRPr="00355664">
              <w:rPr>
                <w:sz w:val="20"/>
              </w:rPr>
              <w:t>Date of Board Approval</w:t>
            </w:r>
          </w:p>
        </w:tc>
        <w:tc>
          <w:tcPr>
            <w:tcW w:w="5586" w:type="dxa"/>
          </w:tcPr>
          <w:p w14:paraId="618EBDCA" w14:textId="1C6728BE" w:rsidR="000130CE" w:rsidRPr="00355664" w:rsidRDefault="003A17F3" w:rsidP="00D03A8B">
            <w:pPr>
              <w:pStyle w:val="NoSpacing"/>
              <w:rPr>
                <w:sz w:val="20"/>
              </w:rPr>
            </w:pPr>
            <w:r>
              <w:rPr>
                <w:sz w:val="20"/>
              </w:rPr>
              <w:t>25 August 2016</w:t>
            </w:r>
          </w:p>
        </w:tc>
      </w:tr>
      <w:tr w:rsidR="000130CE" w:rsidRPr="00355664" w14:paraId="2E846CBC" w14:textId="77777777" w:rsidTr="000368A2">
        <w:trPr>
          <w:trHeight w:val="237"/>
        </w:trPr>
        <w:tc>
          <w:tcPr>
            <w:tcW w:w="2943" w:type="dxa"/>
          </w:tcPr>
          <w:p w14:paraId="5ED81A29" w14:textId="77777777" w:rsidR="000130CE" w:rsidRPr="00355664" w:rsidRDefault="000130CE" w:rsidP="00D03A8B">
            <w:pPr>
              <w:pStyle w:val="NoSpacing"/>
              <w:rPr>
                <w:sz w:val="20"/>
              </w:rPr>
            </w:pPr>
            <w:r w:rsidRPr="00355664">
              <w:rPr>
                <w:sz w:val="20"/>
              </w:rPr>
              <w:t>Responsibility</w:t>
            </w:r>
          </w:p>
        </w:tc>
        <w:tc>
          <w:tcPr>
            <w:tcW w:w="5586" w:type="dxa"/>
          </w:tcPr>
          <w:p w14:paraId="237083FE" w14:textId="110720AD" w:rsidR="000130CE" w:rsidRPr="00355664" w:rsidRDefault="000130CE" w:rsidP="00D03A8B">
            <w:pPr>
              <w:pStyle w:val="NoSpacing"/>
              <w:rPr>
                <w:sz w:val="20"/>
              </w:rPr>
            </w:pPr>
            <w:r>
              <w:rPr>
                <w:sz w:val="20"/>
              </w:rPr>
              <w:t>Head, Humanities</w:t>
            </w:r>
          </w:p>
        </w:tc>
      </w:tr>
      <w:tr w:rsidR="000130CE" w:rsidRPr="00355664" w14:paraId="09743205" w14:textId="77777777" w:rsidTr="000368A2">
        <w:trPr>
          <w:trHeight w:val="237"/>
        </w:trPr>
        <w:tc>
          <w:tcPr>
            <w:tcW w:w="2943" w:type="dxa"/>
          </w:tcPr>
          <w:p w14:paraId="294C2A63" w14:textId="77777777" w:rsidR="000130CE" w:rsidRPr="00355664" w:rsidRDefault="000130CE" w:rsidP="00D03A8B">
            <w:pPr>
              <w:pStyle w:val="NoSpacing"/>
              <w:rPr>
                <w:sz w:val="20"/>
              </w:rPr>
            </w:pPr>
            <w:r w:rsidRPr="00355664">
              <w:rPr>
                <w:sz w:val="20"/>
              </w:rPr>
              <w:t>Review Cycle</w:t>
            </w:r>
          </w:p>
        </w:tc>
        <w:tc>
          <w:tcPr>
            <w:tcW w:w="5586" w:type="dxa"/>
          </w:tcPr>
          <w:p w14:paraId="6A02D361" w14:textId="733BB705" w:rsidR="000130CE" w:rsidRPr="00355664" w:rsidRDefault="000130CE" w:rsidP="00D03A8B">
            <w:pPr>
              <w:pStyle w:val="NoSpacing"/>
              <w:rPr>
                <w:sz w:val="20"/>
              </w:rPr>
            </w:pPr>
            <w:r>
              <w:rPr>
                <w:sz w:val="20"/>
              </w:rPr>
              <w:t>Three-</w:t>
            </w:r>
            <w:r w:rsidRPr="00355664">
              <w:rPr>
                <w:sz w:val="20"/>
              </w:rPr>
              <w:t>yearly</w:t>
            </w:r>
          </w:p>
        </w:tc>
      </w:tr>
    </w:tbl>
    <w:p w14:paraId="3E9BA839" w14:textId="77777777" w:rsidR="00D71544" w:rsidRDefault="00D71544" w:rsidP="00D03A8B">
      <w:pPr>
        <w:spacing w:before="0" w:after="0"/>
      </w:pPr>
    </w:p>
    <w:p w14:paraId="749170F7" w14:textId="77777777" w:rsidR="00D71544" w:rsidRPr="00E1608B" w:rsidRDefault="00D71544" w:rsidP="00D03A8B">
      <w:pPr>
        <w:spacing w:before="0" w:after="0"/>
      </w:pPr>
    </w:p>
    <w:p w14:paraId="0369B4BE" w14:textId="3929891B" w:rsidR="00BE3AA8" w:rsidRPr="00703D70" w:rsidRDefault="00F51FA7" w:rsidP="00D03A8B">
      <w:pPr>
        <w:pStyle w:val="Heading2"/>
        <w:spacing w:before="0" w:after="0"/>
      </w:pPr>
      <w:r>
        <w:t>1</w:t>
      </w:r>
      <w:r>
        <w:tab/>
      </w:r>
      <w:r w:rsidR="00444E66" w:rsidRPr="00703D70">
        <w:t>Policy Objective/Intent</w:t>
      </w:r>
    </w:p>
    <w:p w14:paraId="09479DEA" w14:textId="77777777" w:rsidR="003B5722" w:rsidRPr="00703D70" w:rsidRDefault="003B5722" w:rsidP="00994174">
      <w:pPr>
        <w:spacing w:after="0"/>
      </w:pPr>
      <w:r w:rsidRPr="00703D70">
        <w:t>The purpose of this policy is to</w:t>
      </w:r>
      <w:r w:rsidR="001D0E0A" w:rsidRPr="00703D70">
        <w:t xml:space="preserve"> e</w:t>
      </w:r>
      <w:r w:rsidRPr="00703D70">
        <w:t>stablish clear principles</w:t>
      </w:r>
      <w:r w:rsidR="001D0E0A" w:rsidRPr="00703D70">
        <w:t xml:space="preserve"> </w:t>
      </w:r>
      <w:r w:rsidRPr="00703D70">
        <w:t xml:space="preserve">for the repatriation of </w:t>
      </w:r>
      <w:r w:rsidR="001D0E0A" w:rsidRPr="00703D70">
        <w:t>A</w:t>
      </w:r>
      <w:r w:rsidRPr="00703D70">
        <w:t xml:space="preserve">ncestral </w:t>
      </w:r>
      <w:r w:rsidR="001D0E0A" w:rsidRPr="00703D70">
        <w:t>R</w:t>
      </w:r>
      <w:r w:rsidRPr="00703D70">
        <w:t xml:space="preserve">emains, </w:t>
      </w:r>
      <w:r w:rsidR="001D0E0A" w:rsidRPr="00703D70">
        <w:t>G</w:t>
      </w:r>
      <w:r w:rsidRPr="00703D70">
        <w:t xml:space="preserve">rave </w:t>
      </w:r>
      <w:r w:rsidR="001D0E0A" w:rsidRPr="00703D70">
        <w:t>G</w:t>
      </w:r>
      <w:r w:rsidRPr="00703D70">
        <w:t xml:space="preserve">oods, </w:t>
      </w:r>
      <w:r w:rsidR="001D0E0A" w:rsidRPr="00703D70">
        <w:t>S</w:t>
      </w:r>
      <w:r w:rsidR="001C35B9">
        <w:t>ecret–</w:t>
      </w:r>
      <w:r w:rsidR="001D0E0A" w:rsidRPr="00703D70">
        <w:t>S</w:t>
      </w:r>
      <w:r w:rsidRPr="00703D70">
        <w:t xml:space="preserve">acred </w:t>
      </w:r>
      <w:r w:rsidR="001D0E0A" w:rsidRPr="00703D70">
        <w:t>O</w:t>
      </w:r>
      <w:r w:rsidRPr="00703D70">
        <w:t>bjects and other cultural property.</w:t>
      </w:r>
      <w:r w:rsidR="00276E87" w:rsidRPr="00703D70">
        <w:t xml:space="preserve"> This policy </w:t>
      </w:r>
      <w:r w:rsidR="001D0E0A" w:rsidRPr="00703D70">
        <w:t xml:space="preserve">affirms Museum Victoria’s commitment to community consultation to establish Traditional Ownership and ensure appropriate care for </w:t>
      </w:r>
      <w:r w:rsidR="00686B9A" w:rsidRPr="00703D70">
        <w:t xml:space="preserve">Ancestral </w:t>
      </w:r>
      <w:r w:rsidR="001C35B9">
        <w:t>Remains, Grave Goods and Secret–</w:t>
      </w:r>
      <w:r w:rsidR="00686B9A" w:rsidRPr="00703D70">
        <w:t>Sacred Objects</w:t>
      </w:r>
      <w:r w:rsidR="001D0E0A" w:rsidRPr="00703D70">
        <w:t xml:space="preserve"> in Museum Victoria’s collections.</w:t>
      </w:r>
    </w:p>
    <w:p w14:paraId="6C9439E7" w14:textId="77777777" w:rsidR="00D71544" w:rsidRDefault="00D71544" w:rsidP="00D03A8B">
      <w:pPr>
        <w:spacing w:before="0" w:after="0"/>
      </w:pPr>
    </w:p>
    <w:p w14:paraId="0D7E3A9F" w14:textId="77777777" w:rsidR="00D71544" w:rsidRPr="00E1608B" w:rsidRDefault="00D71544" w:rsidP="00D03A8B">
      <w:pPr>
        <w:spacing w:before="0" w:after="0"/>
      </w:pPr>
    </w:p>
    <w:p w14:paraId="55532265" w14:textId="49590346" w:rsidR="00BE3AA8" w:rsidRPr="00703D70" w:rsidRDefault="00444E66" w:rsidP="00D03A8B">
      <w:pPr>
        <w:pStyle w:val="Heading2"/>
        <w:spacing w:before="0" w:after="0"/>
      </w:pPr>
      <w:r>
        <w:t>2</w:t>
      </w:r>
      <w:r>
        <w:tab/>
      </w:r>
      <w:r w:rsidRPr="00703D70">
        <w:t>Policy Statement</w:t>
      </w:r>
    </w:p>
    <w:p w14:paraId="715B5E3F" w14:textId="77777777" w:rsidR="003B5722" w:rsidRPr="00703D70" w:rsidRDefault="001D0E0A" w:rsidP="00994174">
      <w:pPr>
        <w:spacing w:after="0"/>
      </w:pPr>
      <w:r w:rsidRPr="00703D70">
        <w:t>Museum Victoria’s repatriation of Indigenous cultural property is guided by international, national and state agreements, policies and legislation including the United Nations Declaration on the Rights of Indigenous Peoples</w:t>
      </w:r>
      <w:r w:rsidR="0041409B" w:rsidRPr="00703D70">
        <w:t xml:space="preserve">. </w:t>
      </w:r>
      <w:r w:rsidR="00686B9A" w:rsidRPr="00703D70">
        <w:t xml:space="preserve">Museum Victoria is </w:t>
      </w:r>
      <w:r w:rsidRPr="00703D70">
        <w:t>committed</w:t>
      </w:r>
      <w:r w:rsidR="003B5722" w:rsidRPr="00703D70">
        <w:t xml:space="preserve"> to the repatriation of</w:t>
      </w:r>
      <w:r w:rsidR="00276E87" w:rsidRPr="00703D70">
        <w:t xml:space="preserve"> A</w:t>
      </w:r>
      <w:r w:rsidR="003B5722" w:rsidRPr="00703D70">
        <w:t xml:space="preserve">ncestral </w:t>
      </w:r>
      <w:r w:rsidR="00276E87" w:rsidRPr="00703D70">
        <w:t>R</w:t>
      </w:r>
      <w:r w:rsidR="003B5722" w:rsidRPr="00703D70">
        <w:t>emains</w:t>
      </w:r>
      <w:r w:rsidR="001B586F" w:rsidRPr="00703D70">
        <w:t>, Grave Goods</w:t>
      </w:r>
      <w:r w:rsidR="003B5722" w:rsidRPr="00703D70">
        <w:t xml:space="preserve"> and </w:t>
      </w:r>
      <w:r w:rsidR="00276E87" w:rsidRPr="00703D70">
        <w:t>S</w:t>
      </w:r>
      <w:r w:rsidR="001C35B9">
        <w:t>ecret–</w:t>
      </w:r>
      <w:r w:rsidR="00276E87" w:rsidRPr="00703D70">
        <w:t>S</w:t>
      </w:r>
      <w:r w:rsidR="003B5722" w:rsidRPr="00703D70">
        <w:t xml:space="preserve">acred </w:t>
      </w:r>
      <w:r w:rsidR="00276E87" w:rsidRPr="00703D70">
        <w:t>O</w:t>
      </w:r>
      <w:r w:rsidR="003B5722" w:rsidRPr="00703D70">
        <w:t xml:space="preserve">bjects to their communities of origin. </w:t>
      </w:r>
      <w:r w:rsidR="00EE29B4" w:rsidRPr="00703D70">
        <w:t>Museum Victoria</w:t>
      </w:r>
      <w:r w:rsidR="003B5722" w:rsidRPr="00703D70">
        <w:t xml:space="preserve"> acknowledges that the removal of </w:t>
      </w:r>
      <w:r w:rsidR="00276E87" w:rsidRPr="00703D70">
        <w:t>A</w:t>
      </w:r>
      <w:r w:rsidR="003B5722" w:rsidRPr="00703D70">
        <w:t xml:space="preserve">ncestral </w:t>
      </w:r>
      <w:r w:rsidR="00276E87" w:rsidRPr="00703D70">
        <w:t>R</w:t>
      </w:r>
      <w:r w:rsidR="003B5722" w:rsidRPr="00703D70">
        <w:t>emains</w:t>
      </w:r>
      <w:r w:rsidR="001B586F" w:rsidRPr="00703D70">
        <w:t xml:space="preserve">, Grave Goods </w:t>
      </w:r>
      <w:r w:rsidR="003B5722" w:rsidRPr="00703D70">
        <w:t xml:space="preserve">and </w:t>
      </w:r>
      <w:r w:rsidR="00276E87" w:rsidRPr="00703D70">
        <w:t>S</w:t>
      </w:r>
      <w:r w:rsidR="001C35B9">
        <w:t>ecret–</w:t>
      </w:r>
      <w:r w:rsidR="00276E87" w:rsidRPr="00703D70">
        <w:t>S</w:t>
      </w:r>
      <w:r w:rsidR="003B5722" w:rsidRPr="00703D70">
        <w:t xml:space="preserve">acred </w:t>
      </w:r>
      <w:r w:rsidR="00276E87" w:rsidRPr="00703D70">
        <w:t>O</w:t>
      </w:r>
      <w:r w:rsidR="003B5722" w:rsidRPr="00703D70">
        <w:t xml:space="preserve">bjects by museums, universities and private collectors in past centuries was culturally inappropriate and that their return helps promote healing and reconciliation for Indigenous peoples. The museum </w:t>
      </w:r>
      <w:r w:rsidR="00276E87" w:rsidRPr="00703D70">
        <w:t>will</w:t>
      </w:r>
      <w:r w:rsidR="003B5722" w:rsidRPr="00703D70">
        <w:t xml:space="preserve"> continue to work proactively with Indigenous peoples to return </w:t>
      </w:r>
      <w:r w:rsidR="00276E87" w:rsidRPr="00703D70">
        <w:t>A</w:t>
      </w:r>
      <w:r w:rsidR="003B5722" w:rsidRPr="00703D70">
        <w:t xml:space="preserve">ncestral </w:t>
      </w:r>
      <w:r w:rsidR="00276E87" w:rsidRPr="00703D70">
        <w:t>R</w:t>
      </w:r>
      <w:r w:rsidR="003B5722" w:rsidRPr="00703D70">
        <w:t>emains</w:t>
      </w:r>
      <w:r w:rsidR="001B586F" w:rsidRPr="00703D70">
        <w:t>, Grave Goods</w:t>
      </w:r>
      <w:r w:rsidR="003B5722" w:rsidRPr="00703D70">
        <w:t xml:space="preserve"> and </w:t>
      </w:r>
      <w:r w:rsidR="00276E87" w:rsidRPr="00703D70">
        <w:t>S</w:t>
      </w:r>
      <w:r w:rsidR="001C35B9">
        <w:t>ecret–</w:t>
      </w:r>
      <w:r w:rsidR="00276E87" w:rsidRPr="00703D70">
        <w:t>S</w:t>
      </w:r>
      <w:r w:rsidR="003B5722" w:rsidRPr="00703D70">
        <w:t xml:space="preserve">acred </w:t>
      </w:r>
      <w:r w:rsidR="00276E87" w:rsidRPr="00703D70">
        <w:t>O</w:t>
      </w:r>
      <w:r w:rsidR="003B5722" w:rsidRPr="00703D70">
        <w:t xml:space="preserve">bjects to their </w:t>
      </w:r>
      <w:r w:rsidR="00F968D6" w:rsidRPr="00703D70">
        <w:t>T</w:t>
      </w:r>
      <w:r w:rsidR="003B5722" w:rsidRPr="00703D70">
        <w:t xml:space="preserve">raditional </w:t>
      </w:r>
      <w:r w:rsidR="00F968D6" w:rsidRPr="00703D70">
        <w:t>O</w:t>
      </w:r>
      <w:r w:rsidR="003B5722" w:rsidRPr="00703D70">
        <w:t xml:space="preserve">wners. </w:t>
      </w:r>
    </w:p>
    <w:p w14:paraId="5C091D57" w14:textId="77777777" w:rsidR="00D71544" w:rsidRDefault="00D71544" w:rsidP="00D03A8B">
      <w:pPr>
        <w:spacing w:before="0" w:after="0"/>
      </w:pPr>
    </w:p>
    <w:p w14:paraId="64B771C3" w14:textId="77777777" w:rsidR="00D71544" w:rsidRPr="00E1608B" w:rsidRDefault="00D71544" w:rsidP="00D03A8B">
      <w:pPr>
        <w:spacing w:before="0" w:after="0"/>
      </w:pPr>
    </w:p>
    <w:p w14:paraId="6E5F5102" w14:textId="56AA41EA" w:rsidR="00BE3AA8" w:rsidRPr="00703D70" w:rsidRDefault="00444E66" w:rsidP="00D03A8B">
      <w:pPr>
        <w:pStyle w:val="Heading2"/>
        <w:spacing w:before="0"/>
      </w:pPr>
      <w:r>
        <w:t>3</w:t>
      </w:r>
      <w:r>
        <w:tab/>
      </w:r>
      <w:r w:rsidRPr="00703D70">
        <w:t>Key Policy Principles</w:t>
      </w:r>
    </w:p>
    <w:p w14:paraId="59B3BCA0" w14:textId="13EE2E12" w:rsidR="001D0E0A" w:rsidRPr="001B75FB" w:rsidRDefault="001B75FB" w:rsidP="00D03A8B">
      <w:pPr>
        <w:spacing w:before="0" w:after="120"/>
        <w:ind w:left="720" w:hanging="731"/>
        <w:rPr>
          <w:rFonts w:cs="Arial"/>
          <w:szCs w:val="22"/>
        </w:rPr>
      </w:pPr>
      <w:r w:rsidRPr="001B75FB">
        <w:rPr>
          <w:rFonts w:cs="Arial"/>
          <w:szCs w:val="22"/>
        </w:rPr>
        <w:t>3.1</w:t>
      </w:r>
      <w:r w:rsidRPr="001B75FB">
        <w:rPr>
          <w:rFonts w:cs="Arial"/>
          <w:szCs w:val="22"/>
        </w:rPr>
        <w:tab/>
      </w:r>
      <w:r w:rsidR="001D0E0A" w:rsidRPr="001B75FB">
        <w:rPr>
          <w:rFonts w:cs="Arial"/>
          <w:szCs w:val="22"/>
        </w:rPr>
        <w:t>Museum Victoria will comply with all relevant legislation, conventions and statutory obligations relating to the repatriation of cultural property.</w:t>
      </w:r>
    </w:p>
    <w:p w14:paraId="5F582C8D" w14:textId="6060C1D3" w:rsidR="00686B9A" w:rsidRPr="001B75FB" w:rsidRDefault="001B75FB" w:rsidP="00D03A8B">
      <w:pPr>
        <w:spacing w:before="0" w:after="120"/>
        <w:ind w:left="720" w:hanging="734"/>
        <w:rPr>
          <w:rFonts w:cs="Arial"/>
          <w:szCs w:val="22"/>
        </w:rPr>
      </w:pPr>
      <w:r w:rsidRPr="001B75FB">
        <w:rPr>
          <w:rFonts w:cs="Arial"/>
          <w:szCs w:val="22"/>
        </w:rPr>
        <w:t>3.2</w:t>
      </w:r>
      <w:r w:rsidRPr="001B75FB">
        <w:rPr>
          <w:rFonts w:cs="Arial"/>
          <w:szCs w:val="22"/>
        </w:rPr>
        <w:tab/>
      </w:r>
      <w:r w:rsidR="003B5722" w:rsidRPr="001B75FB">
        <w:rPr>
          <w:rFonts w:cs="Arial"/>
          <w:szCs w:val="22"/>
        </w:rPr>
        <w:t xml:space="preserve">Museum Victoria will repatriate </w:t>
      </w:r>
      <w:r w:rsidR="00276E87" w:rsidRPr="001B75FB">
        <w:rPr>
          <w:rFonts w:cs="Arial"/>
          <w:szCs w:val="22"/>
        </w:rPr>
        <w:t>A</w:t>
      </w:r>
      <w:r w:rsidR="003B5722" w:rsidRPr="001B75FB">
        <w:rPr>
          <w:rFonts w:cs="Arial"/>
          <w:szCs w:val="22"/>
        </w:rPr>
        <w:t xml:space="preserve">ncestral </w:t>
      </w:r>
      <w:r w:rsidR="00276E87" w:rsidRPr="001B75FB">
        <w:rPr>
          <w:rFonts w:cs="Arial"/>
          <w:szCs w:val="22"/>
        </w:rPr>
        <w:t>R</w:t>
      </w:r>
      <w:r w:rsidR="003B5722" w:rsidRPr="001B75FB">
        <w:rPr>
          <w:rFonts w:cs="Arial"/>
          <w:szCs w:val="22"/>
        </w:rPr>
        <w:t xml:space="preserve">emains, </w:t>
      </w:r>
      <w:r w:rsidR="00276E87" w:rsidRPr="001B75FB">
        <w:rPr>
          <w:rFonts w:cs="Arial"/>
          <w:szCs w:val="22"/>
        </w:rPr>
        <w:t>G</w:t>
      </w:r>
      <w:r w:rsidR="003B5722" w:rsidRPr="001B75FB">
        <w:rPr>
          <w:rFonts w:cs="Arial"/>
          <w:szCs w:val="22"/>
        </w:rPr>
        <w:t xml:space="preserve">rave </w:t>
      </w:r>
      <w:r w:rsidR="00276E87" w:rsidRPr="001B75FB">
        <w:rPr>
          <w:rFonts w:cs="Arial"/>
          <w:szCs w:val="22"/>
        </w:rPr>
        <w:t>G</w:t>
      </w:r>
      <w:r w:rsidR="003B5722" w:rsidRPr="001B75FB">
        <w:rPr>
          <w:rFonts w:cs="Arial"/>
          <w:szCs w:val="22"/>
        </w:rPr>
        <w:t xml:space="preserve">oods and </w:t>
      </w:r>
      <w:r w:rsidR="00276E87" w:rsidRPr="001B75FB">
        <w:rPr>
          <w:rFonts w:cs="Arial"/>
          <w:szCs w:val="22"/>
        </w:rPr>
        <w:t>S</w:t>
      </w:r>
      <w:r w:rsidR="001C35B9" w:rsidRPr="001B75FB">
        <w:rPr>
          <w:rFonts w:cs="Arial"/>
          <w:szCs w:val="22"/>
        </w:rPr>
        <w:t>ecret–</w:t>
      </w:r>
      <w:r w:rsidR="00276E87" w:rsidRPr="001B75FB">
        <w:rPr>
          <w:rFonts w:cs="Arial"/>
          <w:szCs w:val="22"/>
        </w:rPr>
        <w:t>S</w:t>
      </w:r>
      <w:r w:rsidR="003B5722" w:rsidRPr="001B75FB">
        <w:rPr>
          <w:rFonts w:cs="Arial"/>
          <w:szCs w:val="22"/>
        </w:rPr>
        <w:t xml:space="preserve">acred </w:t>
      </w:r>
      <w:r w:rsidR="00276E87" w:rsidRPr="001B75FB">
        <w:rPr>
          <w:rFonts w:cs="Arial"/>
          <w:szCs w:val="22"/>
        </w:rPr>
        <w:t>O</w:t>
      </w:r>
      <w:r w:rsidR="003B5722" w:rsidRPr="001B75FB">
        <w:rPr>
          <w:rFonts w:cs="Arial"/>
          <w:szCs w:val="22"/>
        </w:rPr>
        <w:t xml:space="preserve">bjects to </w:t>
      </w:r>
      <w:r w:rsidR="00F968D6" w:rsidRPr="001B75FB">
        <w:rPr>
          <w:rFonts w:cs="Arial"/>
          <w:szCs w:val="22"/>
        </w:rPr>
        <w:t>T</w:t>
      </w:r>
      <w:r w:rsidR="003B5722" w:rsidRPr="001B75FB">
        <w:rPr>
          <w:rFonts w:cs="Arial"/>
          <w:szCs w:val="22"/>
        </w:rPr>
        <w:t xml:space="preserve">raditional </w:t>
      </w:r>
      <w:r w:rsidR="00F968D6" w:rsidRPr="001B75FB">
        <w:rPr>
          <w:rFonts w:cs="Arial"/>
          <w:szCs w:val="22"/>
        </w:rPr>
        <w:t>O</w:t>
      </w:r>
      <w:r w:rsidRPr="001B75FB">
        <w:rPr>
          <w:rFonts w:cs="Arial"/>
          <w:szCs w:val="22"/>
        </w:rPr>
        <w:t>wners.</w:t>
      </w:r>
    </w:p>
    <w:p w14:paraId="54B202AD" w14:textId="630B00E0" w:rsidR="00BE3AA8" w:rsidRPr="001B75FB" w:rsidRDefault="001B75FB" w:rsidP="00D03A8B">
      <w:pPr>
        <w:spacing w:before="0" w:after="0"/>
        <w:ind w:left="720" w:hanging="731"/>
        <w:rPr>
          <w:rFonts w:cs="Arial"/>
          <w:szCs w:val="22"/>
        </w:rPr>
      </w:pPr>
      <w:r w:rsidRPr="001B75FB">
        <w:rPr>
          <w:rFonts w:cs="Arial"/>
          <w:szCs w:val="22"/>
        </w:rPr>
        <w:t>3.3</w:t>
      </w:r>
      <w:r w:rsidRPr="001B75FB">
        <w:rPr>
          <w:rFonts w:cs="Arial"/>
          <w:szCs w:val="22"/>
        </w:rPr>
        <w:tab/>
      </w:r>
      <w:r w:rsidR="00BE3AA8" w:rsidRPr="001B75FB">
        <w:rPr>
          <w:rFonts w:cs="Arial"/>
          <w:szCs w:val="22"/>
        </w:rPr>
        <w:t>In addition to the repatriation of Ancestral Remains, Grave Goods and S</w:t>
      </w:r>
      <w:r w:rsidR="001C35B9" w:rsidRPr="001B75FB">
        <w:rPr>
          <w:rFonts w:cs="Arial"/>
          <w:szCs w:val="22"/>
        </w:rPr>
        <w:t>ecret–</w:t>
      </w:r>
      <w:r w:rsidR="00BE3AA8" w:rsidRPr="001B75FB">
        <w:rPr>
          <w:rFonts w:cs="Arial"/>
          <w:szCs w:val="22"/>
        </w:rPr>
        <w:t>Sacred Objects, Museum Victoria will consider requests for the repatriation of other cultural property to Traditional Owners. Each case will be considered on its merits, taking into account:</w:t>
      </w:r>
    </w:p>
    <w:p w14:paraId="4C1D7E70" w14:textId="77777777" w:rsidR="00BE3AA8" w:rsidRPr="001B75FB" w:rsidRDefault="00BE3AA8" w:rsidP="00D232EC">
      <w:pPr>
        <w:pStyle w:val="ListParagraph"/>
        <w:numPr>
          <w:ilvl w:val="0"/>
          <w:numId w:val="2"/>
        </w:numPr>
        <w:spacing w:before="0" w:after="0"/>
        <w:ind w:left="1077" w:hanging="357"/>
        <w:contextualSpacing w:val="0"/>
        <w:rPr>
          <w:rFonts w:cs="Arial"/>
          <w:lang w:val="en-AU"/>
        </w:rPr>
      </w:pPr>
      <w:r w:rsidRPr="001B75FB">
        <w:rPr>
          <w:rFonts w:cs="Arial"/>
          <w:lang w:val="en-AU"/>
        </w:rPr>
        <w:t>Museum Victoria’s legal title to the object</w:t>
      </w:r>
    </w:p>
    <w:p w14:paraId="2288757E" w14:textId="77777777" w:rsidR="00BE3AA8" w:rsidRPr="001B75FB" w:rsidRDefault="00BE3AA8" w:rsidP="00D232EC">
      <w:pPr>
        <w:pStyle w:val="ListParagraph"/>
        <w:numPr>
          <w:ilvl w:val="0"/>
          <w:numId w:val="2"/>
        </w:numPr>
        <w:spacing w:before="0" w:after="0"/>
        <w:ind w:left="1077" w:hanging="357"/>
        <w:contextualSpacing w:val="0"/>
        <w:rPr>
          <w:rFonts w:cs="Arial"/>
          <w:lang w:val="en-AU"/>
        </w:rPr>
      </w:pPr>
      <w:r w:rsidRPr="001B75FB">
        <w:rPr>
          <w:rFonts w:cs="Arial"/>
          <w:lang w:val="en-AU"/>
        </w:rPr>
        <w:t>whether the object would have been considered inalienable by the Traditional Owners at the time the object was removed</w:t>
      </w:r>
    </w:p>
    <w:p w14:paraId="68101E57" w14:textId="77777777" w:rsidR="00BE3AA8" w:rsidRPr="001B75FB" w:rsidRDefault="00BE3AA8" w:rsidP="00D232EC">
      <w:pPr>
        <w:pStyle w:val="ListParagraph"/>
        <w:numPr>
          <w:ilvl w:val="0"/>
          <w:numId w:val="2"/>
        </w:numPr>
        <w:spacing w:before="0" w:after="0"/>
        <w:ind w:left="1077" w:hanging="357"/>
        <w:contextualSpacing w:val="0"/>
        <w:rPr>
          <w:rFonts w:cs="Arial"/>
          <w:lang w:val="en-AU"/>
        </w:rPr>
      </w:pPr>
      <w:r w:rsidRPr="001B75FB">
        <w:rPr>
          <w:rFonts w:cs="Arial"/>
          <w:lang w:val="en-AU"/>
        </w:rPr>
        <w:t>the legal and ethical rights of the claimant, and the rights and opinions of other potential claimants</w:t>
      </w:r>
    </w:p>
    <w:p w14:paraId="4D68D8F4" w14:textId="77777777" w:rsidR="00BE3AA8" w:rsidRPr="001B75FB" w:rsidRDefault="00BE3AA8" w:rsidP="00D232EC">
      <w:pPr>
        <w:pStyle w:val="ListParagraph"/>
        <w:numPr>
          <w:ilvl w:val="0"/>
          <w:numId w:val="2"/>
        </w:numPr>
        <w:spacing w:before="0" w:after="120"/>
        <w:ind w:left="1077" w:hanging="357"/>
        <w:contextualSpacing w:val="0"/>
        <w:rPr>
          <w:rFonts w:cs="Arial"/>
          <w:lang w:val="en-AU"/>
        </w:rPr>
      </w:pPr>
      <w:r w:rsidRPr="001B75FB">
        <w:rPr>
          <w:rFonts w:cs="Arial"/>
          <w:lang w:val="en-AU"/>
        </w:rPr>
        <w:t>prevailing industry best practice and ethics.</w:t>
      </w:r>
    </w:p>
    <w:p w14:paraId="4A57F151" w14:textId="797F7318" w:rsidR="00BE3AA8" w:rsidRPr="001B75FB" w:rsidRDefault="001B75FB" w:rsidP="00D03A8B">
      <w:pPr>
        <w:spacing w:before="0" w:after="120"/>
        <w:ind w:left="720" w:hanging="731"/>
        <w:rPr>
          <w:rFonts w:cs="Arial"/>
          <w:szCs w:val="22"/>
        </w:rPr>
      </w:pPr>
      <w:r w:rsidRPr="001B75FB">
        <w:rPr>
          <w:rFonts w:cs="Arial"/>
          <w:szCs w:val="22"/>
        </w:rPr>
        <w:lastRenderedPageBreak/>
        <w:t>3.4</w:t>
      </w:r>
      <w:r w:rsidRPr="001B75FB">
        <w:rPr>
          <w:rFonts w:cs="Arial"/>
          <w:szCs w:val="22"/>
        </w:rPr>
        <w:tab/>
      </w:r>
      <w:r w:rsidR="00BE3AA8" w:rsidRPr="001B75FB">
        <w:rPr>
          <w:rFonts w:cs="Arial"/>
          <w:szCs w:val="22"/>
        </w:rPr>
        <w:t>Indigenous cultural property embodied in films, images, manuscripts and sound recordings would normally be returned in the form of copies of the cultural property, although requests for repatriation of the item will be considered.</w:t>
      </w:r>
    </w:p>
    <w:p w14:paraId="2AD180C0" w14:textId="296F6218" w:rsidR="00686B9A" w:rsidRPr="001B75FB" w:rsidRDefault="001B75FB" w:rsidP="00D03A8B">
      <w:pPr>
        <w:spacing w:before="0" w:after="120"/>
        <w:ind w:left="720" w:hanging="734"/>
        <w:rPr>
          <w:rFonts w:cs="Arial"/>
          <w:szCs w:val="22"/>
        </w:rPr>
      </w:pPr>
      <w:r w:rsidRPr="001B75FB">
        <w:rPr>
          <w:rFonts w:cs="Arial"/>
          <w:szCs w:val="22"/>
        </w:rPr>
        <w:t>3.5</w:t>
      </w:r>
      <w:r w:rsidRPr="001B75FB">
        <w:rPr>
          <w:rFonts w:cs="Arial"/>
          <w:szCs w:val="22"/>
        </w:rPr>
        <w:tab/>
      </w:r>
      <w:r w:rsidR="003B5722" w:rsidRPr="001B75FB">
        <w:rPr>
          <w:rFonts w:cs="Arial"/>
          <w:szCs w:val="22"/>
        </w:rPr>
        <w:t xml:space="preserve">Upon receipt of a written request for repatriation, </w:t>
      </w:r>
      <w:r w:rsidR="00686B9A" w:rsidRPr="001B75FB">
        <w:rPr>
          <w:rFonts w:cs="Arial"/>
          <w:szCs w:val="22"/>
        </w:rPr>
        <w:t xml:space="preserve">Museum Victoria </w:t>
      </w:r>
      <w:r w:rsidR="003B5722" w:rsidRPr="001B75FB">
        <w:rPr>
          <w:rFonts w:cs="Arial"/>
          <w:szCs w:val="22"/>
        </w:rPr>
        <w:t xml:space="preserve">will </w:t>
      </w:r>
      <w:r w:rsidR="00BE3AA8" w:rsidRPr="001B75FB">
        <w:rPr>
          <w:rFonts w:cs="Arial"/>
          <w:szCs w:val="22"/>
        </w:rPr>
        <w:t>consult with communities</w:t>
      </w:r>
      <w:r w:rsidR="003B5722" w:rsidRPr="001B75FB">
        <w:rPr>
          <w:rFonts w:cs="Arial"/>
          <w:szCs w:val="22"/>
        </w:rPr>
        <w:t xml:space="preserve"> to determine the rightful </w:t>
      </w:r>
      <w:r w:rsidR="00276E87" w:rsidRPr="001B75FB">
        <w:rPr>
          <w:rFonts w:cs="Arial"/>
          <w:szCs w:val="22"/>
        </w:rPr>
        <w:t>T</w:t>
      </w:r>
      <w:r w:rsidR="003B5722" w:rsidRPr="001B75FB">
        <w:rPr>
          <w:rFonts w:cs="Arial"/>
          <w:szCs w:val="22"/>
        </w:rPr>
        <w:t xml:space="preserve">raditional </w:t>
      </w:r>
      <w:r w:rsidR="00276E87" w:rsidRPr="001B75FB">
        <w:rPr>
          <w:rFonts w:cs="Arial"/>
          <w:szCs w:val="22"/>
        </w:rPr>
        <w:t>O</w:t>
      </w:r>
      <w:r w:rsidR="003B5722" w:rsidRPr="001B75FB">
        <w:rPr>
          <w:rFonts w:cs="Arial"/>
          <w:szCs w:val="22"/>
        </w:rPr>
        <w:t>wners. This consultation will include informing other potential interested parties of the active request.</w:t>
      </w:r>
      <w:r w:rsidR="00686B9A" w:rsidRPr="001B75FB">
        <w:rPr>
          <w:rFonts w:cs="Arial"/>
          <w:szCs w:val="22"/>
        </w:rPr>
        <w:t xml:space="preserve"> In the event of any conflicting claims, the museum will inform relevant parties of the conflicting claims and encourage parties to negotiate and reach a mutually acceptable solution. Where appropriate</w:t>
      </w:r>
      <w:r w:rsidR="007D3AFB" w:rsidRPr="001B75FB">
        <w:rPr>
          <w:rFonts w:cs="Arial"/>
          <w:szCs w:val="22"/>
        </w:rPr>
        <w:t>,</w:t>
      </w:r>
      <w:r w:rsidR="00686B9A" w:rsidRPr="001B75FB">
        <w:rPr>
          <w:rFonts w:cs="Arial"/>
          <w:szCs w:val="22"/>
        </w:rPr>
        <w:t xml:space="preserve"> the museum will endeavo</w:t>
      </w:r>
      <w:r w:rsidR="00703D70" w:rsidRPr="001B75FB">
        <w:rPr>
          <w:rFonts w:cs="Arial"/>
          <w:szCs w:val="22"/>
        </w:rPr>
        <w:t>u</w:t>
      </w:r>
      <w:r w:rsidR="00686B9A" w:rsidRPr="001B75FB">
        <w:rPr>
          <w:rFonts w:cs="Arial"/>
          <w:szCs w:val="22"/>
        </w:rPr>
        <w:t>r to assist in the resolution of those claims. The museum may defer decisions regarding repatriation until the parties have reached a resolution.</w:t>
      </w:r>
    </w:p>
    <w:p w14:paraId="424514CD" w14:textId="31130EA8" w:rsidR="003B5722" w:rsidRPr="001B75FB" w:rsidRDefault="001B75FB" w:rsidP="00D03A8B">
      <w:pPr>
        <w:spacing w:before="0" w:after="120"/>
        <w:ind w:left="720" w:hanging="731"/>
        <w:rPr>
          <w:rFonts w:cs="Arial"/>
          <w:szCs w:val="22"/>
        </w:rPr>
      </w:pPr>
      <w:r w:rsidRPr="001B75FB">
        <w:rPr>
          <w:rFonts w:cs="Arial"/>
          <w:szCs w:val="22"/>
        </w:rPr>
        <w:t>3.6</w:t>
      </w:r>
      <w:r w:rsidRPr="001B75FB">
        <w:rPr>
          <w:rFonts w:cs="Arial"/>
          <w:szCs w:val="22"/>
        </w:rPr>
        <w:tab/>
      </w:r>
      <w:r w:rsidR="00EE29B4" w:rsidRPr="001B75FB">
        <w:rPr>
          <w:rFonts w:cs="Arial"/>
          <w:szCs w:val="22"/>
        </w:rPr>
        <w:t>Museum Victoria</w:t>
      </w:r>
      <w:r w:rsidR="003B5722" w:rsidRPr="001B75FB">
        <w:rPr>
          <w:rFonts w:cs="Arial"/>
          <w:szCs w:val="22"/>
        </w:rPr>
        <w:t xml:space="preserve"> </w:t>
      </w:r>
      <w:r w:rsidR="00D03E1D" w:rsidRPr="001B75FB">
        <w:rPr>
          <w:rFonts w:cs="Arial"/>
          <w:szCs w:val="22"/>
        </w:rPr>
        <w:t>will</w:t>
      </w:r>
      <w:r w:rsidR="003B5722" w:rsidRPr="001B75FB">
        <w:rPr>
          <w:rFonts w:cs="Arial"/>
          <w:szCs w:val="22"/>
        </w:rPr>
        <w:t xml:space="preserve"> provide all available information on the collections to relevant Indigenous communities and </w:t>
      </w:r>
      <w:r w:rsidR="00D03E1D" w:rsidRPr="001B75FB">
        <w:rPr>
          <w:rFonts w:cs="Arial"/>
          <w:szCs w:val="22"/>
        </w:rPr>
        <w:t>T</w:t>
      </w:r>
      <w:r w:rsidR="003B5722" w:rsidRPr="001B75FB">
        <w:rPr>
          <w:rFonts w:cs="Arial"/>
          <w:szCs w:val="22"/>
        </w:rPr>
        <w:t xml:space="preserve">raditional </w:t>
      </w:r>
      <w:r w:rsidR="00D03E1D" w:rsidRPr="001B75FB">
        <w:rPr>
          <w:rFonts w:cs="Arial"/>
          <w:szCs w:val="22"/>
        </w:rPr>
        <w:t>O</w:t>
      </w:r>
      <w:r w:rsidR="003B5722" w:rsidRPr="001B75FB">
        <w:rPr>
          <w:rFonts w:cs="Arial"/>
          <w:szCs w:val="22"/>
        </w:rPr>
        <w:t>wners</w:t>
      </w:r>
      <w:r w:rsidR="00686B9A" w:rsidRPr="001B75FB">
        <w:rPr>
          <w:rFonts w:cs="Arial"/>
          <w:szCs w:val="22"/>
        </w:rPr>
        <w:t>.</w:t>
      </w:r>
    </w:p>
    <w:p w14:paraId="6F3BC826" w14:textId="43261800" w:rsidR="003B5722" w:rsidRPr="001B75FB" w:rsidRDefault="001B75FB" w:rsidP="00D03A8B">
      <w:pPr>
        <w:spacing w:before="0" w:after="120"/>
        <w:ind w:left="720" w:hanging="731"/>
        <w:rPr>
          <w:rFonts w:cs="Arial"/>
          <w:szCs w:val="22"/>
        </w:rPr>
      </w:pPr>
      <w:r w:rsidRPr="001B75FB">
        <w:rPr>
          <w:rFonts w:cs="Arial"/>
          <w:szCs w:val="22"/>
        </w:rPr>
        <w:t>3.7</w:t>
      </w:r>
      <w:r w:rsidRPr="001B75FB">
        <w:rPr>
          <w:rFonts w:cs="Arial"/>
          <w:szCs w:val="22"/>
        </w:rPr>
        <w:tab/>
      </w:r>
      <w:r w:rsidR="003B5722" w:rsidRPr="001B75FB">
        <w:rPr>
          <w:rFonts w:cs="Arial"/>
          <w:szCs w:val="22"/>
        </w:rPr>
        <w:t xml:space="preserve">Where the provenance of </w:t>
      </w:r>
      <w:r w:rsidR="00F968D6" w:rsidRPr="001B75FB">
        <w:rPr>
          <w:rFonts w:cs="Arial"/>
          <w:szCs w:val="22"/>
        </w:rPr>
        <w:t>A</w:t>
      </w:r>
      <w:r w:rsidR="003B5722" w:rsidRPr="001B75FB">
        <w:rPr>
          <w:rFonts w:cs="Arial"/>
          <w:szCs w:val="22"/>
        </w:rPr>
        <w:t xml:space="preserve">ncestral </w:t>
      </w:r>
      <w:r w:rsidR="00F968D6" w:rsidRPr="001B75FB">
        <w:rPr>
          <w:rFonts w:cs="Arial"/>
          <w:szCs w:val="22"/>
        </w:rPr>
        <w:t>R</w:t>
      </w:r>
      <w:r w:rsidR="003B5722" w:rsidRPr="001B75FB">
        <w:rPr>
          <w:rFonts w:cs="Arial"/>
          <w:szCs w:val="22"/>
        </w:rPr>
        <w:t xml:space="preserve">emains is not recorded, </w:t>
      </w:r>
      <w:r w:rsidR="00EE29B4" w:rsidRPr="001B75FB">
        <w:rPr>
          <w:rFonts w:cs="Arial"/>
          <w:szCs w:val="22"/>
        </w:rPr>
        <w:t xml:space="preserve">Museum Victoria </w:t>
      </w:r>
      <w:r w:rsidR="00D03E1D" w:rsidRPr="001B75FB">
        <w:rPr>
          <w:rFonts w:cs="Arial"/>
          <w:szCs w:val="22"/>
        </w:rPr>
        <w:t>will</w:t>
      </w:r>
      <w:r w:rsidR="003B5722" w:rsidRPr="001B75FB">
        <w:rPr>
          <w:rFonts w:cs="Arial"/>
          <w:szCs w:val="22"/>
        </w:rPr>
        <w:t xml:space="preserve"> work collaboratively with relevant commu</w:t>
      </w:r>
      <w:r w:rsidR="007D3AFB" w:rsidRPr="001B75FB">
        <w:rPr>
          <w:rFonts w:cs="Arial"/>
          <w:szCs w:val="22"/>
        </w:rPr>
        <w:t>nity representatives and organis</w:t>
      </w:r>
      <w:r w:rsidR="003B5722" w:rsidRPr="001B75FB">
        <w:rPr>
          <w:rFonts w:cs="Arial"/>
          <w:szCs w:val="22"/>
        </w:rPr>
        <w:t>ations and relevant government agencies to facilitate the development of solutions that enable culturally appropriate repatriation.</w:t>
      </w:r>
    </w:p>
    <w:p w14:paraId="637A452D" w14:textId="27739117" w:rsidR="003B5722" w:rsidRPr="001B75FB" w:rsidRDefault="001B75FB" w:rsidP="00D03A8B">
      <w:pPr>
        <w:spacing w:before="0" w:after="120"/>
        <w:ind w:left="720" w:hanging="731"/>
        <w:rPr>
          <w:rFonts w:cs="Arial"/>
          <w:szCs w:val="22"/>
        </w:rPr>
      </w:pPr>
      <w:r w:rsidRPr="001B75FB">
        <w:rPr>
          <w:rFonts w:cs="Arial"/>
          <w:szCs w:val="22"/>
        </w:rPr>
        <w:t>3.8</w:t>
      </w:r>
      <w:r w:rsidRPr="001B75FB">
        <w:rPr>
          <w:rFonts w:cs="Arial"/>
          <w:szCs w:val="22"/>
        </w:rPr>
        <w:tab/>
      </w:r>
      <w:r w:rsidR="00EE29B4" w:rsidRPr="001B75FB">
        <w:rPr>
          <w:rFonts w:cs="Arial"/>
          <w:szCs w:val="22"/>
        </w:rPr>
        <w:t>Museum Victoria</w:t>
      </w:r>
      <w:r w:rsidR="003B5722" w:rsidRPr="001B75FB">
        <w:rPr>
          <w:rFonts w:cs="Arial"/>
          <w:szCs w:val="22"/>
        </w:rPr>
        <w:t xml:space="preserve"> </w:t>
      </w:r>
      <w:r w:rsidR="00D03E1D" w:rsidRPr="001B75FB">
        <w:rPr>
          <w:rFonts w:cs="Arial"/>
          <w:szCs w:val="22"/>
        </w:rPr>
        <w:t>will</w:t>
      </w:r>
      <w:r w:rsidR="003B5722" w:rsidRPr="001B75FB">
        <w:rPr>
          <w:rFonts w:cs="Arial"/>
          <w:szCs w:val="22"/>
        </w:rPr>
        <w:t xml:space="preserve"> not actively acquire</w:t>
      </w:r>
      <w:r w:rsidR="00D03E1D" w:rsidRPr="001B75FB">
        <w:rPr>
          <w:rFonts w:cs="Arial"/>
          <w:szCs w:val="22"/>
        </w:rPr>
        <w:t xml:space="preserve"> A</w:t>
      </w:r>
      <w:r w:rsidR="003B5722" w:rsidRPr="001B75FB">
        <w:rPr>
          <w:rFonts w:cs="Arial"/>
          <w:szCs w:val="22"/>
        </w:rPr>
        <w:t xml:space="preserve">ncestral </w:t>
      </w:r>
      <w:r w:rsidR="00D03E1D" w:rsidRPr="001B75FB">
        <w:rPr>
          <w:rFonts w:cs="Arial"/>
          <w:szCs w:val="22"/>
        </w:rPr>
        <w:t>R</w:t>
      </w:r>
      <w:r w:rsidR="003B5722" w:rsidRPr="001B75FB">
        <w:rPr>
          <w:rFonts w:cs="Arial"/>
          <w:szCs w:val="22"/>
        </w:rPr>
        <w:t xml:space="preserve">emains, although it will continue to accept transfer from other sources, in fulfilment of relevant legislation and programs, and to assist in the repatriation of those </w:t>
      </w:r>
      <w:r w:rsidR="00D03E1D" w:rsidRPr="001B75FB">
        <w:rPr>
          <w:rFonts w:cs="Arial"/>
          <w:szCs w:val="22"/>
        </w:rPr>
        <w:t>A</w:t>
      </w:r>
      <w:r w:rsidR="003B5722" w:rsidRPr="001B75FB">
        <w:rPr>
          <w:rFonts w:cs="Arial"/>
          <w:szCs w:val="22"/>
        </w:rPr>
        <w:t xml:space="preserve">ncestral </w:t>
      </w:r>
      <w:r w:rsidR="00D03E1D" w:rsidRPr="001B75FB">
        <w:rPr>
          <w:rFonts w:cs="Arial"/>
          <w:szCs w:val="22"/>
        </w:rPr>
        <w:t>R</w:t>
      </w:r>
      <w:r w:rsidR="003B5722" w:rsidRPr="001B75FB">
        <w:rPr>
          <w:rFonts w:cs="Arial"/>
          <w:szCs w:val="22"/>
        </w:rPr>
        <w:t xml:space="preserve">emains to </w:t>
      </w:r>
      <w:r w:rsidR="00F968D6" w:rsidRPr="001B75FB">
        <w:rPr>
          <w:rFonts w:cs="Arial"/>
          <w:szCs w:val="22"/>
        </w:rPr>
        <w:t>T</w:t>
      </w:r>
      <w:r w:rsidR="003B5722" w:rsidRPr="001B75FB">
        <w:rPr>
          <w:rFonts w:cs="Arial"/>
          <w:szCs w:val="22"/>
        </w:rPr>
        <w:t xml:space="preserve">raditional </w:t>
      </w:r>
      <w:r w:rsidR="00F968D6" w:rsidRPr="001B75FB">
        <w:rPr>
          <w:rFonts w:cs="Arial"/>
          <w:szCs w:val="22"/>
        </w:rPr>
        <w:t>O</w:t>
      </w:r>
      <w:r w:rsidR="003B5722" w:rsidRPr="001B75FB">
        <w:rPr>
          <w:rFonts w:cs="Arial"/>
          <w:szCs w:val="22"/>
        </w:rPr>
        <w:t>wners.</w:t>
      </w:r>
    </w:p>
    <w:p w14:paraId="64BCB46D" w14:textId="1791F813" w:rsidR="003B5722" w:rsidRPr="001B75FB" w:rsidRDefault="001B75FB" w:rsidP="00D03A8B">
      <w:pPr>
        <w:spacing w:before="0" w:after="120"/>
        <w:ind w:left="720" w:hanging="731"/>
        <w:rPr>
          <w:rFonts w:cs="Arial"/>
          <w:szCs w:val="22"/>
        </w:rPr>
      </w:pPr>
      <w:r w:rsidRPr="001B75FB">
        <w:rPr>
          <w:rFonts w:cs="Arial"/>
          <w:szCs w:val="22"/>
        </w:rPr>
        <w:t>3.9</w:t>
      </w:r>
      <w:r w:rsidRPr="001B75FB">
        <w:rPr>
          <w:rFonts w:cs="Arial"/>
          <w:szCs w:val="22"/>
        </w:rPr>
        <w:tab/>
      </w:r>
      <w:r w:rsidR="003B5722" w:rsidRPr="001B75FB">
        <w:rPr>
          <w:rFonts w:cs="Arial"/>
          <w:szCs w:val="22"/>
        </w:rPr>
        <w:t xml:space="preserve">Identification of </w:t>
      </w:r>
      <w:r w:rsidR="00D03E1D" w:rsidRPr="001B75FB">
        <w:rPr>
          <w:rFonts w:cs="Arial"/>
          <w:szCs w:val="22"/>
        </w:rPr>
        <w:t>S</w:t>
      </w:r>
      <w:r w:rsidR="001C35B9" w:rsidRPr="001B75FB">
        <w:rPr>
          <w:rFonts w:cs="Arial"/>
          <w:szCs w:val="22"/>
        </w:rPr>
        <w:t>ecret–</w:t>
      </w:r>
      <w:r w:rsidR="00D03E1D" w:rsidRPr="001B75FB">
        <w:rPr>
          <w:rFonts w:cs="Arial"/>
          <w:szCs w:val="22"/>
        </w:rPr>
        <w:t>S</w:t>
      </w:r>
      <w:r w:rsidR="003B5722" w:rsidRPr="001B75FB">
        <w:rPr>
          <w:rFonts w:cs="Arial"/>
          <w:szCs w:val="22"/>
        </w:rPr>
        <w:t xml:space="preserve">acred </w:t>
      </w:r>
      <w:r w:rsidR="00D03E1D" w:rsidRPr="001B75FB">
        <w:rPr>
          <w:rFonts w:cs="Arial"/>
          <w:szCs w:val="22"/>
        </w:rPr>
        <w:t>Objects</w:t>
      </w:r>
      <w:r w:rsidR="003B5722" w:rsidRPr="001B75FB">
        <w:rPr>
          <w:rFonts w:cs="Arial"/>
          <w:szCs w:val="22"/>
        </w:rPr>
        <w:t xml:space="preserve"> will be undertaken through consultation and collaboration with the appropriate </w:t>
      </w:r>
      <w:r w:rsidR="00D03E1D" w:rsidRPr="001B75FB">
        <w:rPr>
          <w:rFonts w:cs="Arial"/>
          <w:szCs w:val="22"/>
        </w:rPr>
        <w:t>T</w:t>
      </w:r>
      <w:r w:rsidR="003B5722" w:rsidRPr="001B75FB">
        <w:rPr>
          <w:rFonts w:cs="Arial"/>
          <w:szCs w:val="22"/>
        </w:rPr>
        <w:t xml:space="preserve">raditional </w:t>
      </w:r>
      <w:r w:rsidR="00D03E1D" w:rsidRPr="001B75FB">
        <w:rPr>
          <w:rFonts w:cs="Arial"/>
          <w:szCs w:val="22"/>
        </w:rPr>
        <w:t>O</w:t>
      </w:r>
      <w:r w:rsidR="003B5722" w:rsidRPr="001B75FB">
        <w:rPr>
          <w:rFonts w:cs="Arial"/>
          <w:szCs w:val="22"/>
        </w:rPr>
        <w:t xml:space="preserve">wners and researchers endorsed by </w:t>
      </w:r>
      <w:r w:rsidR="00D03E1D" w:rsidRPr="001B75FB">
        <w:rPr>
          <w:rFonts w:cs="Arial"/>
          <w:szCs w:val="22"/>
        </w:rPr>
        <w:t>T</w:t>
      </w:r>
      <w:r w:rsidR="003B5722" w:rsidRPr="001B75FB">
        <w:rPr>
          <w:rFonts w:cs="Arial"/>
          <w:szCs w:val="22"/>
        </w:rPr>
        <w:t xml:space="preserve">raditional </w:t>
      </w:r>
      <w:r w:rsidR="00D03E1D" w:rsidRPr="001B75FB">
        <w:rPr>
          <w:rFonts w:cs="Arial"/>
          <w:szCs w:val="22"/>
        </w:rPr>
        <w:t>O</w:t>
      </w:r>
      <w:r w:rsidR="003B5722" w:rsidRPr="001B75FB">
        <w:rPr>
          <w:rFonts w:cs="Arial"/>
          <w:szCs w:val="22"/>
        </w:rPr>
        <w:t>wners.</w:t>
      </w:r>
    </w:p>
    <w:p w14:paraId="366294B6" w14:textId="55E6A6C6" w:rsidR="003B5722" w:rsidRPr="001B75FB" w:rsidRDefault="001B75FB" w:rsidP="00D03A8B">
      <w:pPr>
        <w:spacing w:before="0" w:after="120"/>
        <w:ind w:left="720" w:hanging="731"/>
        <w:rPr>
          <w:rFonts w:cs="Arial"/>
          <w:szCs w:val="22"/>
        </w:rPr>
      </w:pPr>
      <w:r w:rsidRPr="001B75FB">
        <w:rPr>
          <w:rFonts w:cs="Arial"/>
          <w:szCs w:val="22"/>
        </w:rPr>
        <w:t>3.10</w:t>
      </w:r>
      <w:r w:rsidRPr="001B75FB">
        <w:rPr>
          <w:rFonts w:cs="Arial"/>
          <w:szCs w:val="22"/>
        </w:rPr>
        <w:tab/>
      </w:r>
      <w:r w:rsidR="003B5722" w:rsidRPr="001B75FB">
        <w:rPr>
          <w:rFonts w:cs="Arial"/>
          <w:szCs w:val="22"/>
        </w:rPr>
        <w:t xml:space="preserve">All </w:t>
      </w:r>
      <w:r w:rsidR="00D03E1D" w:rsidRPr="001B75FB">
        <w:rPr>
          <w:rFonts w:cs="Arial"/>
          <w:szCs w:val="22"/>
        </w:rPr>
        <w:t>A</w:t>
      </w:r>
      <w:r w:rsidR="003B5722" w:rsidRPr="001B75FB">
        <w:rPr>
          <w:rFonts w:cs="Arial"/>
          <w:szCs w:val="22"/>
        </w:rPr>
        <w:t xml:space="preserve">ncestral </w:t>
      </w:r>
      <w:r w:rsidR="00D03E1D" w:rsidRPr="001B75FB">
        <w:rPr>
          <w:rFonts w:cs="Arial"/>
          <w:szCs w:val="22"/>
        </w:rPr>
        <w:t>R</w:t>
      </w:r>
      <w:r w:rsidR="003B5722" w:rsidRPr="001B75FB">
        <w:rPr>
          <w:rFonts w:cs="Arial"/>
          <w:szCs w:val="22"/>
        </w:rPr>
        <w:t xml:space="preserve">emains and </w:t>
      </w:r>
      <w:r w:rsidR="00D03E1D" w:rsidRPr="001B75FB">
        <w:rPr>
          <w:rFonts w:cs="Arial"/>
          <w:szCs w:val="22"/>
        </w:rPr>
        <w:t>S</w:t>
      </w:r>
      <w:r w:rsidR="001C35B9" w:rsidRPr="001B75FB">
        <w:rPr>
          <w:rFonts w:cs="Arial"/>
          <w:szCs w:val="22"/>
        </w:rPr>
        <w:t>ecret–</w:t>
      </w:r>
      <w:r w:rsidR="00D03E1D" w:rsidRPr="001B75FB">
        <w:rPr>
          <w:rFonts w:cs="Arial"/>
          <w:szCs w:val="22"/>
        </w:rPr>
        <w:t>S</w:t>
      </w:r>
      <w:r w:rsidR="003B5722" w:rsidRPr="001B75FB">
        <w:rPr>
          <w:rFonts w:cs="Arial"/>
          <w:szCs w:val="22"/>
        </w:rPr>
        <w:t xml:space="preserve">acred </w:t>
      </w:r>
      <w:r w:rsidR="00D03E1D" w:rsidRPr="001B75FB">
        <w:rPr>
          <w:rFonts w:cs="Arial"/>
          <w:szCs w:val="22"/>
        </w:rPr>
        <w:t xml:space="preserve">Objects </w:t>
      </w:r>
      <w:r w:rsidR="003B5722" w:rsidRPr="001B75FB">
        <w:rPr>
          <w:rFonts w:cs="Arial"/>
          <w:szCs w:val="22"/>
        </w:rPr>
        <w:t>will be stored in dedicated secure stores, and access to the cultural property and associated information will be restricted in accordance with relevant cultural protocols.</w:t>
      </w:r>
    </w:p>
    <w:p w14:paraId="7EEFDF28" w14:textId="0C98EAC6" w:rsidR="003B5722" w:rsidRPr="001B75FB" w:rsidRDefault="001B75FB" w:rsidP="00D03A8B">
      <w:pPr>
        <w:spacing w:before="0" w:after="120"/>
        <w:ind w:left="720" w:hanging="731"/>
        <w:rPr>
          <w:rFonts w:cs="Arial"/>
          <w:szCs w:val="22"/>
        </w:rPr>
      </w:pPr>
      <w:r w:rsidRPr="001B75FB">
        <w:rPr>
          <w:rFonts w:cs="Arial"/>
          <w:szCs w:val="22"/>
        </w:rPr>
        <w:t>3.11</w:t>
      </w:r>
      <w:r w:rsidRPr="001B75FB">
        <w:rPr>
          <w:rFonts w:cs="Arial"/>
          <w:szCs w:val="22"/>
        </w:rPr>
        <w:tab/>
      </w:r>
      <w:r w:rsidR="00EE29B4" w:rsidRPr="001B75FB">
        <w:rPr>
          <w:rFonts w:cs="Arial"/>
          <w:szCs w:val="22"/>
        </w:rPr>
        <w:t>Museum Victoria</w:t>
      </w:r>
      <w:r w:rsidR="00703D70" w:rsidRPr="001B75FB">
        <w:rPr>
          <w:rFonts w:cs="Arial"/>
          <w:szCs w:val="22"/>
        </w:rPr>
        <w:t xml:space="preserve"> recognis</w:t>
      </w:r>
      <w:r w:rsidR="003B5722" w:rsidRPr="001B75FB">
        <w:rPr>
          <w:rFonts w:cs="Arial"/>
          <w:szCs w:val="22"/>
        </w:rPr>
        <w:t xml:space="preserve">es that </w:t>
      </w:r>
      <w:r w:rsidR="00D03E1D" w:rsidRPr="001B75FB">
        <w:rPr>
          <w:rFonts w:cs="Arial"/>
          <w:szCs w:val="22"/>
        </w:rPr>
        <w:t>T</w:t>
      </w:r>
      <w:r w:rsidR="003B5722" w:rsidRPr="001B75FB">
        <w:rPr>
          <w:rFonts w:cs="Arial"/>
          <w:szCs w:val="22"/>
        </w:rPr>
        <w:t xml:space="preserve">raditional </w:t>
      </w:r>
      <w:r w:rsidR="00D03E1D" w:rsidRPr="001B75FB">
        <w:rPr>
          <w:rFonts w:cs="Arial"/>
          <w:szCs w:val="22"/>
        </w:rPr>
        <w:t>O</w:t>
      </w:r>
      <w:r w:rsidR="003B5722" w:rsidRPr="001B75FB">
        <w:rPr>
          <w:rFonts w:cs="Arial"/>
          <w:szCs w:val="22"/>
        </w:rPr>
        <w:t xml:space="preserve">wners may desire that the </w:t>
      </w:r>
      <w:r w:rsidR="00EE29B4" w:rsidRPr="001B75FB">
        <w:rPr>
          <w:rFonts w:cs="Arial"/>
          <w:szCs w:val="22"/>
        </w:rPr>
        <w:t>m</w:t>
      </w:r>
      <w:r w:rsidR="003B5722" w:rsidRPr="001B75FB">
        <w:rPr>
          <w:rFonts w:cs="Arial"/>
          <w:szCs w:val="22"/>
        </w:rPr>
        <w:t xml:space="preserve">useum retains custodianship of </w:t>
      </w:r>
      <w:r w:rsidR="00D03E1D" w:rsidRPr="001B75FB">
        <w:rPr>
          <w:rFonts w:cs="Arial"/>
          <w:szCs w:val="22"/>
        </w:rPr>
        <w:t>S</w:t>
      </w:r>
      <w:r w:rsidR="001C35B9" w:rsidRPr="001B75FB">
        <w:rPr>
          <w:rFonts w:cs="Arial"/>
          <w:szCs w:val="22"/>
        </w:rPr>
        <w:t>ecret–</w:t>
      </w:r>
      <w:r w:rsidR="00D03E1D" w:rsidRPr="001B75FB">
        <w:rPr>
          <w:rFonts w:cs="Arial"/>
          <w:szCs w:val="22"/>
        </w:rPr>
        <w:t>S</w:t>
      </w:r>
      <w:r w:rsidR="003B5722" w:rsidRPr="001B75FB">
        <w:rPr>
          <w:rFonts w:cs="Arial"/>
          <w:szCs w:val="22"/>
        </w:rPr>
        <w:t xml:space="preserve">acred </w:t>
      </w:r>
      <w:r w:rsidR="00D03E1D" w:rsidRPr="001B75FB">
        <w:rPr>
          <w:rFonts w:cs="Arial"/>
          <w:szCs w:val="22"/>
        </w:rPr>
        <w:t>O</w:t>
      </w:r>
      <w:r w:rsidR="003B5722" w:rsidRPr="001B75FB">
        <w:rPr>
          <w:rFonts w:cs="Arial"/>
          <w:szCs w:val="22"/>
        </w:rPr>
        <w:t xml:space="preserve">bjects, either at a </w:t>
      </w:r>
      <w:r w:rsidR="00EE29B4" w:rsidRPr="001B75FB">
        <w:rPr>
          <w:rFonts w:cs="Arial"/>
          <w:szCs w:val="22"/>
        </w:rPr>
        <w:t>M</w:t>
      </w:r>
      <w:r w:rsidR="003B5722" w:rsidRPr="001B75FB">
        <w:rPr>
          <w:rFonts w:cs="Arial"/>
          <w:szCs w:val="22"/>
        </w:rPr>
        <w:t xml:space="preserve">useum </w:t>
      </w:r>
      <w:r w:rsidR="00EE29B4" w:rsidRPr="001B75FB">
        <w:rPr>
          <w:rFonts w:cs="Arial"/>
          <w:szCs w:val="22"/>
        </w:rPr>
        <w:t xml:space="preserve">Victoria </w:t>
      </w:r>
      <w:r w:rsidR="003B5722" w:rsidRPr="001B75FB">
        <w:rPr>
          <w:rFonts w:cs="Arial"/>
          <w:szCs w:val="22"/>
        </w:rPr>
        <w:t>collection store, or in a</w:t>
      </w:r>
      <w:r w:rsidR="00703D70" w:rsidRPr="001B75FB">
        <w:rPr>
          <w:rFonts w:cs="Arial"/>
          <w:szCs w:val="22"/>
        </w:rPr>
        <w:t>n appropriate collection organis</w:t>
      </w:r>
      <w:r w:rsidR="003B5722" w:rsidRPr="001B75FB">
        <w:rPr>
          <w:rFonts w:cs="Arial"/>
          <w:szCs w:val="22"/>
        </w:rPr>
        <w:t xml:space="preserve">ation on or near the country of </w:t>
      </w:r>
      <w:r w:rsidR="00F968D6" w:rsidRPr="001B75FB">
        <w:rPr>
          <w:rFonts w:cs="Arial"/>
          <w:szCs w:val="22"/>
        </w:rPr>
        <w:t>T</w:t>
      </w:r>
      <w:r w:rsidR="003B5722" w:rsidRPr="001B75FB">
        <w:rPr>
          <w:rFonts w:cs="Arial"/>
          <w:szCs w:val="22"/>
        </w:rPr>
        <w:t xml:space="preserve">raditional </w:t>
      </w:r>
      <w:r w:rsidR="00F968D6" w:rsidRPr="001B75FB">
        <w:rPr>
          <w:rFonts w:cs="Arial"/>
          <w:szCs w:val="22"/>
        </w:rPr>
        <w:t>O</w:t>
      </w:r>
      <w:r w:rsidR="003B5722" w:rsidRPr="001B75FB">
        <w:rPr>
          <w:rFonts w:cs="Arial"/>
          <w:szCs w:val="22"/>
        </w:rPr>
        <w:t xml:space="preserve">wners. The </w:t>
      </w:r>
      <w:r w:rsidR="00EE29B4" w:rsidRPr="001B75FB">
        <w:rPr>
          <w:rFonts w:cs="Arial"/>
          <w:szCs w:val="22"/>
        </w:rPr>
        <w:t>m</w:t>
      </w:r>
      <w:r w:rsidR="003B5722" w:rsidRPr="001B75FB">
        <w:rPr>
          <w:rFonts w:cs="Arial"/>
          <w:szCs w:val="22"/>
        </w:rPr>
        <w:t>useum will endeavo</w:t>
      </w:r>
      <w:r w:rsidR="00703D70" w:rsidRPr="001B75FB">
        <w:rPr>
          <w:rFonts w:cs="Arial"/>
          <w:szCs w:val="22"/>
        </w:rPr>
        <w:t>u</w:t>
      </w:r>
      <w:r w:rsidR="003B5722" w:rsidRPr="001B75FB">
        <w:rPr>
          <w:rFonts w:cs="Arial"/>
          <w:szCs w:val="22"/>
        </w:rPr>
        <w:t>r to facilitate arrangements w</w:t>
      </w:r>
      <w:r w:rsidR="007D3AFB" w:rsidRPr="001B75FB">
        <w:rPr>
          <w:rFonts w:cs="Arial"/>
          <w:szCs w:val="22"/>
        </w:rPr>
        <w:t>ith the other collection organis</w:t>
      </w:r>
      <w:r w:rsidR="003B5722" w:rsidRPr="001B75FB">
        <w:rPr>
          <w:rFonts w:cs="Arial"/>
          <w:szCs w:val="22"/>
        </w:rPr>
        <w:t>ation.</w:t>
      </w:r>
    </w:p>
    <w:p w14:paraId="535107F4" w14:textId="50DA7057" w:rsidR="003B5722" w:rsidRPr="001B75FB" w:rsidRDefault="001B75FB" w:rsidP="00D03A8B">
      <w:pPr>
        <w:spacing w:before="0" w:after="120"/>
        <w:ind w:left="720" w:hanging="731"/>
        <w:rPr>
          <w:rFonts w:cs="Arial"/>
          <w:szCs w:val="22"/>
        </w:rPr>
      </w:pPr>
      <w:r w:rsidRPr="001B75FB">
        <w:rPr>
          <w:rFonts w:cs="Arial"/>
          <w:szCs w:val="22"/>
        </w:rPr>
        <w:t>3.12</w:t>
      </w:r>
      <w:r w:rsidRPr="001B75FB">
        <w:rPr>
          <w:rFonts w:cs="Arial"/>
          <w:szCs w:val="22"/>
        </w:rPr>
        <w:tab/>
      </w:r>
      <w:r w:rsidR="003B5722" w:rsidRPr="001B75FB">
        <w:rPr>
          <w:rFonts w:cs="Arial"/>
          <w:szCs w:val="22"/>
        </w:rPr>
        <w:t xml:space="preserve">The Museums Board of Victoria has the authority to repatriate cultural property through a formal process of </w:t>
      </w:r>
      <w:r w:rsidR="00464F81" w:rsidRPr="001B75FB">
        <w:rPr>
          <w:rFonts w:cs="Arial"/>
          <w:szCs w:val="22"/>
        </w:rPr>
        <w:t>D</w:t>
      </w:r>
      <w:r w:rsidR="003B5722" w:rsidRPr="001B75FB">
        <w:rPr>
          <w:rFonts w:cs="Arial"/>
          <w:szCs w:val="22"/>
        </w:rPr>
        <w:t>eaccessioning from the collections. Before making a decision</w:t>
      </w:r>
      <w:r w:rsidR="001C35B9" w:rsidRPr="001B75FB">
        <w:rPr>
          <w:rFonts w:cs="Arial"/>
          <w:szCs w:val="22"/>
        </w:rPr>
        <w:t>,</w:t>
      </w:r>
      <w:r w:rsidR="003B5722" w:rsidRPr="001B75FB">
        <w:rPr>
          <w:rFonts w:cs="Arial"/>
          <w:szCs w:val="22"/>
        </w:rPr>
        <w:t xml:space="preserve"> the Board will seek the </w:t>
      </w:r>
      <w:r w:rsidR="000C2522" w:rsidRPr="001B75FB">
        <w:rPr>
          <w:rFonts w:cs="Arial"/>
          <w:szCs w:val="22"/>
        </w:rPr>
        <w:t>endorsement</w:t>
      </w:r>
      <w:r w:rsidR="003B5722" w:rsidRPr="001B75FB">
        <w:rPr>
          <w:rFonts w:cs="Arial"/>
          <w:szCs w:val="22"/>
        </w:rPr>
        <w:t xml:space="preserve"> of its Aboriginal Cultural Heritage Advisory Committee and </w:t>
      </w:r>
      <w:r w:rsidR="000C2522" w:rsidRPr="001B75FB">
        <w:rPr>
          <w:rFonts w:cs="Arial"/>
          <w:szCs w:val="22"/>
        </w:rPr>
        <w:t>advice from other stakeholders as appropriate.</w:t>
      </w:r>
    </w:p>
    <w:p w14:paraId="66AAF062" w14:textId="776FAE6C" w:rsidR="003B5722" w:rsidRPr="001B75FB" w:rsidRDefault="001B75FB" w:rsidP="00D03A8B">
      <w:pPr>
        <w:spacing w:before="0" w:after="120"/>
        <w:ind w:left="720" w:hanging="731"/>
        <w:rPr>
          <w:rFonts w:cs="Arial"/>
          <w:szCs w:val="22"/>
        </w:rPr>
      </w:pPr>
      <w:r w:rsidRPr="001B75FB">
        <w:rPr>
          <w:rFonts w:cs="Arial"/>
          <w:szCs w:val="22"/>
        </w:rPr>
        <w:t>3.13</w:t>
      </w:r>
      <w:r w:rsidRPr="001B75FB">
        <w:rPr>
          <w:rFonts w:cs="Arial"/>
          <w:szCs w:val="22"/>
        </w:rPr>
        <w:tab/>
      </w:r>
      <w:r w:rsidR="003B5722" w:rsidRPr="001B75FB">
        <w:rPr>
          <w:rFonts w:cs="Arial"/>
          <w:szCs w:val="22"/>
        </w:rPr>
        <w:t xml:space="preserve">Once the Board has approved repatriation, </w:t>
      </w:r>
      <w:r w:rsidR="00EE29B4" w:rsidRPr="001B75FB">
        <w:rPr>
          <w:rFonts w:cs="Arial"/>
          <w:szCs w:val="22"/>
        </w:rPr>
        <w:t>Museum Victoria</w:t>
      </w:r>
      <w:r w:rsidR="003B5722" w:rsidRPr="001B75FB">
        <w:rPr>
          <w:rFonts w:cs="Arial"/>
          <w:szCs w:val="22"/>
        </w:rPr>
        <w:t xml:space="preserve"> </w:t>
      </w:r>
      <w:r w:rsidR="00D03E1D" w:rsidRPr="001B75FB">
        <w:rPr>
          <w:rFonts w:cs="Arial"/>
          <w:szCs w:val="22"/>
        </w:rPr>
        <w:t>will</w:t>
      </w:r>
      <w:r w:rsidR="003B5722" w:rsidRPr="001B75FB">
        <w:rPr>
          <w:rFonts w:cs="Arial"/>
          <w:szCs w:val="22"/>
        </w:rPr>
        <w:t xml:space="preserve"> maintain care and custody of the deaccessioned property until the </w:t>
      </w:r>
      <w:r w:rsidR="00F968D6" w:rsidRPr="001B75FB">
        <w:rPr>
          <w:rFonts w:cs="Arial"/>
          <w:szCs w:val="22"/>
        </w:rPr>
        <w:t>T</w:t>
      </w:r>
      <w:r w:rsidR="003B5722" w:rsidRPr="001B75FB">
        <w:rPr>
          <w:rFonts w:cs="Arial"/>
          <w:szCs w:val="22"/>
        </w:rPr>
        <w:t xml:space="preserve">raditional </w:t>
      </w:r>
      <w:r w:rsidR="00F968D6" w:rsidRPr="001B75FB">
        <w:rPr>
          <w:rFonts w:cs="Arial"/>
          <w:szCs w:val="22"/>
        </w:rPr>
        <w:t>O</w:t>
      </w:r>
      <w:r w:rsidR="003B5722" w:rsidRPr="001B75FB">
        <w:rPr>
          <w:rFonts w:cs="Arial"/>
          <w:szCs w:val="22"/>
        </w:rPr>
        <w:t>wners are ready to receive the property.</w:t>
      </w:r>
    </w:p>
    <w:p w14:paraId="46D4CA26" w14:textId="12835A5A" w:rsidR="003B5722" w:rsidRPr="001B75FB" w:rsidRDefault="001B75FB" w:rsidP="00D03A8B">
      <w:pPr>
        <w:spacing w:before="0" w:after="120"/>
        <w:ind w:left="720" w:hanging="731"/>
        <w:rPr>
          <w:rFonts w:cs="Arial"/>
          <w:szCs w:val="22"/>
        </w:rPr>
      </w:pPr>
      <w:r w:rsidRPr="001B75FB">
        <w:rPr>
          <w:rFonts w:cs="Arial"/>
          <w:szCs w:val="22"/>
        </w:rPr>
        <w:t>3.14</w:t>
      </w:r>
      <w:r w:rsidRPr="001B75FB">
        <w:rPr>
          <w:rFonts w:cs="Arial"/>
          <w:szCs w:val="22"/>
        </w:rPr>
        <w:tab/>
      </w:r>
      <w:r w:rsidR="00EE29B4" w:rsidRPr="001B75FB">
        <w:rPr>
          <w:rFonts w:cs="Arial"/>
          <w:szCs w:val="22"/>
        </w:rPr>
        <w:t>Museum Victoria</w:t>
      </w:r>
      <w:r w:rsidR="003B5722" w:rsidRPr="001B75FB">
        <w:rPr>
          <w:rFonts w:cs="Arial"/>
          <w:szCs w:val="22"/>
        </w:rPr>
        <w:t xml:space="preserve"> works collaboratively with other collecting institutions, government agencies and </w:t>
      </w:r>
      <w:r w:rsidR="00F968D6" w:rsidRPr="001B75FB">
        <w:rPr>
          <w:rFonts w:cs="Arial"/>
          <w:szCs w:val="22"/>
        </w:rPr>
        <w:t>T</w:t>
      </w:r>
      <w:r w:rsidR="003B5722" w:rsidRPr="001B75FB">
        <w:rPr>
          <w:rFonts w:cs="Arial"/>
          <w:szCs w:val="22"/>
        </w:rPr>
        <w:t xml:space="preserve">raditional </w:t>
      </w:r>
      <w:r w:rsidR="00F968D6" w:rsidRPr="001B75FB">
        <w:rPr>
          <w:rFonts w:cs="Arial"/>
          <w:szCs w:val="22"/>
        </w:rPr>
        <w:t>O</w:t>
      </w:r>
      <w:r w:rsidR="003B5722" w:rsidRPr="001B75FB">
        <w:rPr>
          <w:rFonts w:cs="Arial"/>
          <w:szCs w:val="22"/>
        </w:rPr>
        <w:t xml:space="preserve">wners so as to facilitate national and international repatriation programs. To fulfil this obligation, the </w:t>
      </w:r>
      <w:r w:rsidR="00EE29B4" w:rsidRPr="001B75FB">
        <w:rPr>
          <w:rFonts w:cs="Arial"/>
          <w:szCs w:val="22"/>
        </w:rPr>
        <w:t>m</w:t>
      </w:r>
      <w:r w:rsidR="003B5722" w:rsidRPr="001B75FB">
        <w:rPr>
          <w:rFonts w:cs="Arial"/>
          <w:szCs w:val="22"/>
        </w:rPr>
        <w:t>useum may share information about Indigenous cultural property with other institutions and agencies.</w:t>
      </w:r>
    </w:p>
    <w:p w14:paraId="6C5BF8E1" w14:textId="542DDE93" w:rsidR="003B5722" w:rsidRPr="001B75FB" w:rsidRDefault="001B75FB" w:rsidP="00D03A8B">
      <w:pPr>
        <w:spacing w:before="0" w:after="120"/>
        <w:ind w:left="720" w:hanging="731"/>
        <w:rPr>
          <w:rFonts w:cs="Arial"/>
          <w:szCs w:val="22"/>
        </w:rPr>
      </w:pPr>
      <w:r w:rsidRPr="001B75FB">
        <w:rPr>
          <w:rFonts w:cs="Arial"/>
          <w:szCs w:val="22"/>
        </w:rPr>
        <w:t>3.15</w:t>
      </w:r>
      <w:r w:rsidRPr="001B75FB">
        <w:rPr>
          <w:rFonts w:cs="Arial"/>
          <w:szCs w:val="22"/>
        </w:rPr>
        <w:tab/>
      </w:r>
      <w:r w:rsidR="00EE29B4" w:rsidRPr="001B75FB">
        <w:rPr>
          <w:rFonts w:cs="Arial"/>
          <w:szCs w:val="22"/>
        </w:rPr>
        <w:t>Museum Victoria</w:t>
      </w:r>
      <w:r w:rsidR="003B5722" w:rsidRPr="001B75FB">
        <w:rPr>
          <w:rFonts w:cs="Arial"/>
          <w:szCs w:val="22"/>
        </w:rPr>
        <w:t xml:space="preserve"> will retain complete documentation of all repatriation decisions and associated processes.</w:t>
      </w:r>
    </w:p>
    <w:p w14:paraId="1F67D137" w14:textId="7EC089DC" w:rsidR="003B5722" w:rsidRPr="001B75FB" w:rsidRDefault="001B75FB" w:rsidP="00D03A8B">
      <w:pPr>
        <w:spacing w:before="0" w:after="0"/>
        <w:ind w:left="720" w:hanging="731"/>
        <w:rPr>
          <w:rFonts w:cs="Arial"/>
          <w:szCs w:val="22"/>
        </w:rPr>
      </w:pPr>
      <w:r w:rsidRPr="001B75FB">
        <w:rPr>
          <w:rFonts w:cs="Arial"/>
          <w:szCs w:val="22"/>
        </w:rPr>
        <w:lastRenderedPageBreak/>
        <w:t>3.16</w:t>
      </w:r>
      <w:r w:rsidRPr="001B75FB">
        <w:rPr>
          <w:rFonts w:cs="Arial"/>
          <w:szCs w:val="22"/>
        </w:rPr>
        <w:tab/>
      </w:r>
      <w:r w:rsidR="003B5722" w:rsidRPr="001B75FB">
        <w:rPr>
          <w:rFonts w:cs="Arial"/>
          <w:szCs w:val="22"/>
        </w:rPr>
        <w:t xml:space="preserve">Where requests for repatriation relate to items on loan to Museum Victoria, </w:t>
      </w:r>
      <w:r w:rsidR="00EE29B4" w:rsidRPr="001B75FB">
        <w:rPr>
          <w:rFonts w:cs="Arial"/>
          <w:szCs w:val="22"/>
        </w:rPr>
        <w:t>we</w:t>
      </w:r>
      <w:r w:rsidR="003B5722" w:rsidRPr="001B75FB">
        <w:rPr>
          <w:rFonts w:cs="Arial"/>
          <w:szCs w:val="22"/>
        </w:rPr>
        <w:t xml:space="preserve"> will facilitate discussions between the relevant parties. In doing so, </w:t>
      </w:r>
      <w:r w:rsidR="00EE29B4" w:rsidRPr="001B75FB">
        <w:rPr>
          <w:rFonts w:cs="Arial"/>
          <w:szCs w:val="22"/>
        </w:rPr>
        <w:t>Museum Victoria</w:t>
      </w:r>
      <w:r w:rsidR="003B5722" w:rsidRPr="001B75FB">
        <w:rPr>
          <w:rFonts w:cs="Arial"/>
          <w:szCs w:val="22"/>
        </w:rPr>
        <w:t xml:space="preserve"> will uphold the terms of any agreement with the lender, and any agreement or statutory provision to which the loan is subject.</w:t>
      </w:r>
    </w:p>
    <w:p w14:paraId="75D4EDB0" w14:textId="77777777" w:rsidR="00D71544" w:rsidRDefault="00D71544" w:rsidP="00D03A8B">
      <w:pPr>
        <w:spacing w:before="0" w:after="0"/>
      </w:pPr>
    </w:p>
    <w:p w14:paraId="04AF8189" w14:textId="77777777" w:rsidR="00D71544" w:rsidRPr="00E1608B" w:rsidRDefault="00D71544" w:rsidP="00D03A8B">
      <w:pPr>
        <w:spacing w:before="0" w:after="0"/>
      </w:pPr>
    </w:p>
    <w:p w14:paraId="4F57C63D" w14:textId="14E09C56" w:rsidR="00A32AAE" w:rsidRPr="00703D70" w:rsidRDefault="00444E66" w:rsidP="00D03A8B">
      <w:pPr>
        <w:pStyle w:val="Heading2"/>
        <w:spacing w:before="0"/>
      </w:pPr>
      <w:r>
        <w:t>4</w:t>
      </w:r>
      <w:r>
        <w:tab/>
      </w:r>
      <w:r w:rsidRPr="00703D70">
        <w:t>Key Definitions</w:t>
      </w:r>
    </w:p>
    <w:p w14:paraId="2F104B4B" w14:textId="50D030D5" w:rsidR="008B2138" w:rsidRPr="00444E66" w:rsidRDefault="00444E66" w:rsidP="00D03A8B">
      <w:pPr>
        <w:pStyle w:val="BodyTextIndent"/>
        <w:spacing w:before="0" w:after="120"/>
        <w:ind w:left="720" w:hanging="720"/>
        <w:rPr>
          <w:rFonts w:cs="Arial"/>
          <w:szCs w:val="22"/>
        </w:rPr>
      </w:pPr>
      <w:r>
        <w:rPr>
          <w:rFonts w:cs="Arial"/>
          <w:szCs w:val="22"/>
        </w:rPr>
        <w:t>4.1</w:t>
      </w:r>
      <w:r>
        <w:rPr>
          <w:rFonts w:cs="Arial"/>
          <w:szCs w:val="22"/>
        </w:rPr>
        <w:tab/>
      </w:r>
      <w:r w:rsidR="00D84D5A">
        <w:t>‘</w:t>
      </w:r>
      <w:r w:rsidR="00D84D5A" w:rsidRPr="00234AB7">
        <w:t>Ancestral Remains</w:t>
      </w:r>
      <w:r w:rsidR="00D84D5A">
        <w:t>’ are</w:t>
      </w:r>
      <w:r w:rsidR="00D84D5A" w:rsidRPr="00234AB7">
        <w:t xml:space="preserve"> human remains that demonstrably have a shared group identity with an existing Indigenous peoples. Ancestral remains does not include an object made from human hair or from any other bodily material that</w:t>
      </w:r>
      <w:r w:rsidR="00D84D5A">
        <w:t xml:space="preserve"> is not readily recognis</w:t>
      </w:r>
      <w:r w:rsidR="00D84D5A" w:rsidRPr="00234AB7">
        <w:t>able as being bodily material</w:t>
      </w:r>
      <w:r w:rsidR="00D84D5A">
        <w:t>.</w:t>
      </w:r>
    </w:p>
    <w:p w14:paraId="2BE4FE94" w14:textId="7B3CA778" w:rsidR="001E0A1F" w:rsidRPr="00444E66" w:rsidRDefault="00444E66" w:rsidP="00D03A8B">
      <w:pPr>
        <w:pStyle w:val="BodyTextIndent"/>
        <w:spacing w:before="0" w:after="120"/>
        <w:ind w:left="720" w:hanging="720"/>
        <w:rPr>
          <w:rFonts w:cs="Arial"/>
          <w:szCs w:val="22"/>
        </w:rPr>
      </w:pPr>
      <w:r>
        <w:rPr>
          <w:rFonts w:cs="Arial"/>
          <w:szCs w:val="22"/>
        </w:rPr>
        <w:t>4.2</w:t>
      </w:r>
      <w:r>
        <w:rPr>
          <w:rFonts w:cs="Arial"/>
          <w:szCs w:val="22"/>
        </w:rPr>
        <w:tab/>
        <w:t>‘</w:t>
      </w:r>
      <w:r w:rsidR="00C70FC0" w:rsidRPr="00444E66">
        <w:rPr>
          <w:rFonts w:cs="Arial"/>
          <w:szCs w:val="22"/>
        </w:rPr>
        <w:t>Deaccession</w:t>
      </w:r>
      <w:r>
        <w:rPr>
          <w:rFonts w:cs="Arial"/>
          <w:szCs w:val="22"/>
        </w:rPr>
        <w:t xml:space="preserve">’ </w:t>
      </w:r>
      <w:r w:rsidR="00ED196F">
        <w:rPr>
          <w:rFonts w:cs="Arial"/>
          <w:szCs w:val="22"/>
        </w:rPr>
        <w:t xml:space="preserve">is </w:t>
      </w:r>
      <w:r w:rsidR="00C70FC0" w:rsidRPr="00444E66">
        <w:rPr>
          <w:rFonts w:cs="Arial"/>
          <w:szCs w:val="22"/>
        </w:rPr>
        <w:t>to formally remove an item from the State collections and relinquish legal title, following approval to do so by the Museums Board of Victoria</w:t>
      </w:r>
      <w:r w:rsidR="0013038A" w:rsidRPr="00444E66">
        <w:rPr>
          <w:rFonts w:cs="Arial"/>
          <w:szCs w:val="22"/>
        </w:rPr>
        <w:t>.</w:t>
      </w:r>
    </w:p>
    <w:p w14:paraId="59A3E71B" w14:textId="5DEE2CE6" w:rsidR="001E0A1F" w:rsidRPr="00444E66" w:rsidRDefault="00444E66" w:rsidP="00D03A8B">
      <w:pPr>
        <w:pStyle w:val="BodyTextIndent"/>
        <w:spacing w:before="0" w:after="120"/>
        <w:ind w:left="720" w:hanging="720"/>
        <w:rPr>
          <w:rFonts w:cs="Arial"/>
          <w:szCs w:val="22"/>
        </w:rPr>
      </w:pPr>
      <w:r>
        <w:rPr>
          <w:rFonts w:cs="Arial"/>
          <w:szCs w:val="22"/>
        </w:rPr>
        <w:t>4.3</w:t>
      </w:r>
      <w:r>
        <w:rPr>
          <w:rFonts w:cs="Arial"/>
          <w:szCs w:val="22"/>
        </w:rPr>
        <w:tab/>
      </w:r>
      <w:r w:rsidR="00CF3806">
        <w:t>‘</w:t>
      </w:r>
      <w:r w:rsidR="00CF3806" w:rsidRPr="00234AB7">
        <w:t>Grave Goods</w:t>
      </w:r>
      <w:r w:rsidR="00CF3806">
        <w:t>’ are</w:t>
      </w:r>
      <w:r w:rsidR="00CF3806" w:rsidRPr="00234AB7">
        <w:t xml:space="preserve"> objects clearly associated with the burial of particular Ancestral Remains; also known as funerary objects.</w:t>
      </w:r>
    </w:p>
    <w:p w14:paraId="325D489F" w14:textId="5BEB42B6" w:rsidR="001E0A1F" w:rsidRPr="00444E66" w:rsidRDefault="00444E66" w:rsidP="00D03A8B">
      <w:pPr>
        <w:pStyle w:val="BodyTextIndent"/>
        <w:spacing w:before="0" w:after="120"/>
        <w:ind w:left="720" w:hanging="720"/>
        <w:rPr>
          <w:rFonts w:cs="Arial"/>
          <w:szCs w:val="22"/>
        </w:rPr>
      </w:pPr>
      <w:r>
        <w:rPr>
          <w:rFonts w:cs="Arial"/>
          <w:szCs w:val="22"/>
        </w:rPr>
        <w:t>4.4</w:t>
      </w:r>
      <w:r>
        <w:rPr>
          <w:rFonts w:cs="Arial"/>
          <w:szCs w:val="22"/>
        </w:rPr>
        <w:tab/>
      </w:r>
      <w:r w:rsidR="008454CB">
        <w:t>‘</w:t>
      </w:r>
      <w:r w:rsidR="008454CB" w:rsidRPr="00234AB7">
        <w:t>Indigenous Cultural Heritage</w:t>
      </w:r>
      <w:r w:rsidR="008454CB">
        <w:t>’,</w:t>
      </w:r>
      <w:r w:rsidR="008454CB" w:rsidRPr="00234AB7">
        <w:t xml:space="preserve"> </w:t>
      </w:r>
      <w:r w:rsidR="008454CB">
        <w:t>f</w:t>
      </w:r>
      <w:r w:rsidR="008454CB" w:rsidRPr="00234AB7">
        <w:t>or Museum Victoria purposes, includes artefacts, images, archives, traditional knowledge, language and forms of cultural expression in the cultural and scientific collections that form elements of the State collections and collections on loan to the Museum.</w:t>
      </w:r>
    </w:p>
    <w:p w14:paraId="4B118DE6" w14:textId="03E8450F" w:rsidR="00184E66" w:rsidRPr="00444E66" w:rsidRDefault="00444E66" w:rsidP="00D03A8B">
      <w:pPr>
        <w:pStyle w:val="BodyTextIndent"/>
        <w:spacing w:before="0" w:after="120"/>
        <w:ind w:left="720" w:hanging="720"/>
        <w:rPr>
          <w:rFonts w:cs="Arial"/>
          <w:szCs w:val="22"/>
        </w:rPr>
      </w:pPr>
      <w:r>
        <w:rPr>
          <w:rFonts w:cs="Arial"/>
          <w:szCs w:val="22"/>
        </w:rPr>
        <w:t>4.5</w:t>
      </w:r>
      <w:r>
        <w:rPr>
          <w:rFonts w:cs="Arial"/>
          <w:szCs w:val="22"/>
        </w:rPr>
        <w:tab/>
        <w:t>‘</w:t>
      </w:r>
      <w:r w:rsidR="00184E66" w:rsidRPr="00444E66">
        <w:rPr>
          <w:rFonts w:cs="Arial"/>
          <w:szCs w:val="22"/>
        </w:rPr>
        <w:t>Repatriation</w:t>
      </w:r>
      <w:r>
        <w:rPr>
          <w:rFonts w:cs="Arial"/>
          <w:szCs w:val="22"/>
        </w:rPr>
        <w:t>’</w:t>
      </w:r>
      <w:r w:rsidR="00184E66" w:rsidRPr="00444E66">
        <w:rPr>
          <w:rFonts w:cs="Arial"/>
          <w:szCs w:val="22"/>
        </w:rPr>
        <w:t xml:space="preserve"> </w:t>
      </w:r>
      <w:r w:rsidR="00722A50">
        <w:rPr>
          <w:rFonts w:cs="Arial"/>
          <w:szCs w:val="22"/>
        </w:rPr>
        <w:t xml:space="preserve">is </w:t>
      </w:r>
      <w:r w:rsidR="00184E66" w:rsidRPr="00444E66">
        <w:rPr>
          <w:rFonts w:cs="Arial"/>
          <w:szCs w:val="22"/>
        </w:rPr>
        <w:t>the unconditional return of Indigenous Cultural Heritage to Traditional Owners.</w:t>
      </w:r>
    </w:p>
    <w:p w14:paraId="3275FB44" w14:textId="153D6560" w:rsidR="008B2138" w:rsidRPr="00444E66" w:rsidRDefault="00444E66" w:rsidP="00D03A8B">
      <w:pPr>
        <w:pStyle w:val="BodyTextIndent"/>
        <w:spacing w:before="0" w:after="120"/>
        <w:ind w:left="720" w:hanging="720"/>
        <w:rPr>
          <w:rFonts w:cs="Arial"/>
          <w:szCs w:val="22"/>
        </w:rPr>
      </w:pPr>
      <w:r>
        <w:rPr>
          <w:rFonts w:cs="Arial"/>
          <w:szCs w:val="22"/>
        </w:rPr>
        <w:t>4.6</w:t>
      </w:r>
      <w:r>
        <w:rPr>
          <w:rFonts w:cs="Arial"/>
          <w:szCs w:val="22"/>
        </w:rPr>
        <w:tab/>
        <w:t>‘</w:t>
      </w:r>
      <w:r w:rsidR="001C35B9" w:rsidRPr="00444E66">
        <w:rPr>
          <w:rFonts w:cs="Arial"/>
          <w:szCs w:val="22"/>
        </w:rPr>
        <w:t>Secret–</w:t>
      </w:r>
      <w:r w:rsidR="003B5722" w:rsidRPr="00444E66">
        <w:rPr>
          <w:rFonts w:cs="Arial"/>
          <w:szCs w:val="22"/>
        </w:rPr>
        <w:t>Sacred Objects</w:t>
      </w:r>
      <w:r>
        <w:rPr>
          <w:rFonts w:cs="Arial"/>
          <w:szCs w:val="22"/>
        </w:rPr>
        <w:t>’</w:t>
      </w:r>
      <w:r w:rsidR="003B5722" w:rsidRPr="00444E66">
        <w:rPr>
          <w:rFonts w:cs="Arial"/>
          <w:szCs w:val="22"/>
        </w:rPr>
        <w:t xml:space="preserve"> refers to restricted ceremonial </w:t>
      </w:r>
      <w:r w:rsidR="009279D2" w:rsidRPr="00444E66">
        <w:rPr>
          <w:rFonts w:cs="Arial"/>
          <w:szCs w:val="22"/>
        </w:rPr>
        <w:t>items</w:t>
      </w:r>
      <w:r w:rsidR="003B5722" w:rsidRPr="00444E66">
        <w:rPr>
          <w:rFonts w:cs="Arial"/>
          <w:szCs w:val="22"/>
        </w:rPr>
        <w:t xml:space="preserve"> of contemporary religious and ceremonial significance to Indigenous peoples.</w:t>
      </w:r>
    </w:p>
    <w:p w14:paraId="6DF89963" w14:textId="17471EF9" w:rsidR="00FF30F7" w:rsidRPr="00444E66" w:rsidRDefault="00444E66" w:rsidP="00D03A8B">
      <w:pPr>
        <w:pStyle w:val="BodyTextIndent"/>
        <w:spacing w:before="0" w:after="0"/>
        <w:ind w:left="720" w:hanging="720"/>
        <w:rPr>
          <w:rFonts w:cs="Arial"/>
          <w:szCs w:val="22"/>
        </w:rPr>
      </w:pPr>
      <w:r>
        <w:rPr>
          <w:rFonts w:cs="Arial"/>
          <w:bCs/>
          <w:szCs w:val="22"/>
        </w:rPr>
        <w:t>4.7</w:t>
      </w:r>
      <w:r>
        <w:rPr>
          <w:rFonts w:cs="Arial"/>
          <w:bCs/>
          <w:szCs w:val="22"/>
        </w:rPr>
        <w:tab/>
      </w:r>
      <w:r w:rsidR="00F92E2D">
        <w:t>‘</w:t>
      </w:r>
      <w:r w:rsidR="00F92E2D" w:rsidRPr="00234AB7">
        <w:t>Traditional Owners</w:t>
      </w:r>
      <w:r w:rsidR="00F92E2D">
        <w:t>’ are</w:t>
      </w:r>
      <w:r w:rsidR="00F92E2D" w:rsidRPr="00234AB7">
        <w:t xml:space="preserve"> the people entitled by custom and tradition to be recognised as the rightful owners.</w:t>
      </w:r>
    </w:p>
    <w:p w14:paraId="23837626" w14:textId="77777777" w:rsidR="00444E66" w:rsidRDefault="00444E66" w:rsidP="00D03A8B">
      <w:pPr>
        <w:spacing w:before="0" w:after="0"/>
      </w:pPr>
    </w:p>
    <w:p w14:paraId="05585BB6" w14:textId="77777777" w:rsidR="00444E66" w:rsidRPr="00260110" w:rsidRDefault="00444E66" w:rsidP="00D03A8B">
      <w:pPr>
        <w:spacing w:before="0" w:after="0"/>
      </w:pPr>
    </w:p>
    <w:p w14:paraId="48062086" w14:textId="0947F313" w:rsidR="00A32AAE" w:rsidRPr="00703D70" w:rsidRDefault="00444E66" w:rsidP="00D03A8B">
      <w:pPr>
        <w:pStyle w:val="Heading2"/>
        <w:spacing w:before="0"/>
      </w:pPr>
      <w:r>
        <w:t>5</w:t>
      </w:r>
      <w:r>
        <w:tab/>
      </w:r>
      <w:r w:rsidRPr="00703D70">
        <w:t>Related Policies</w:t>
      </w:r>
    </w:p>
    <w:p w14:paraId="29C308AB" w14:textId="3A3060C3" w:rsidR="00444E66" w:rsidRPr="0071082E" w:rsidRDefault="00444E66" w:rsidP="00D232EC">
      <w:pPr>
        <w:pStyle w:val="ListParagraph"/>
        <w:numPr>
          <w:ilvl w:val="0"/>
          <w:numId w:val="3"/>
        </w:numPr>
        <w:spacing w:before="0" w:after="120"/>
        <w:ind w:left="709" w:hanging="709"/>
        <w:contextualSpacing w:val="0"/>
      </w:pPr>
      <w:r w:rsidRPr="0071082E">
        <w:t>Archives Policy</w:t>
      </w:r>
    </w:p>
    <w:p w14:paraId="6BBFF4A0" w14:textId="77777777" w:rsidR="00966C64" w:rsidRPr="0071082E" w:rsidRDefault="00966C64" w:rsidP="00D232EC">
      <w:pPr>
        <w:pStyle w:val="ListParagraph"/>
        <w:numPr>
          <w:ilvl w:val="0"/>
          <w:numId w:val="3"/>
        </w:numPr>
        <w:spacing w:before="0" w:after="120"/>
        <w:ind w:left="709" w:hanging="709"/>
        <w:contextualSpacing w:val="0"/>
      </w:pPr>
      <w:r w:rsidRPr="0071082E">
        <w:t>Collection Access, Loans and Use Policy</w:t>
      </w:r>
    </w:p>
    <w:p w14:paraId="3E1898B5" w14:textId="77777777" w:rsidR="00966C64" w:rsidRPr="0071082E" w:rsidRDefault="00966C64" w:rsidP="00D232EC">
      <w:pPr>
        <w:pStyle w:val="ListParagraph"/>
        <w:numPr>
          <w:ilvl w:val="0"/>
          <w:numId w:val="3"/>
        </w:numPr>
        <w:spacing w:before="0" w:after="120"/>
        <w:ind w:left="709" w:hanging="709"/>
        <w:contextualSpacing w:val="0"/>
      </w:pPr>
      <w:r w:rsidRPr="0071082E">
        <w:t>Collection Care and Preservation Policy</w:t>
      </w:r>
    </w:p>
    <w:p w14:paraId="50A737E3" w14:textId="77777777" w:rsidR="00966C64" w:rsidRPr="0071082E" w:rsidRDefault="00966C64" w:rsidP="00D232EC">
      <w:pPr>
        <w:pStyle w:val="ListParagraph"/>
        <w:numPr>
          <w:ilvl w:val="0"/>
          <w:numId w:val="3"/>
        </w:numPr>
        <w:spacing w:before="0" w:after="120"/>
        <w:ind w:left="709" w:hanging="709"/>
        <w:contextualSpacing w:val="0"/>
      </w:pPr>
      <w:r w:rsidRPr="0071082E">
        <w:t>Collection Deaccession Policy</w:t>
      </w:r>
    </w:p>
    <w:p w14:paraId="3A17DB07" w14:textId="77777777" w:rsidR="00966C64" w:rsidRPr="0071082E" w:rsidRDefault="00966C64" w:rsidP="00D232EC">
      <w:pPr>
        <w:pStyle w:val="ListParagraph"/>
        <w:numPr>
          <w:ilvl w:val="0"/>
          <w:numId w:val="3"/>
        </w:numPr>
        <w:spacing w:before="0" w:after="120"/>
        <w:ind w:left="709" w:hanging="709"/>
        <w:contextualSpacing w:val="0"/>
      </w:pPr>
      <w:r w:rsidRPr="0071082E">
        <w:t>Collection Development Policy</w:t>
      </w:r>
    </w:p>
    <w:p w14:paraId="403A7409" w14:textId="77777777" w:rsidR="00966C64" w:rsidRPr="0071082E" w:rsidRDefault="00966C64" w:rsidP="00D232EC">
      <w:pPr>
        <w:pStyle w:val="ListParagraph"/>
        <w:numPr>
          <w:ilvl w:val="0"/>
          <w:numId w:val="3"/>
        </w:numPr>
        <w:spacing w:before="0" w:after="120"/>
        <w:ind w:left="709" w:hanging="709"/>
        <w:contextualSpacing w:val="0"/>
      </w:pPr>
      <w:r w:rsidRPr="0071082E">
        <w:t>Collection Provenance and Legal Title Enquiries and Claims Policy</w:t>
      </w:r>
    </w:p>
    <w:p w14:paraId="1D82449B" w14:textId="77777777" w:rsidR="00966C64" w:rsidRPr="0071082E" w:rsidRDefault="00966C64" w:rsidP="00D232EC">
      <w:pPr>
        <w:pStyle w:val="ListParagraph"/>
        <w:numPr>
          <w:ilvl w:val="0"/>
          <w:numId w:val="3"/>
        </w:numPr>
        <w:spacing w:before="0" w:after="120"/>
        <w:ind w:left="709" w:hanging="709"/>
        <w:contextualSpacing w:val="0"/>
      </w:pPr>
      <w:r w:rsidRPr="0071082E">
        <w:t>Indigenous Cultural Heritage Policy</w:t>
      </w:r>
    </w:p>
    <w:p w14:paraId="298E9ECA" w14:textId="77777777" w:rsidR="00966C64" w:rsidRPr="0071082E" w:rsidRDefault="00966C64" w:rsidP="00D232EC">
      <w:pPr>
        <w:pStyle w:val="ListParagraph"/>
        <w:numPr>
          <w:ilvl w:val="0"/>
          <w:numId w:val="3"/>
        </w:numPr>
        <w:spacing w:before="0" w:after="120"/>
        <w:ind w:left="709" w:hanging="709"/>
        <w:contextualSpacing w:val="0"/>
      </w:pPr>
      <w:r w:rsidRPr="0071082E">
        <w:t>Information and Records Management Policy</w:t>
      </w:r>
    </w:p>
    <w:p w14:paraId="5F6E72DD" w14:textId="77777777" w:rsidR="00966C64" w:rsidRPr="0071082E" w:rsidRDefault="00966C64" w:rsidP="00D232EC">
      <w:pPr>
        <w:pStyle w:val="ListParagraph"/>
        <w:numPr>
          <w:ilvl w:val="0"/>
          <w:numId w:val="3"/>
        </w:numPr>
        <w:spacing w:before="0" w:after="120"/>
        <w:ind w:left="709" w:hanging="709"/>
        <w:contextualSpacing w:val="0"/>
      </w:pPr>
      <w:r w:rsidRPr="0071082E">
        <w:t>Privacy Policy</w:t>
      </w:r>
    </w:p>
    <w:p w14:paraId="2B396D11" w14:textId="77777777" w:rsidR="00966C64" w:rsidRPr="0071082E" w:rsidRDefault="00966C64" w:rsidP="00D232EC">
      <w:pPr>
        <w:pStyle w:val="ListParagraph"/>
        <w:numPr>
          <w:ilvl w:val="0"/>
          <w:numId w:val="3"/>
        </w:numPr>
        <w:spacing w:before="0" w:after="120"/>
        <w:ind w:left="709" w:hanging="709"/>
        <w:contextualSpacing w:val="0"/>
      </w:pPr>
      <w:r w:rsidRPr="0071082E">
        <w:t>Records Management and Archives Policy</w:t>
      </w:r>
    </w:p>
    <w:p w14:paraId="7C63F602" w14:textId="21409986" w:rsidR="00D71544" w:rsidRDefault="00966C64" w:rsidP="00D232EC">
      <w:pPr>
        <w:pStyle w:val="ListParagraph"/>
        <w:numPr>
          <w:ilvl w:val="0"/>
          <w:numId w:val="3"/>
        </w:numPr>
        <w:spacing w:before="0" w:after="0"/>
        <w:ind w:left="709" w:hanging="709"/>
        <w:contextualSpacing w:val="0"/>
      </w:pPr>
      <w:r w:rsidRPr="0071082E">
        <w:t>Research Policy</w:t>
      </w:r>
    </w:p>
    <w:p w14:paraId="21E1B57F" w14:textId="6F66C3FA" w:rsidR="00D71544" w:rsidRDefault="00D71544" w:rsidP="00D03A8B">
      <w:pPr>
        <w:spacing w:before="0" w:after="0"/>
      </w:pPr>
    </w:p>
    <w:p w14:paraId="69835425" w14:textId="77777777" w:rsidR="00D03A8B" w:rsidRPr="00E1608B" w:rsidRDefault="00D03A8B" w:rsidP="00D03A8B">
      <w:pPr>
        <w:spacing w:before="0" w:after="0"/>
      </w:pPr>
    </w:p>
    <w:p w14:paraId="4BFDCFC5" w14:textId="77777777" w:rsidR="00D232EC" w:rsidRDefault="00D232EC">
      <w:pPr>
        <w:spacing w:before="0" w:after="0"/>
        <w:rPr>
          <w:b/>
          <w:sz w:val="24"/>
        </w:rPr>
      </w:pPr>
      <w:r>
        <w:br w:type="page"/>
      </w:r>
    </w:p>
    <w:p w14:paraId="1CADC61C" w14:textId="08D58319" w:rsidR="003B5722" w:rsidRPr="00703D70" w:rsidRDefault="00F51FA7" w:rsidP="00D03A8B">
      <w:pPr>
        <w:pStyle w:val="Heading2"/>
        <w:spacing w:before="0"/>
      </w:pPr>
      <w:r>
        <w:lastRenderedPageBreak/>
        <w:t>6</w:t>
      </w:r>
      <w:r>
        <w:tab/>
      </w:r>
      <w:r w:rsidR="00444E66" w:rsidRPr="00703D70">
        <w:t xml:space="preserve">Associated Documents, Guidelines </w:t>
      </w:r>
      <w:r w:rsidR="00444E66">
        <w:t>a</w:t>
      </w:r>
      <w:r w:rsidR="00444E66" w:rsidRPr="00703D70">
        <w:t>nd Procedures</w:t>
      </w:r>
    </w:p>
    <w:p w14:paraId="5195D3F2" w14:textId="304A02E7" w:rsidR="003B5722" w:rsidRPr="008007C2" w:rsidRDefault="008007C2" w:rsidP="00D03A8B">
      <w:pPr>
        <w:spacing w:before="0" w:after="120"/>
        <w:rPr>
          <w:b/>
        </w:rPr>
      </w:pPr>
      <w:r w:rsidRPr="008007C2">
        <w:rPr>
          <w:b/>
        </w:rPr>
        <w:t>6.1</w:t>
      </w:r>
      <w:r w:rsidRPr="008007C2">
        <w:rPr>
          <w:b/>
        </w:rPr>
        <w:tab/>
      </w:r>
      <w:r w:rsidR="003B5722" w:rsidRPr="008007C2">
        <w:rPr>
          <w:b/>
        </w:rPr>
        <w:t>Museum Victoria Documents</w:t>
      </w:r>
    </w:p>
    <w:p w14:paraId="5CE68975" w14:textId="54793F30" w:rsidR="002907EF" w:rsidRDefault="002907EF" w:rsidP="00D232EC">
      <w:pPr>
        <w:pStyle w:val="ListParagraph"/>
        <w:numPr>
          <w:ilvl w:val="0"/>
          <w:numId w:val="3"/>
        </w:numPr>
        <w:spacing w:before="0" w:after="120"/>
        <w:ind w:left="709" w:hanging="709"/>
        <w:contextualSpacing w:val="0"/>
      </w:pPr>
      <w:r>
        <w:t>Collection Deaccession Procedure</w:t>
      </w:r>
    </w:p>
    <w:p w14:paraId="13344039" w14:textId="77777777" w:rsidR="002907EF" w:rsidRPr="0071082E" w:rsidRDefault="002907EF" w:rsidP="00D232EC">
      <w:pPr>
        <w:pStyle w:val="ListParagraph"/>
        <w:numPr>
          <w:ilvl w:val="0"/>
          <w:numId w:val="3"/>
        </w:numPr>
        <w:spacing w:before="0" w:after="120"/>
        <w:ind w:left="709" w:hanging="709"/>
        <w:contextualSpacing w:val="0"/>
      </w:pPr>
      <w:r w:rsidRPr="00B90F5D">
        <w:t>Collection Plans 2013</w:t>
      </w:r>
      <w:r>
        <w:t>–</w:t>
      </w:r>
      <w:r w:rsidRPr="0071082E">
        <w:t>18</w:t>
      </w:r>
    </w:p>
    <w:p w14:paraId="569081B4" w14:textId="77777777" w:rsidR="002907EF" w:rsidRPr="0071082E" w:rsidRDefault="002907EF" w:rsidP="00D232EC">
      <w:pPr>
        <w:pStyle w:val="ListParagraph"/>
        <w:numPr>
          <w:ilvl w:val="0"/>
          <w:numId w:val="3"/>
        </w:numPr>
        <w:spacing w:before="0" w:after="120"/>
        <w:ind w:left="709" w:hanging="709"/>
        <w:contextualSpacing w:val="0"/>
      </w:pPr>
      <w:r w:rsidRPr="0071082E">
        <w:t>Collection Provenance and Legal Title Enquiries and Claims Procedure</w:t>
      </w:r>
    </w:p>
    <w:p w14:paraId="006741CB" w14:textId="4A79E788" w:rsidR="00490EED" w:rsidRPr="0071082E" w:rsidRDefault="002907EF" w:rsidP="00490EED">
      <w:pPr>
        <w:pStyle w:val="ListParagraph"/>
        <w:numPr>
          <w:ilvl w:val="0"/>
          <w:numId w:val="3"/>
        </w:numPr>
        <w:spacing w:before="0" w:after="120"/>
        <w:ind w:left="709" w:hanging="709"/>
        <w:contextualSpacing w:val="0"/>
      </w:pPr>
      <w:r w:rsidRPr="0071082E">
        <w:t>Collection Repatriation Procedure</w:t>
      </w:r>
    </w:p>
    <w:p w14:paraId="42774EBA" w14:textId="1720F017" w:rsidR="003B5722" w:rsidRPr="00B6571F" w:rsidRDefault="00B6571F" w:rsidP="00D03A8B">
      <w:pPr>
        <w:spacing w:before="0" w:after="120"/>
        <w:rPr>
          <w:b/>
        </w:rPr>
      </w:pPr>
      <w:r w:rsidRPr="00B6571F">
        <w:rPr>
          <w:b/>
        </w:rPr>
        <w:t>6.2</w:t>
      </w:r>
      <w:r w:rsidRPr="00B6571F">
        <w:rPr>
          <w:b/>
        </w:rPr>
        <w:tab/>
      </w:r>
      <w:r w:rsidR="003B5722" w:rsidRPr="00B6571F">
        <w:rPr>
          <w:b/>
        </w:rPr>
        <w:t>External Documents</w:t>
      </w:r>
    </w:p>
    <w:p w14:paraId="1793C23F" w14:textId="77777777" w:rsidR="002907EF" w:rsidRPr="0071082E" w:rsidRDefault="002907EF" w:rsidP="00D232EC">
      <w:pPr>
        <w:pStyle w:val="ListParagraph"/>
        <w:numPr>
          <w:ilvl w:val="0"/>
          <w:numId w:val="3"/>
        </w:numPr>
        <w:spacing w:before="0" w:after="120"/>
        <w:ind w:left="709" w:hanging="709"/>
        <w:contextualSpacing w:val="0"/>
      </w:pPr>
      <w:r w:rsidRPr="0071082E">
        <w:t>Australian Best Practice Guide to Collecting Cultural Material, Commonwealth of Australia, 2014</w:t>
      </w:r>
    </w:p>
    <w:p w14:paraId="1A8FB212" w14:textId="77777777" w:rsidR="002907EF" w:rsidRPr="0071082E" w:rsidRDefault="002907EF" w:rsidP="00D232EC">
      <w:pPr>
        <w:pStyle w:val="ListParagraph"/>
        <w:numPr>
          <w:ilvl w:val="0"/>
          <w:numId w:val="3"/>
        </w:numPr>
        <w:spacing w:before="0" w:after="120"/>
        <w:ind w:left="709" w:hanging="709"/>
        <w:contextualSpacing w:val="0"/>
      </w:pPr>
      <w:r w:rsidRPr="0071082E">
        <w:t>Australian Government Indigenous Repatriation Policy</w:t>
      </w:r>
    </w:p>
    <w:p w14:paraId="15AF2572" w14:textId="39B2D376" w:rsidR="002907EF" w:rsidRPr="0071082E" w:rsidRDefault="002907EF" w:rsidP="00D232EC">
      <w:pPr>
        <w:pStyle w:val="ListParagraph"/>
        <w:numPr>
          <w:ilvl w:val="0"/>
          <w:numId w:val="3"/>
        </w:numPr>
        <w:spacing w:before="0" w:after="120"/>
        <w:ind w:left="709" w:hanging="709"/>
        <w:contextualSpacing w:val="0"/>
      </w:pPr>
      <w:r w:rsidRPr="0071082E">
        <w:t>Code of Ethics for Museums, International Council of Museums (ICOM), 2013</w:t>
      </w:r>
    </w:p>
    <w:p w14:paraId="7B3C5622" w14:textId="77777777" w:rsidR="002907EF" w:rsidRPr="0071082E" w:rsidRDefault="002907EF" w:rsidP="00D232EC">
      <w:pPr>
        <w:pStyle w:val="ListParagraph"/>
        <w:numPr>
          <w:ilvl w:val="0"/>
          <w:numId w:val="3"/>
        </w:numPr>
        <w:spacing w:before="0" w:after="120"/>
        <w:ind w:left="709" w:hanging="709"/>
        <w:contextualSpacing w:val="0"/>
      </w:pPr>
      <w:r w:rsidRPr="0071082E">
        <w:t>Code of Ethics, Museums Australia, 1999</w:t>
      </w:r>
    </w:p>
    <w:p w14:paraId="54C160BE" w14:textId="77777777" w:rsidR="002907EF" w:rsidRPr="0071082E" w:rsidRDefault="002907EF" w:rsidP="00D232EC">
      <w:pPr>
        <w:pStyle w:val="ListParagraph"/>
        <w:numPr>
          <w:ilvl w:val="0"/>
          <w:numId w:val="3"/>
        </w:numPr>
        <w:spacing w:before="0" w:after="120"/>
        <w:ind w:left="709" w:hanging="709"/>
        <w:contextualSpacing w:val="0"/>
      </w:pPr>
      <w:r w:rsidRPr="0071082E">
        <w:t>Continuing Cultures Ongoing Responsibilities: Principles and guidelines for Australian museums working with Aboriginal and Torres Strait Islander cultural heritage, Museums Australia, 2005</w:t>
      </w:r>
    </w:p>
    <w:p w14:paraId="19A945BF" w14:textId="7CDE7188" w:rsidR="002907EF" w:rsidRPr="0071082E" w:rsidRDefault="002907EF" w:rsidP="00D232EC">
      <w:pPr>
        <w:pStyle w:val="ListParagraph"/>
        <w:numPr>
          <w:ilvl w:val="0"/>
          <w:numId w:val="3"/>
        </w:numPr>
        <w:spacing w:before="0" w:after="120"/>
        <w:ind w:left="709" w:hanging="709"/>
        <w:contextualSpacing w:val="0"/>
      </w:pPr>
      <w:r w:rsidRPr="0071082E">
        <w:t>Convention on the Means of Prohibiting and Preventing the Illicit Import, Export and Transfer of Ownership of Cultural Property, United Nations, 1970</w:t>
      </w:r>
    </w:p>
    <w:p w14:paraId="0DE5795F" w14:textId="77777777" w:rsidR="002907EF" w:rsidRPr="0071082E" w:rsidRDefault="002907EF" w:rsidP="00994174">
      <w:pPr>
        <w:pStyle w:val="ListParagraph"/>
        <w:numPr>
          <w:ilvl w:val="0"/>
          <w:numId w:val="3"/>
        </w:numPr>
        <w:spacing w:before="0" w:after="120"/>
        <w:ind w:left="709" w:hanging="709"/>
        <w:contextualSpacing w:val="0"/>
      </w:pPr>
      <w:r w:rsidRPr="0071082E">
        <w:t>Declaration on the Rights of Indigenous Peoples, United Nations, 2007</w:t>
      </w:r>
    </w:p>
    <w:p w14:paraId="376DE1D7" w14:textId="77777777" w:rsidR="002907EF" w:rsidRPr="0071082E" w:rsidRDefault="002907EF" w:rsidP="00994174">
      <w:pPr>
        <w:pStyle w:val="ListParagraph"/>
        <w:numPr>
          <w:ilvl w:val="0"/>
          <w:numId w:val="3"/>
        </w:numPr>
        <w:spacing w:before="0" w:after="0"/>
        <w:ind w:left="709" w:hanging="709"/>
        <w:contextualSpacing w:val="0"/>
      </w:pPr>
      <w:r w:rsidRPr="0071082E">
        <w:t>UNESCO Convention on the Protection and Promotion of the Diversity of Cultural Expressions</w:t>
      </w:r>
    </w:p>
    <w:p w14:paraId="6BF6E0E3" w14:textId="77777777" w:rsidR="00444E66" w:rsidRDefault="00444E66" w:rsidP="00D03A8B">
      <w:pPr>
        <w:spacing w:before="0" w:after="0"/>
      </w:pPr>
    </w:p>
    <w:p w14:paraId="791E62F1" w14:textId="77777777" w:rsidR="00444E66" w:rsidRPr="00E1608B" w:rsidRDefault="00444E66" w:rsidP="00D03A8B">
      <w:pPr>
        <w:spacing w:before="0" w:after="0"/>
      </w:pPr>
    </w:p>
    <w:p w14:paraId="2B5168DC" w14:textId="7B448910" w:rsidR="00A32AAE" w:rsidRPr="00703D70" w:rsidRDefault="00444E66" w:rsidP="00D03A8B">
      <w:pPr>
        <w:pStyle w:val="Heading2"/>
        <w:spacing w:before="0"/>
      </w:pPr>
      <w:r>
        <w:t>7</w:t>
      </w:r>
      <w:r>
        <w:tab/>
      </w:r>
      <w:r w:rsidRPr="00703D70">
        <w:t>Legislation</w:t>
      </w:r>
    </w:p>
    <w:p w14:paraId="6F902DA5" w14:textId="021313FA" w:rsidR="002907EF" w:rsidRPr="00D232EC" w:rsidRDefault="002907EF" w:rsidP="00D232EC">
      <w:pPr>
        <w:pStyle w:val="ListParagraph"/>
        <w:numPr>
          <w:ilvl w:val="0"/>
          <w:numId w:val="3"/>
        </w:numPr>
        <w:spacing w:before="0" w:after="120"/>
        <w:ind w:left="709" w:hanging="709"/>
        <w:contextualSpacing w:val="0"/>
        <w:rPr>
          <w:i/>
        </w:rPr>
      </w:pPr>
      <w:r w:rsidRPr="00D232EC">
        <w:rPr>
          <w:i/>
        </w:rPr>
        <w:t>Aboriginal and Torres Strait Islander Heritage Protection Act 1984</w:t>
      </w:r>
    </w:p>
    <w:p w14:paraId="0933F60A" w14:textId="77777777" w:rsidR="002907EF" w:rsidRPr="0071082E" w:rsidRDefault="002907EF" w:rsidP="00D232EC">
      <w:pPr>
        <w:pStyle w:val="ListParagraph"/>
        <w:numPr>
          <w:ilvl w:val="0"/>
          <w:numId w:val="3"/>
        </w:numPr>
        <w:spacing w:before="0" w:after="120"/>
        <w:ind w:left="709" w:hanging="709"/>
        <w:contextualSpacing w:val="0"/>
      </w:pPr>
      <w:r w:rsidRPr="00D03A8B">
        <w:rPr>
          <w:i/>
        </w:rPr>
        <w:t>Aboriginal Heritage Act 2006</w:t>
      </w:r>
      <w:r w:rsidRPr="00D03A8B">
        <w:t xml:space="preserve"> </w:t>
      </w:r>
      <w:r w:rsidRPr="0071082E">
        <w:t>(Vic.)</w:t>
      </w:r>
    </w:p>
    <w:p w14:paraId="29728678" w14:textId="77777777" w:rsidR="002907EF" w:rsidRPr="00D03A8B" w:rsidRDefault="002907EF" w:rsidP="00D232EC">
      <w:pPr>
        <w:pStyle w:val="ListParagraph"/>
        <w:numPr>
          <w:ilvl w:val="0"/>
          <w:numId w:val="3"/>
        </w:numPr>
        <w:spacing w:before="0" w:after="120"/>
        <w:ind w:left="709" w:hanging="709"/>
        <w:contextualSpacing w:val="0"/>
      </w:pPr>
      <w:r w:rsidRPr="00D03A8B">
        <w:rPr>
          <w:i/>
        </w:rPr>
        <w:t>Charter of Human Rights and Responsibilities Act 2006</w:t>
      </w:r>
      <w:r w:rsidRPr="00D03A8B">
        <w:t xml:space="preserve"> </w:t>
      </w:r>
      <w:r w:rsidRPr="0071082E">
        <w:t>(Vic.)</w:t>
      </w:r>
    </w:p>
    <w:p w14:paraId="299D8336" w14:textId="77777777" w:rsidR="002907EF" w:rsidRPr="00D03A8B" w:rsidRDefault="002907EF" w:rsidP="00D232EC">
      <w:pPr>
        <w:pStyle w:val="ListParagraph"/>
        <w:numPr>
          <w:ilvl w:val="0"/>
          <w:numId w:val="3"/>
        </w:numPr>
        <w:spacing w:before="0" w:after="120"/>
        <w:ind w:left="709" w:hanging="709"/>
        <w:contextualSpacing w:val="0"/>
      </w:pPr>
      <w:r w:rsidRPr="00D03A8B">
        <w:rPr>
          <w:i/>
        </w:rPr>
        <w:t>Museums Act 1983</w:t>
      </w:r>
      <w:r w:rsidRPr="00D03A8B">
        <w:t xml:space="preserve"> </w:t>
      </w:r>
      <w:r w:rsidRPr="0071082E">
        <w:t>(Vic.)</w:t>
      </w:r>
    </w:p>
    <w:p w14:paraId="1ABF6B63" w14:textId="77777777" w:rsidR="002907EF" w:rsidRPr="00D03A8B" w:rsidRDefault="002907EF" w:rsidP="00D232EC">
      <w:pPr>
        <w:pStyle w:val="ListParagraph"/>
        <w:numPr>
          <w:ilvl w:val="0"/>
          <w:numId w:val="3"/>
        </w:numPr>
        <w:spacing w:before="0" w:after="120"/>
        <w:ind w:left="709" w:hanging="709"/>
        <w:contextualSpacing w:val="0"/>
      </w:pPr>
      <w:r w:rsidRPr="00D03A8B">
        <w:rPr>
          <w:i/>
        </w:rPr>
        <w:t>Native American Graves Protection and Repatriation Act 1990</w:t>
      </w:r>
      <w:r w:rsidRPr="0071082E">
        <w:t xml:space="preserve"> (USA)</w:t>
      </w:r>
    </w:p>
    <w:p w14:paraId="3C87745B" w14:textId="30F212A5" w:rsidR="002907EF" w:rsidRPr="00D03A8B" w:rsidRDefault="002907EF" w:rsidP="00D232EC">
      <w:pPr>
        <w:pStyle w:val="ListParagraph"/>
        <w:numPr>
          <w:ilvl w:val="0"/>
          <w:numId w:val="3"/>
        </w:numPr>
        <w:spacing w:before="0" w:after="120"/>
        <w:ind w:left="709" w:hanging="709"/>
        <w:contextualSpacing w:val="0"/>
        <w:rPr>
          <w:i/>
        </w:rPr>
      </w:pPr>
      <w:r w:rsidRPr="00D03A8B">
        <w:rPr>
          <w:i/>
        </w:rPr>
        <w:t>Native Title Act 1993</w:t>
      </w:r>
    </w:p>
    <w:p w14:paraId="33879429" w14:textId="51C21FF4" w:rsidR="002907EF" w:rsidRPr="00D03A8B" w:rsidRDefault="002907EF" w:rsidP="00D232EC">
      <w:pPr>
        <w:pStyle w:val="ListParagraph"/>
        <w:numPr>
          <w:ilvl w:val="0"/>
          <w:numId w:val="3"/>
        </w:numPr>
        <w:spacing w:before="0" w:after="120"/>
        <w:ind w:left="709" w:hanging="709"/>
        <w:contextualSpacing w:val="0"/>
        <w:rPr>
          <w:i/>
        </w:rPr>
      </w:pPr>
      <w:r w:rsidRPr="00D03A8B">
        <w:rPr>
          <w:i/>
        </w:rPr>
        <w:t>Protection of Cultural Objects on Loan Act 2013</w:t>
      </w:r>
    </w:p>
    <w:p w14:paraId="734BBF36" w14:textId="77777777" w:rsidR="002907EF" w:rsidRPr="00D03A8B" w:rsidRDefault="002907EF" w:rsidP="00D232EC">
      <w:pPr>
        <w:pStyle w:val="ListParagraph"/>
        <w:numPr>
          <w:ilvl w:val="0"/>
          <w:numId w:val="3"/>
        </w:numPr>
        <w:spacing w:before="0" w:after="120"/>
        <w:ind w:left="709" w:hanging="709"/>
        <w:contextualSpacing w:val="0"/>
        <w:rPr>
          <w:i/>
        </w:rPr>
      </w:pPr>
      <w:r w:rsidRPr="00D03A8B">
        <w:rPr>
          <w:i/>
        </w:rPr>
        <w:t>Protection of Cultural Objects on Loan Regulation 2014</w:t>
      </w:r>
    </w:p>
    <w:p w14:paraId="3BF35E0C" w14:textId="485841BB" w:rsidR="002907EF" w:rsidRPr="00D03A8B" w:rsidRDefault="002907EF" w:rsidP="00D232EC">
      <w:pPr>
        <w:pStyle w:val="ListParagraph"/>
        <w:numPr>
          <w:ilvl w:val="0"/>
          <w:numId w:val="3"/>
        </w:numPr>
        <w:spacing w:before="0" w:after="120"/>
        <w:ind w:left="709" w:hanging="709"/>
        <w:contextualSpacing w:val="0"/>
        <w:rPr>
          <w:i/>
        </w:rPr>
      </w:pPr>
      <w:r w:rsidRPr="00D03A8B">
        <w:rPr>
          <w:i/>
        </w:rPr>
        <w:t>Protection of Mov</w:t>
      </w:r>
      <w:r>
        <w:rPr>
          <w:i/>
        </w:rPr>
        <w:t>able Cultural Heritage Act 1986</w:t>
      </w:r>
    </w:p>
    <w:p w14:paraId="026BCDB3" w14:textId="77777777" w:rsidR="002907EF" w:rsidRPr="00D03A8B" w:rsidRDefault="002907EF" w:rsidP="00D232EC">
      <w:pPr>
        <w:pStyle w:val="ListParagraph"/>
        <w:numPr>
          <w:ilvl w:val="0"/>
          <w:numId w:val="3"/>
        </w:numPr>
        <w:spacing w:before="0" w:after="120"/>
        <w:ind w:left="709" w:hanging="709"/>
        <w:contextualSpacing w:val="0"/>
      </w:pPr>
      <w:r w:rsidRPr="00D03A8B">
        <w:rPr>
          <w:i/>
        </w:rPr>
        <w:t>Public Records Act 1973</w:t>
      </w:r>
      <w:r w:rsidRPr="00D03A8B">
        <w:t xml:space="preserve"> </w:t>
      </w:r>
      <w:r w:rsidRPr="0071082E">
        <w:t>(Vic.)</w:t>
      </w:r>
    </w:p>
    <w:sectPr w:rsidR="002907EF" w:rsidRPr="00D03A8B" w:rsidSect="00D03A8B">
      <w:footerReference w:type="default" r:id="rId8"/>
      <w:pgSz w:w="11907" w:h="16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5BE9" w14:textId="77777777" w:rsidR="00D06FD9" w:rsidRDefault="00D06FD9" w:rsidP="001D0E0A">
      <w:r>
        <w:separator/>
      </w:r>
    </w:p>
  </w:endnote>
  <w:endnote w:type="continuationSeparator" w:id="0">
    <w:p w14:paraId="1A68044C" w14:textId="77777777" w:rsidR="00D06FD9" w:rsidRDefault="00D06FD9" w:rsidP="001D0E0A">
      <w:r>
        <w:continuationSeparator/>
      </w:r>
    </w:p>
  </w:endnote>
  <w:endnote w:type="continuationNotice" w:id="1">
    <w:p w14:paraId="0AB112F6" w14:textId="77777777" w:rsidR="00D06FD9" w:rsidRDefault="00D06F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3C22" w14:textId="1FDFCECB" w:rsidR="00492BA8" w:rsidRDefault="00492BA8" w:rsidP="00492BA8">
    <w:pPr>
      <w:pBdr>
        <w:top w:val="single" w:sz="4" w:space="1" w:color="auto"/>
      </w:pBdr>
      <w:tabs>
        <w:tab w:val="center" w:pos="4513"/>
        <w:tab w:val="right" w:pos="9026"/>
      </w:tabs>
      <w:spacing w:before="0" w:after="0"/>
      <w:rPr>
        <w:rFonts w:cs="Arial"/>
        <w:sz w:val="16"/>
        <w:szCs w:val="16"/>
        <w:lang w:eastAsia="en-AU"/>
      </w:rPr>
    </w:pPr>
    <w:r>
      <w:rPr>
        <w:rFonts w:cs="Arial"/>
        <w:sz w:val="16"/>
        <w:szCs w:val="16"/>
        <w:lang w:eastAsia="en-AU"/>
      </w:rPr>
      <w:t xml:space="preserve">Repatriation of Indigenous Cultural </w:t>
    </w:r>
    <w:r w:rsidR="003A17F3">
      <w:rPr>
        <w:rFonts w:cs="Arial"/>
        <w:sz w:val="16"/>
        <w:szCs w:val="16"/>
        <w:lang w:eastAsia="en-AU"/>
      </w:rPr>
      <w:t>Property Policy</w:t>
    </w:r>
    <w:r w:rsidR="003A17F3">
      <w:rPr>
        <w:rFonts w:cs="Arial"/>
        <w:sz w:val="16"/>
        <w:szCs w:val="16"/>
        <w:lang w:eastAsia="en-AU"/>
      </w:rPr>
      <w:tab/>
    </w:r>
    <w:r w:rsidR="003A17F3">
      <w:rPr>
        <w:rFonts w:cs="Arial"/>
        <w:sz w:val="16"/>
        <w:szCs w:val="16"/>
        <w:lang w:eastAsia="en-AU"/>
      </w:rPr>
      <w:tab/>
    </w:r>
  </w:p>
  <w:p w14:paraId="09BF6AB8" w14:textId="7191CD00" w:rsidR="00492BA8" w:rsidRPr="00492BA8" w:rsidRDefault="003A17F3" w:rsidP="003A17F3">
    <w:pPr>
      <w:tabs>
        <w:tab w:val="center" w:pos="4513"/>
        <w:tab w:val="right" w:pos="9026"/>
      </w:tabs>
      <w:spacing w:before="0" w:after="0"/>
      <w:rPr>
        <w:rFonts w:cs="Arial"/>
        <w:sz w:val="16"/>
        <w:szCs w:val="16"/>
        <w:lang w:eastAsia="en-AU"/>
      </w:rPr>
    </w:pPr>
    <w:r>
      <w:rPr>
        <w:rFonts w:cs="Arial"/>
        <w:sz w:val="16"/>
        <w:szCs w:val="16"/>
        <w:lang w:eastAsia="en-AU"/>
      </w:rPr>
      <w:t xml:space="preserve">Page </w:t>
    </w:r>
    <w:r>
      <w:rPr>
        <w:rFonts w:cs="Arial"/>
        <w:sz w:val="16"/>
        <w:szCs w:val="16"/>
        <w:lang w:eastAsia="en-AU"/>
      </w:rPr>
      <w:fldChar w:fldCharType="begin"/>
    </w:r>
    <w:r>
      <w:rPr>
        <w:rFonts w:cs="Arial"/>
        <w:sz w:val="16"/>
        <w:szCs w:val="16"/>
        <w:lang w:eastAsia="en-AU"/>
      </w:rPr>
      <w:instrText xml:space="preserve"> PAGE </w:instrText>
    </w:r>
    <w:r>
      <w:rPr>
        <w:rFonts w:cs="Arial"/>
        <w:sz w:val="16"/>
        <w:szCs w:val="16"/>
        <w:lang w:eastAsia="en-AU"/>
      </w:rPr>
      <w:fldChar w:fldCharType="separate"/>
    </w:r>
    <w:r w:rsidR="00236289">
      <w:rPr>
        <w:rFonts w:cs="Arial"/>
        <w:noProof/>
        <w:sz w:val="16"/>
        <w:szCs w:val="16"/>
        <w:lang w:eastAsia="en-AU"/>
      </w:rPr>
      <w:t>2</w:t>
    </w:r>
    <w:r>
      <w:rPr>
        <w:rFonts w:cs="Arial"/>
        <w:sz w:val="16"/>
        <w:szCs w:val="16"/>
        <w:lang w:eastAsia="en-AU"/>
      </w:rPr>
      <w:fldChar w:fldCharType="end"/>
    </w:r>
    <w:r>
      <w:rPr>
        <w:rFonts w:cs="Arial"/>
        <w:sz w:val="16"/>
        <w:szCs w:val="16"/>
        <w:lang w:eastAsia="en-AU"/>
      </w:rPr>
      <w:t xml:space="preserve"> of </w:t>
    </w:r>
    <w:r>
      <w:rPr>
        <w:rFonts w:cs="Arial"/>
        <w:sz w:val="16"/>
        <w:szCs w:val="16"/>
        <w:lang w:eastAsia="en-AU"/>
      </w:rPr>
      <w:fldChar w:fldCharType="begin"/>
    </w:r>
    <w:r>
      <w:rPr>
        <w:rFonts w:cs="Arial"/>
        <w:sz w:val="16"/>
        <w:szCs w:val="16"/>
        <w:lang w:eastAsia="en-AU"/>
      </w:rPr>
      <w:instrText xml:space="preserve"> NUMPAGES </w:instrText>
    </w:r>
    <w:r>
      <w:rPr>
        <w:rFonts w:cs="Arial"/>
        <w:sz w:val="16"/>
        <w:szCs w:val="16"/>
        <w:lang w:eastAsia="en-AU"/>
      </w:rPr>
      <w:fldChar w:fldCharType="separate"/>
    </w:r>
    <w:r w:rsidR="00236289">
      <w:rPr>
        <w:rFonts w:cs="Arial"/>
        <w:noProof/>
        <w:sz w:val="16"/>
        <w:szCs w:val="16"/>
        <w:lang w:eastAsia="en-AU"/>
      </w:rPr>
      <w:t>4</w:t>
    </w:r>
    <w:r>
      <w:rPr>
        <w:rFonts w:cs="Arial"/>
        <w:sz w:val="16"/>
        <w:szCs w:val="16"/>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F024" w14:textId="77777777" w:rsidR="00D06FD9" w:rsidRDefault="00D06FD9" w:rsidP="001D0E0A">
      <w:r>
        <w:separator/>
      </w:r>
    </w:p>
  </w:footnote>
  <w:footnote w:type="continuationSeparator" w:id="0">
    <w:p w14:paraId="0F6B9441" w14:textId="77777777" w:rsidR="00D06FD9" w:rsidRDefault="00D06FD9" w:rsidP="001D0E0A">
      <w:r>
        <w:continuationSeparator/>
      </w:r>
    </w:p>
  </w:footnote>
  <w:footnote w:type="continuationNotice" w:id="1">
    <w:p w14:paraId="3E339CF0" w14:textId="77777777" w:rsidR="00D06FD9" w:rsidRDefault="00D06FD9">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A54D58"/>
    <w:multiLevelType w:val="singleLevel"/>
    <w:tmpl w:val="C09A86D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3" w15:restartNumberingAfterBreak="0">
    <w:nsid w:val="4AAD0DB7"/>
    <w:multiLevelType w:val="hybridMultilevel"/>
    <w:tmpl w:val="A60A772E"/>
    <w:lvl w:ilvl="0" w:tplc="C9BA680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5D114D"/>
    <w:multiLevelType w:val="hybridMultilevel"/>
    <w:tmpl w:val="751E5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90B1FA4"/>
    <w:multiLevelType w:val="hybridMultilevel"/>
    <w:tmpl w:val="1C30A74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MDA3NjUzNzI0NzVR0lEKTi0uzszPAykwqgUALCqQYywAAAA="/>
  </w:docVars>
  <w:rsids>
    <w:rsidRoot w:val="00325A8E"/>
    <w:rsid w:val="0000637B"/>
    <w:rsid w:val="000130CE"/>
    <w:rsid w:val="000153B2"/>
    <w:rsid w:val="000859A0"/>
    <w:rsid w:val="000A3512"/>
    <w:rsid w:val="000C2522"/>
    <w:rsid w:val="000D5C73"/>
    <w:rsid w:val="00116728"/>
    <w:rsid w:val="0012178B"/>
    <w:rsid w:val="0013038A"/>
    <w:rsid w:val="0018233C"/>
    <w:rsid w:val="00184E66"/>
    <w:rsid w:val="001A57C7"/>
    <w:rsid w:val="001B55DA"/>
    <w:rsid w:val="001B586F"/>
    <w:rsid w:val="001B75FB"/>
    <w:rsid w:val="001C35B9"/>
    <w:rsid w:val="001D0E0A"/>
    <w:rsid w:val="001E0A1F"/>
    <w:rsid w:val="001F6506"/>
    <w:rsid w:val="00236289"/>
    <w:rsid w:val="00241EBB"/>
    <w:rsid w:val="00276E87"/>
    <w:rsid w:val="002907EF"/>
    <w:rsid w:val="002C0ACF"/>
    <w:rsid w:val="00325A8E"/>
    <w:rsid w:val="0034304E"/>
    <w:rsid w:val="003609D2"/>
    <w:rsid w:val="003A17F3"/>
    <w:rsid w:val="003B5722"/>
    <w:rsid w:val="003F3B8A"/>
    <w:rsid w:val="004049FA"/>
    <w:rsid w:val="0041409B"/>
    <w:rsid w:val="00444E66"/>
    <w:rsid w:val="00455863"/>
    <w:rsid w:val="004644B4"/>
    <w:rsid w:val="00464F81"/>
    <w:rsid w:val="0047640C"/>
    <w:rsid w:val="00490EED"/>
    <w:rsid w:val="00492BA8"/>
    <w:rsid w:val="0049548F"/>
    <w:rsid w:val="004B1FCB"/>
    <w:rsid w:val="004D4B49"/>
    <w:rsid w:val="00534B4B"/>
    <w:rsid w:val="00537A22"/>
    <w:rsid w:val="0058655B"/>
    <w:rsid w:val="00622FBF"/>
    <w:rsid w:val="0062655A"/>
    <w:rsid w:val="00644E44"/>
    <w:rsid w:val="00664DBD"/>
    <w:rsid w:val="006672EC"/>
    <w:rsid w:val="00680EC7"/>
    <w:rsid w:val="00686B9A"/>
    <w:rsid w:val="006B7D3D"/>
    <w:rsid w:val="00703D70"/>
    <w:rsid w:val="0071082E"/>
    <w:rsid w:val="00722A50"/>
    <w:rsid w:val="007A7BCF"/>
    <w:rsid w:val="007B23F9"/>
    <w:rsid w:val="007D3AFB"/>
    <w:rsid w:val="008007C2"/>
    <w:rsid w:val="008268AF"/>
    <w:rsid w:val="00837102"/>
    <w:rsid w:val="008454CB"/>
    <w:rsid w:val="00846085"/>
    <w:rsid w:val="008B2138"/>
    <w:rsid w:val="008C7F4D"/>
    <w:rsid w:val="00903517"/>
    <w:rsid w:val="009279D2"/>
    <w:rsid w:val="00966C64"/>
    <w:rsid w:val="00987A67"/>
    <w:rsid w:val="00994174"/>
    <w:rsid w:val="009A3569"/>
    <w:rsid w:val="009A3712"/>
    <w:rsid w:val="009A4C20"/>
    <w:rsid w:val="009C672C"/>
    <w:rsid w:val="00A32AAE"/>
    <w:rsid w:val="00A663F2"/>
    <w:rsid w:val="00AA479D"/>
    <w:rsid w:val="00AF6331"/>
    <w:rsid w:val="00B10587"/>
    <w:rsid w:val="00B53E14"/>
    <w:rsid w:val="00B6571F"/>
    <w:rsid w:val="00B90F5D"/>
    <w:rsid w:val="00BA7848"/>
    <w:rsid w:val="00BE3AA8"/>
    <w:rsid w:val="00BE6EBA"/>
    <w:rsid w:val="00BE7C07"/>
    <w:rsid w:val="00C031D3"/>
    <w:rsid w:val="00C2211C"/>
    <w:rsid w:val="00C450F2"/>
    <w:rsid w:val="00C62373"/>
    <w:rsid w:val="00C67B06"/>
    <w:rsid w:val="00C70FC0"/>
    <w:rsid w:val="00C725F9"/>
    <w:rsid w:val="00C752C3"/>
    <w:rsid w:val="00CC5231"/>
    <w:rsid w:val="00CD73FB"/>
    <w:rsid w:val="00CF3806"/>
    <w:rsid w:val="00CF3A91"/>
    <w:rsid w:val="00CF46D3"/>
    <w:rsid w:val="00D03A8B"/>
    <w:rsid w:val="00D03E1D"/>
    <w:rsid w:val="00D06FD9"/>
    <w:rsid w:val="00D232EC"/>
    <w:rsid w:val="00D71544"/>
    <w:rsid w:val="00D84D5A"/>
    <w:rsid w:val="00D9700E"/>
    <w:rsid w:val="00DC3C48"/>
    <w:rsid w:val="00DC65B3"/>
    <w:rsid w:val="00E21A53"/>
    <w:rsid w:val="00E26830"/>
    <w:rsid w:val="00E663D1"/>
    <w:rsid w:val="00E878CF"/>
    <w:rsid w:val="00ED196F"/>
    <w:rsid w:val="00EE0D46"/>
    <w:rsid w:val="00EE29B4"/>
    <w:rsid w:val="00F074B4"/>
    <w:rsid w:val="00F51FA7"/>
    <w:rsid w:val="00F82899"/>
    <w:rsid w:val="00F92E2D"/>
    <w:rsid w:val="00F968D6"/>
    <w:rsid w:val="00FA2FC8"/>
    <w:rsid w:val="00FF30F7"/>
    <w:rsid w:val="00FF5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B4D7C"/>
  <w15:docId w15:val="{0DFC57F6-BD77-46B9-9931-B69EBDB1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CE"/>
    <w:pPr>
      <w:spacing w:before="120" w:after="240"/>
    </w:pPr>
    <w:rPr>
      <w:rFonts w:ascii="Arial" w:hAnsi="Arial"/>
      <w:sz w:val="22"/>
      <w:lang w:eastAsia="en-US"/>
    </w:rPr>
  </w:style>
  <w:style w:type="paragraph" w:styleId="Heading1">
    <w:name w:val="heading 1"/>
    <w:basedOn w:val="Normal"/>
    <w:next w:val="Normal"/>
    <w:qFormat/>
    <w:rsid w:val="00622FBF"/>
    <w:pPr>
      <w:keepNext/>
      <w:spacing w:before="240" w:after="60"/>
      <w:jc w:val="right"/>
      <w:outlineLvl w:val="0"/>
    </w:pPr>
    <w:rPr>
      <w:b/>
      <w:kern w:val="28"/>
      <w:sz w:val="32"/>
      <w:lang w:val="en-GB"/>
    </w:rPr>
  </w:style>
  <w:style w:type="paragraph" w:styleId="Heading2">
    <w:name w:val="heading 2"/>
    <w:basedOn w:val="Normal"/>
    <w:next w:val="Normal"/>
    <w:qFormat/>
    <w:rsid w:val="00444E66"/>
    <w:pPr>
      <w:keepNext/>
      <w:spacing w:before="240" w:after="120"/>
      <w:outlineLvl w:val="1"/>
    </w:pPr>
    <w:rPr>
      <w:b/>
      <w:sz w:val="24"/>
    </w:rPr>
  </w:style>
  <w:style w:type="paragraph" w:styleId="Heading3">
    <w:name w:val="heading 3"/>
    <w:basedOn w:val="Normal"/>
    <w:next w:val="Normal"/>
    <w:qFormat/>
    <w:rsid w:val="0034304E"/>
    <w:pPr>
      <w:keepNext/>
      <w:outlineLvl w:val="2"/>
    </w:pPr>
    <w:rPr>
      <w:b/>
      <w:sz w:val="32"/>
    </w:rPr>
  </w:style>
  <w:style w:type="paragraph" w:styleId="Heading4">
    <w:name w:val="heading 4"/>
    <w:basedOn w:val="Normal"/>
    <w:next w:val="Normal"/>
    <w:qFormat/>
    <w:rsid w:val="0034304E"/>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04E"/>
    <w:pPr>
      <w:tabs>
        <w:tab w:val="center" w:pos="4153"/>
        <w:tab w:val="right" w:pos="8306"/>
      </w:tabs>
    </w:pPr>
  </w:style>
  <w:style w:type="paragraph" w:styleId="Footer">
    <w:name w:val="footer"/>
    <w:basedOn w:val="Normal"/>
    <w:rsid w:val="0034304E"/>
    <w:pPr>
      <w:tabs>
        <w:tab w:val="center" w:pos="4153"/>
        <w:tab w:val="right" w:pos="8306"/>
      </w:tabs>
    </w:pPr>
  </w:style>
  <w:style w:type="character" w:styleId="PageNumber">
    <w:name w:val="page number"/>
    <w:basedOn w:val="DefaultParagraphFont"/>
    <w:rsid w:val="0034304E"/>
  </w:style>
  <w:style w:type="paragraph" w:customStyle="1" w:styleId="Text">
    <w:name w:val="Text"/>
    <w:basedOn w:val="Normal"/>
    <w:rsid w:val="0034304E"/>
    <w:pPr>
      <w:spacing w:line="300" w:lineRule="exact"/>
    </w:pPr>
  </w:style>
  <w:style w:type="paragraph" w:styleId="BodyTextIndent">
    <w:name w:val="Body Text Indent"/>
    <w:basedOn w:val="Normal"/>
    <w:rsid w:val="0034304E"/>
    <w:pPr>
      <w:ind w:left="709" w:hanging="709"/>
    </w:pPr>
  </w:style>
  <w:style w:type="paragraph" w:styleId="FootnoteText">
    <w:name w:val="footnote text"/>
    <w:basedOn w:val="Normal"/>
    <w:semiHidden/>
    <w:rsid w:val="0034304E"/>
    <w:rPr>
      <w:sz w:val="20"/>
    </w:rPr>
  </w:style>
  <w:style w:type="character" w:styleId="FootnoteReference">
    <w:name w:val="footnote reference"/>
    <w:basedOn w:val="DefaultParagraphFont"/>
    <w:semiHidden/>
    <w:rsid w:val="0034304E"/>
    <w:rPr>
      <w:vertAlign w:val="superscript"/>
    </w:rPr>
  </w:style>
  <w:style w:type="paragraph" w:styleId="BodyTextIndent2">
    <w:name w:val="Body Text Indent 2"/>
    <w:basedOn w:val="Normal"/>
    <w:rsid w:val="0034304E"/>
    <w:pPr>
      <w:ind w:left="709"/>
    </w:pPr>
    <w:rPr>
      <w:i/>
      <w:lang w:val="en-GB"/>
    </w:rPr>
  </w:style>
  <w:style w:type="paragraph" w:customStyle="1" w:styleId="Bullets1">
    <w:name w:val="Bullets1"/>
    <w:basedOn w:val="Normal"/>
    <w:rsid w:val="0034304E"/>
    <w:pPr>
      <w:numPr>
        <w:numId w:val="1"/>
      </w:numPr>
    </w:pPr>
  </w:style>
  <w:style w:type="paragraph" w:customStyle="1" w:styleId="Style1">
    <w:name w:val="Style1"/>
    <w:basedOn w:val="Normal"/>
    <w:rsid w:val="0034304E"/>
    <w:rPr>
      <w:b/>
      <w:caps/>
    </w:rPr>
  </w:style>
  <w:style w:type="paragraph" w:customStyle="1" w:styleId="policyinfo">
    <w:name w:val="policy info"/>
    <w:basedOn w:val="FootnoteText"/>
    <w:rsid w:val="0034304E"/>
    <w:pPr>
      <w:tabs>
        <w:tab w:val="left" w:pos="3119"/>
      </w:tabs>
    </w:pPr>
  </w:style>
  <w:style w:type="paragraph" w:styleId="ListParagraph">
    <w:name w:val="List Paragraph"/>
    <w:basedOn w:val="Normal"/>
    <w:uiPriority w:val="34"/>
    <w:qFormat/>
    <w:rsid w:val="00CF46D3"/>
    <w:pPr>
      <w:numPr>
        <w:numId w:val="4"/>
      </w:numPr>
      <w:contextualSpacing/>
    </w:pPr>
    <w:rPr>
      <w:rFonts w:eastAsia="Calibri"/>
      <w:szCs w:val="22"/>
      <w:lang w:val="en-US"/>
    </w:rPr>
  </w:style>
  <w:style w:type="character" w:styleId="CommentReference">
    <w:name w:val="annotation reference"/>
    <w:uiPriority w:val="99"/>
    <w:semiHidden/>
    <w:unhideWhenUsed/>
    <w:rsid w:val="003B5722"/>
    <w:rPr>
      <w:sz w:val="16"/>
      <w:szCs w:val="16"/>
    </w:rPr>
  </w:style>
  <w:style w:type="paragraph" w:styleId="CommentText">
    <w:name w:val="annotation text"/>
    <w:basedOn w:val="Normal"/>
    <w:link w:val="CommentTextChar"/>
    <w:uiPriority w:val="99"/>
    <w:semiHidden/>
    <w:unhideWhenUsed/>
    <w:rsid w:val="003B5722"/>
    <w:pPr>
      <w:spacing w:after="160"/>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3B5722"/>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D0E0A"/>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uiPriority w:val="99"/>
    <w:semiHidden/>
    <w:rsid w:val="001D0E0A"/>
    <w:rPr>
      <w:rFonts w:ascii="Calibri" w:eastAsia="Calibri" w:hAnsi="Calibri"/>
      <w:b/>
      <w:bCs/>
      <w:lang w:val="en-US" w:eastAsia="en-US"/>
    </w:rPr>
  </w:style>
  <w:style w:type="paragraph" w:styleId="BalloonText">
    <w:name w:val="Balloon Text"/>
    <w:basedOn w:val="Normal"/>
    <w:link w:val="BalloonTextChar"/>
    <w:uiPriority w:val="99"/>
    <w:semiHidden/>
    <w:unhideWhenUsed/>
    <w:rsid w:val="001D0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0A"/>
    <w:rPr>
      <w:rFonts w:ascii="Segoe UI" w:hAnsi="Segoe UI" w:cs="Segoe UI"/>
      <w:sz w:val="18"/>
      <w:szCs w:val="18"/>
      <w:lang w:eastAsia="en-US"/>
    </w:rPr>
  </w:style>
  <w:style w:type="character" w:customStyle="1" w:styleId="HeaderChar">
    <w:name w:val="Header Char"/>
    <w:basedOn w:val="DefaultParagraphFont"/>
    <w:link w:val="Header"/>
    <w:uiPriority w:val="99"/>
    <w:rsid w:val="00703D70"/>
    <w:rPr>
      <w:sz w:val="24"/>
      <w:lang w:eastAsia="en-US"/>
    </w:rPr>
  </w:style>
  <w:style w:type="character" w:styleId="PlaceholderText">
    <w:name w:val="Placeholder Text"/>
    <w:basedOn w:val="DefaultParagraphFont"/>
    <w:uiPriority w:val="99"/>
    <w:semiHidden/>
    <w:rsid w:val="001C35B9"/>
    <w:rPr>
      <w:color w:val="808080"/>
    </w:rPr>
  </w:style>
  <w:style w:type="paragraph" w:styleId="NoSpacing">
    <w:name w:val="No Spacing"/>
    <w:uiPriority w:val="1"/>
    <w:qFormat/>
    <w:rsid w:val="000130CE"/>
    <w:rPr>
      <w:rFonts w:ascii="Arial" w:hAnsi="Arial"/>
      <w:sz w:val="22"/>
      <w:lang w:eastAsia="en-US"/>
    </w:rPr>
  </w:style>
  <w:style w:type="table" w:styleId="TableGrid">
    <w:name w:val="Table Grid"/>
    <w:basedOn w:val="TableNormal"/>
    <w:uiPriority w:val="59"/>
    <w:rsid w:val="0001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B455-B7E7-4B26-B3A2-AD5651F9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Template</vt:lpstr>
    </vt:vector>
  </TitlesOfParts>
  <Manager>Joe Corponi</Manager>
  <Company>Museum Victoria</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Jennifer Spencer-Stewart</dc:creator>
  <cp:lastModifiedBy>Scholes, Veronica</cp:lastModifiedBy>
  <cp:revision>2</cp:revision>
  <cp:lastPrinted>2016-08-19T01:04:00Z</cp:lastPrinted>
  <dcterms:created xsi:type="dcterms:W3CDTF">2017-07-18T05:02:00Z</dcterms:created>
  <dcterms:modified xsi:type="dcterms:W3CDTF">2017-07-18T05:02:00Z</dcterms:modified>
</cp:coreProperties>
</file>