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D2982" w14:textId="77777777" w:rsidR="00D13151" w:rsidRPr="00A00892" w:rsidRDefault="00D13151" w:rsidP="00A00892">
      <w:pPr>
        <w:pStyle w:val="Heading1"/>
      </w:pPr>
      <w:bookmarkStart w:id="0" w:name="_GoBack"/>
      <w:bookmarkEnd w:id="0"/>
    </w:p>
    <w:p w14:paraId="7C7E23E2" w14:textId="77777777" w:rsidR="00D13151" w:rsidRPr="00A00892" w:rsidRDefault="00D13151" w:rsidP="00A00892">
      <w:pPr>
        <w:pStyle w:val="Heading1"/>
      </w:pPr>
    </w:p>
    <w:p w14:paraId="6FC7AB08" w14:textId="0D958028" w:rsidR="00842E05" w:rsidRPr="00A00892" w:rsidRDefault="00A00892" w:rsidP="00A00892">
      <w:pPr>
        <w:pStyle w:val="Heading1"/>
      </w:pPr>
      <w:r>
        <w:t xml:space="preserve">MUSEUMS BOARD OF </w:t>
      </w:r>
      <w:r w:rsidR="00842E05" w:rsidRPr="00A00892">
        <w:t>VICTORIA</w:t>
      </w:r>
    </w:p>
    <w:p w14:paraId="59F9375C" w14:textId="77777777" w:rsidR="00842E05" w:rsidRPr="00701E5E" w:rsidRDefault="00842E05" w:rsidP="00A00892">
      <w:pPr>
        <w:pStyle w:val="Heading1"/>
      </w:pPr>
    </w:p>
    <w:p w14:paraId="48CD9C2A" w14:textId="77777777" w:rsidR="00842E05" w:rsidRPr="00A00892" w:rsidRDefault="00842E05" w:rsidP="00A00892">
      <w:pPr>
        <w:pStyle w:val="Heading1"/>
      </w:pPr>
      <w:r w:rsidRPr="00A00892">
        <w:t>ANNUAL REPORT</w:t>
      </w:r>
    </w:p>
    <w:p w14:paraId="7D3E4687" w14:textId="77777777" w:rsidR="005F7DF7" w:rsidRPr="00A00892" w:rsidRDefault="005F7DF7" w:rsidP="00A00892">
      <w:pPr>
        <w:pStyle w:val="Heading1"/>
      </w:pPr>
    </w:p>
    <w:p w14:paraId="2066B18B" w14:textId="77777777" w:rsidR="00842E05" w:rsidRPr="00A00892" w:rsidRDefault="00B564C7" w:rsidP="00A00892">
      <w:pPr>
        <w:pStyle w:val="Heading1"/>
      </w:pPr>
      <w:r w:rsidRPr="00A00892">
        <w:t>2015–16</w:t>
      </w:r>
    </w:p>
    <w:p w14:paraId="1EB5E53C" w14:textId="77777777" w:rsidR="00842E05" w:rsidRDefault="00842E05" w:rsidP="00A00892">
      <w:pPr>
        <w:pStyle w:val="Heading1"/>
        <w:rPr>
          <w:sz w:val="40"/>
        </w:rPr>
      </w:pPr>
      <w:r w:rsidRPr="00701E5E">
        <w:br w:type="page"/>
      </w:r>
    </w:p>
    <w:p w14:paraId="4327EA11" w14:textId="070BA9E8" w:rsidR="00842E05" w:rsidRDefault="00B564C7" w:rsidP="00842E05">
      <w:pPr>
        <w:pStyle w:val="Heading2"/>
      </w:pPr>
      <w:r>
        <w:lastRenderedPageBreak/>
        <w:t>Decl</w:t>
      </w:r>
      <w:r w:rsidR="0017394E">
        <w:t>aration of the Responsible Body</w:t>
      </w:r>
    </w:p>
    <w:p w14:paraId="6D4B5BA6" w14:textId="77777777" w:rsidR="00B564C7" w:rsidRPr="00B564C7" w:rsidRDefault="00B564C7" w:rsidP="00B564C7"/>
    <w:p w14:paraId="6D6DEC21" w14:textId="2A179255" w:rsidR="00B564C7" w:rsidRDefault="00B564C7" w:rsidP="00B564C7">
      <w:r w:rsidRPr="00FE0538">
        <w:t xml:space="preserve">In accordance with the </w:t>
      </w:r>
      <w:r w:rsidRPr="00FE0538">
        <w:rPr>
          <w:i/>
        </w:rPr>
        <w:t>Financial Management Act 1994</w:t>
      </w:r>
      <w:r w:rsidRPr="00FE0538">
        <w:t>, I am pleased to present the Report of Operations for the Museums Board of Victoria for the year endin</w:t>
      </w:r>
      <w:r>
        <w:t>g 30 June 2016</w:t>
      </w:r>
      <w:r w:rsidRPr="00FE0538">
        <w:t>.</w:t>
      </w:r>
    </w:p>
    <w:p w14:paraId="65559F11" w14:textId="77777777" w:rsidR="00BB0397" w:rsidRDefault="00BB0397" w:rsidP="00B564C7"/>
    <w:p w14:paraId="3CDC4FEA" w14:textId="7EF2F28C" w:rsidR="00B564C7" w:rsidRDefault="00BB0397" w:rsidP="00B564C7">
      <w:r w:rsidRPr="00B7656D">
        <w:rPr>
          <w:noProof/>
        </w:rPr>
        <w:drawing>
          <wp:inline distT="0" distB="0" distL="0" distR="0" wp14:anchorId="494FEEBA" wp14:editId="1A8637CE">
            <wp:extent cx="1899890" cy="619125"/>
            <wp:effectExtent l="0" t="0" r="5715" b="0"/>
            <wp:docPr id="4" name="Picture 4" descr="Scanned signature of Professor Margaret Gardner, President Museums Board of Victoria" title="Signature Professor Margaret Gard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585" cy="621307"/>
                    </a:xfrm>
                    <a:prstGeom prst="rect">
                      <a:avLst/>
                    </a:prstGeom>
                    <a:noFill/>
                    <a:ln>
                      <a:noFill/>
                    </a:ln>
                  </pic:spPr>
                </pic:pic>
              </a:graphicData>
            </a:graphic>
          </wp:inline>
        </w:drawing>
      </w:r>
    </w:p>
    <w:p w14:paraId="6AF2AB1B" w14:textId="77777777" w:rsidR="00B564C7" w:rsidRDefault="00B564C7" w:rsidP="00B564C7">
      <w:r>
        <w:t>Professor Margaret Gardner AO</w:t>
      </w:r>
    </w:p>
    <w:p w14:paraId="7A9B289C" w14:textId="77777777" w:rsidR="00B564C7" w:rsidRDefault="00B564C7" w:rsidP="00B564C7">
      <w:r>
        <w:t>President</w:t>
      </w:r>
    </w:p>
    <w:p w14:paraId="2D71E7FA" w14:textId="77777777" w:rsidR="00B564C7" w:rsidRDefault="00B564C7" w:rsidP="00B564C7">
      <w:r>
        <w:t>Museums Board of Victoria</w:t>
      </w:r>
    </w:p>
    <w:p w14:paraId="05DD2CAD" w14:textId="77777777" w:rsidR="00B564C7" w:rsidRPr="002C26C3" w:rsidRDefault="00B564C7" w:rsidP="00B564C7">
      <w:pPr>
        <w:rPr>
          <w:rFonts w:cs="Arial"/>
        </w:rPr>
      </w:pPr>
    </w:p>
    <w:p w14:paraId="1107ADEF" w14:textId="77777777" w:rsidR="00B564C7" w:rsidRPr="002C26C3" w:rsidRDefault="00B564C7" w:rsidP="00B564C7">
      <w:pPr>
        <w:rPr>
          <w:rFonts w:cs="Arial"/>
        </w:rPr>
      </w:pPr>
      <w:r w:rsidRPr="002C26C3">
        <w:rPr>
          <w:rFonts w:cs="Arial"/>
        </w:rPr>
        <w:t>30 June 201</w:t>
      </w:r>
      <w:r>
        <w:rPr>
          <w:rFonts w:cs="Arial"/>
        </w:rPr>
        <w:t>6</w:t>
      </w:r>
    </w:p>
    <w:p w14:paraId="6EA86F6E" w14:textId="77777777" w:rsidR="00B564C7" w:rsidRPr="00B4627F" w:rsidRDefault="00B564C7" w:rsidP="00B564C7">
      <w:pPr>
        <w:rPr>
          <w:rFonts w:cs="Arial"/>
          <w:szCs w:val="22"/>
        </w:rPr>
      </w:pPr>
    </w:p>
    <w:p w14:paraId="4EC7C559" w14:textId="77BF9D08" w:rsidR="00B564C7" w:rsidRPr="00B4627F" w:rsidRDefault="00B564C7" w:rsidP="00B564C7">
      <w:pPr>
        <w:rPr>
          <w:rFonts w:cs="Arial"/>
          <w:szCs w:val="22"/>
        </w:rPr>
      </w:pPr>
      <w:r w:rsidRPr="00B4627F">
        <w:rPr>
          <w:rFonts w:cs="Arial"/>
          <w:szCs w:val="22"/>
        </w:rPr>
        <w:t>This annual report has been produced in accordance with FRD</w:t>
      </w:r>
      <w:r>
        <w:rPr>
          <w:rFonts w:cs="Arial"/>
          <w:szCs w:val="22"/>
        </w:rPr>
        <w:t xml:space="preserve"> </w:t>
      </w:r>
      <w:r w:rsidRPr="00B4627F">
        <w:rPr>
          <w:rFonts w:cs="Arial"/>
          <w:szCs w:val="22"/>
        </w:rPr>
        <w:t>30</w:t>
      </w:r>
      <w:r w:rsidR="00944749">
        <w:rPr>
          <w:rFonts w:cs="Arial"/>
          <w:szCs w:val="22"/>
        </w:rPr>
        <w:t>C</w:t>
      </w:r>
      <w:r w:rsidRPr="00B4627F">
        <w:rPr>
          <w:rFonts w:cs="Arial"/>
          <w:szCs w:val="22"/>
        </w:rPr>
        <w:t xml:space="preserve"> Standard Requirements for the Design and Production of Annual Reports, in order to minimise our impact on the environment.</w:t>
      </w:r>
    </w:p>
    <w:p w14:paraId="60EAC0DF" w14:textId="77777777" w:rsidR="00B564C7" w:rsidRPr="00B4627F" w:rsidRDefault="00B564C7" w:rsidP="00B564C7">
      <w:pPr>
        <w:rPr>
          <w:rFonts w:cs="Arial"/>
          <w:szCs w:val="22"/>
        </w:rPr>
      </w:pPr>
    </w:p>
    <w:p w14:paraId="28F6072D" w14:textId="77777777" w:rsidR="00B564C7" w:rsidRPr="00B4627F" w:rsidRDefault="00B564C7" w:rsidP="00B564C7">
      <w:pPr>
        <w:rPr>
          <w:rFonts w:cs="Arial"/>
          <w:szCs w:val="22"/>
        </w:rPr>
      </w:pPr>
      <w:r w:rsidRPr="00B4627F">
        <w:rPr>
          <w:rFonts w:cs="Arial"/>
          <w:szCs w:val="22"/>
        </w:rPr>
        <w:t>Further information about Museum Victoria’s activities and achievements for 201</w:t>
      </w:r>
      <w:r>
        <w:rPr>
          <w:rFonts w:cs="Arial"/>
          <w:szCs w:val="22"/>
        </w:rPr>
        <w:t>5</w:t>
      </w:r>
      <w:r w:rsidRPr="00B4627F">
        <w:rPr>
          <w:rFonts w:cs="Arial"/>
          <w:szCs w:val="22"/>
        </w:rPr>
        <w:t>–1</w:t>
      </w:r>
      <w:r>
        <w:rPr>
          <w:rFonts w:cs="Arial"/>
          <w:szCs w:val="22"/>
        </w:rPr>
        <w:t xml:space="preserve">6 </w:t>
      </w:r>
      <w:r w:rsidRPr="00B4627F">
        <w:rPr>
          <w:rFonts w:cs="Arial"/>
          <w:szCs w:val="22"/>
        </w:rPr>
        <w:t>can be found at</w:t>
      </w:r>
      <w:r>
        <w:rPr>
          <w:rFonts w:cs="Arial"/>
          <w:szCs w:val="22"/>
        </w:rPr>
        <w:t xml:space="preserve"> Museum Victoria’s website</w:t>
      </w:r>
      <w:r w:rsidRPr="00B4627F">
        <w:rPr>
          <w:rFonts w:cs="Arial"/>
          <w:szCs w:val="22"/>
        </w:rPr>
        <w:t xml:space="preserve"> </w:t>
      </w:r>
      <w:r>
        <w:rPr>
          <w:rFonts w:cs="Arial"/>
          <w:szCs w:val="22"/>
        </w:rPr>
        <w:t>(www.museumvictoria.com.au).</w:t>
      </w:r>
    </w:p>
    <w:p w14:paraId="017E0CDD" w14:textId="77777777" w:rsidR="00B564C7" w:rsidRPr="00B4627F" w:rsidRDefault="00B564C7" w:rsidP="00B564C7">
      <w:pPr>
        <w:rPr>
          <w:rFonts w:cs="Arial"/>
          <w:szCs w:val="22"/>
        </w:rPr>
      </w:pPr>
      <w:r w:rsidRPr="00B4627F">
        <w:rPr>
          <w:rFonts w:cs="Arial"/>
          <w:szCs w:val="22"/>
        </w:rPr>
        <w:br w:type="page"/>
      </w:r>
    </w:p>
    <w:p w14:paraId="74B15A24" w14:textId="77777777" w:rsidR="00842E05" w:rsidRDefault="00842E05" w:rsidP="00842E05">
      <w:pPr>
        <w:pStyle w:val="Heading2"/>
      </w:pPr>
      <w:r w:rsidRPr="00EA7F4E">
        <w:lastRenderedPageBreak/>
        <w:t>Contents</w:t>
      </w:r>
    </w:p>
    <w:p w14:paraId="35563E46" w14:textId="77777777" w:rsidR="006B71EF" w:rsidRPr="00E46D98" w:rsidRDefault="006B71EF" w:rsidP="006B71E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Contents"/>
        <w:tblDescription w:val="Table of Contents"/>
      </w:tblPr>
      <w:tblGrid>
        <w:gridCol w:w="7109"/>
        <w:gridCol w:w="1187"/>
      </w:tblGrid>
      <w:tr w:rsidR="006B71EF" w:rsidRPr="0063061E" w14:paraId="3F5785D5" w14:textId="77777777" w:rsidTr="00A6706F">
        <w:tc>
          <w:tcPr>
            <w:tcW w:w="7308" w:type="dxa"/>
          </w:tcPr>
          <w:p w14:paraId="489FE237" w14:textId="77777777" w:rsidR="006B71EF" w:rsidRPr="0063061E" w:rsidRDefault="006B71EF" w:rsidP="00A6706F">
            <w:r>
              <w:t>Declaration of the Responsible Body</w:t>
            </w:r>
          </w:p>
        </w:tc>
        <w:tc>
          <w:tcPr>
            <w:tcW w:w="1214" w:type="dxa"/>
          </w:tcPr>
          <w:p w14:paraId="38B62934" w14:textId="77777777" w:rsidR="006B71EF" w:rsidRPr="0063061E" w:rsidRDefault="006B71EF" w:rsidP="00A6706F">
            <w:pPr>
              <w:jc w:val="right"/>
            </w:pPr>
            <w:r>
              <w:t>2</w:t>
            </w:r>
          </w:p>
        </w:tc>
      </w:tr>
      <w:tr w:rsidR="006B71EF" w:rsidRPr="0063061E" w14:paraId="141DB9B6" w14:textId="77777777" w:rsidTr="00A6706F">
        <w:tc>
          <w:tcPr>
            <w:tcW w:w="7308" w:type="dxa"/>
          </w:tcPr>
          <w:p w14:paraId="1BB62355" w14:textId="77777777" w:rsidR="006B71EF" w:rsidRPr="0063061E" w:rsidRDefault="006B71EF" w:rsidP="00A6706F">
            <w:r w:rsidRPr="0063061E">
              <w:t>President</w:t>
            </w:r>
            <w:r>
              <w:t>’s</w:t>
            </w:r>
            <w:r w:rsidRPr="0063061E">
              <w:t xml:space="preserve"> and Chief Executive Officer</w:t>
            </w:r>
            <w:r>
              <w:t>’s</w:t>
            </w:r>
            <w:r w:rsidRPr="0063061E">
              <w:t xml:space="preserve"> Messages</w:t>
            </w:r>
          </w:p>
        </w:tc>
        <w:tc>
          <w:tcPr>
            <w:tcW w:w="1214" w:type="dxa"/>
          </w:tcPr>
          <w:p w14:paraId="35763D62" w14:textId="4F9CA49F" w:rsidR="006B71EF" w:rsidRPr="0063061E" w:rsidRDefault="006B71EF" w:rsidP="00A6706F">
            <w:pPr>
              <w:jc w:val="right"/>
            </w:pPr>
            <w:r>
              <w:t>4</w:t>
            </w:r>
          </w:p>
        </w:tc>
      </w:tr>
      <w:tr w:rsidR="006B71EF" w:rsidRPr="0063061E" w14:paraId="0D37637B" w14:textId="77777777" w:rsidTr="00A6706F">
        <w:tc>
          <w:tcPr>
            <w:tcW w:w="7308" w:type="dxa"/>
          </w:tcPr>
          <w:p w14:paraId="536A3E2D" w14:textId="77777777" w:rsidR="006B71EF" w:rsidRPr="0063061E" w:rsidRDefault="006B71EF" w:rsidP="00A6706F">
            <w:r w:rsidRPr="0063061E">
              <w:t>Profile of Museum Victoria</w:t>
            </w:r>
          </w:p>
        </w:tc>
        <w:tc>
          <w:tcPr>
            <w:tcW w:w="1214" w:type="dxa"/>
          </w:tcPr>
          <w:p w14:paraId="2DE033FE" w14:textId="77777777" w:rsidR="006B71EF" w:rsidRPr="0063061E" w:rsidRDefault="006B71EF" w:rsidP="00A6706F">
            <w:pPr>
              <w:jc w:val="right"/>
            </w:pPr>
            <w:r>
              <w:t>6</w:t>
            </w:r>
          </w:p>
        </w:tc>
      </w:tr>
      <w:tr w:rsidR="006B71EF" w:rsidRPr="0063061E" w14:paraId="27471444" w14:textId="77777777" w:rsidTr="00A6706F">
        <w:tc>
          <w:tcPr>
            <w:tcW w:w="7308" w:type="dxa"/>
          </w:tcPr>
          <w:p w14:paraId="20F00EBF" w14:textId="77777777" w:rsidR="006B71EF" w:rsidRPr="0063061E" w:rsidRDefault="006B71EF" w:rsidP="00A6706F">
            <w:r w:rsidRPr="0063061E">
              <w:t>The Year in Brief</w:t>
            </w:r>
            <w:r>
              <w:t xml:space="preserve"> </w:t>
            </w:r>
          </w:p>
        </w:tc>
        <w:tc>
          <w:tcPr>
            <w:tcW w:w="1214" w:type="dxa"/>
          </w:tcPr>
          <w:p w14:paraId="34727D8B" w14:textId="77777777" w:rsidR="006B71EF" w:rsidRPr="0063061E" w:rsidRDefault="006B71EF" w:rsidP="00A6706F">
            <w:pPr>
              <w:jc w:val="right"/>
            </w:pPr>
            <w:r>
              <w:t>8</w:t>
            </w:r>
          </w:p>
        </w:tc>
      </w:tr>
      <w:tr w:rsidR="006B71EF" w:rsidRPr="0063061E" w14:paraId="617507F7" w14:textId="77777777" w:rsidTr="00A6706F">
        <w:tc>
          <w:tcPr>
            <w:tcW w:w="7308" w:type="dxa"/>
          </w:tcPr>
          <w:p w14:paraId="6CE13537" w14:textId="77777777" w:rsidR="006B71EF" w:rsidRPr="0063061E" w:rsidRDefault="006B71EF" w:rsidP="00A6706F">
            <w:r>
              <w:t>Purpose and Vision</w:t>
            </w:r>
          </w:p>
        </w:tc>
        <w:tc>
          <w:tcPr>
            <w:tcW w:w="1214" w:type="dxa"/>
          </w:tcPr>
          <w:p w14:paraId="16C367E2" w14:textId="1A3C6263" w:rsidR="006B71EF" w:rsidRPr="0063061E" w:rsidRDefault="005664B1" w:rsidP="00A6706F">
            <w:pPr>
              <w:jc w:val="right"/>
            </w:pPr>
            <w:r>
              <w:t>12</w:t>
            </w:r>
          </w:p>
        </w:tc>
      </w:tr>
      <w:tr w:rsidR="006B71EF" w:rsidRPr="0063061E" w14:paraId="36156950" w14:textId="77777777" w:rsidTr="00A6706F">
        <w:tc>
          <w:tcPr>
            <w:tcW w:w="7308" w:type="dxa"/>
          </w:tcPr>
          <w:p w14:paraId="61BF77C7" w14:textId="77777777" w:rsidR="006B71EF" w:rsidRPr="0063061E" w:rsidRDefault="006B71EF" w:rsidP="00A6706F">
            <w:r>
              <w:t>Strategic Directions</w:t>
            </w:r>
          </w:p>
        </w:tc>
        <w:tc>
          <w:tcPr>
            <w:tcW w:w="1214" w:type="dxa"/>
          </w:tcPr>
          <w:p w14:paraId="09630076" w14:textId="0A351277" w:rsidR="006B71EF" w:rsidRDefault="005664B1" w:rsidP="00A6706F">
            <w:pPr>
              <w:jc w:val="right"/>
            </w:pPr>
            <w:r>
              <w:t>12</w:t>
            </w:r>
          </w:p>
        </w:tc>
      </w:tr>
      <w:tr w:rsidR="006B71EF" w:rsidRPr="0063061E" w14:paraId="7AAE0A53" w14:textId="77777777" w:rsidTr="00A6706F">
        <w:tc>
          <w:tcPr>
            <w:tcW w:w="7308" w:type="dxa"/>
          </w:tcPr>
          <w:p w14:paraId="6E75EF9C" w14:textId="77777777" w:rsidR="006B71EF" w:rsidRPr="0063061E" w:rsidRDefault="006B71EF" w:rsidP="00A6706F">
            <w:pPr>
              <w:rPr>
                <w:rFonts w:cs="Arial"/>
              </w:rPr>
            </w:pPr>
            <w:r w:rsidRPr="0063061E">
              <w:rPr>
                <w:rFonts w:cs="Arial"/>
                <w:szCs w:val="22"/>
              </w:rPr>
              <w:t xml:space="preserve">Strategic Direction 1: </w:t>
            </w:r>
            <w:r>
              <w:rPr>
                <w:rFonts w:cs="Arial"/>
                <w:szCs w:val="22"/>
              </w:rPr>
              <w:t>Deepening Connections</w:t>
            </w:r>
          </w:p>
        </w:tc>
        <w:tc>
          <w:tcPr>
            <w:tcW w:w="1214" w:type="dxa"/>
          </w:tcPr>
          <w:p w14:paraId="3D7633CD" w14:textId="08D721BF" w:rsidR="006B71EF" w:rsidRPr="0063061E" w:rsidRDefault="00A110C2" w:rsidP="00A6706F">
            <w:pPr>
              <w:jc w:val="right"/>
              <w:rPr>
                <w:rFonts w:cs="Arial"/>
              </w:rPr>
            </w:pPr>
            <w:r>
              <w:rPr>
                <w:rFonts w:cs="Arial"/>
              </w:rPr>
              <w:t>14</w:t>
            </w:r>
          </w:p>
        </w:tc>
      </w:tr>
      <w:tr w:rsidR="006B71EF" w:rsidRPr="0063061E" w14:paraId="48B1515A" w14:textId="77777777" w:rsidTr="00A6706F">
        <w:tc>
          <w:tcPr>
            <w:tcW w:w="7308" w:type="dxa"/>
          </w:tcPr>
          <w:p w14:paraId="01CEFD9B" w14:textId="77777777" w:rsidR="006B71EF" w:rsidRPr="0063061E" w:rsidRDefault="006B71EF" w:rsidP="00A6706F">
            <w:pPr>
              <w:rPr>
                <w:rFonts w:cs="Arial"/>
              </w:rPr>
            </w:pPr>
            <w:r w:rsidRPr="0063061E">
              <w:rPr>
                <w:rFonts w:cs="Arial"/>
                <w:szCs w:val="22"/>
              </w:rPr>
              <w:t xml:space="preserve">Strategic Direction 2: </w:t>
            </w:r>
            <w:r>
              <w:rPr>
                <w:rFonts w:cs="Arial"/>
                <w:szCs w:val="22"/>
              </w:rPr>
              <w:t>Investing in Knowledge, Expertise and Collections</w:t>
            </w:r>
          </w:p>
        </w:tc>
        <w:tc>
          <w:tcPr>
            <w:tcW w:w="1214" w:type="dxa"/>
          </w:tcPr>
          <w:p w14:paraId="7CE3C2B3" w14:textId="32440649" w:rsidR="006B71EF" w:rsidRPr="0063061E" w:rsidRDefault="00A110C2" w:rsidP="00A6706F">
            <w:pPr>
              <w:jc w:val="right"/>
              <w:rPr>
                <w:rFonts w:cs="Arial"/>
              </w:rPr>
            </w:pPr>
            <w:r>
              <w:rPr>
                <w:rFonts w:cs="Arial"/>
              </w:rPr>
              <w:t>17</w:t>
            </w:r>
          </w:p>
        </w:tc>
      </w:tr>
      <w:tr w:rsidR="006B71EF" w:rsidRPr="0063061E" w14:paraId="13B7773B" w14:textId="77777777" w:rsidTr="00A6706F">
        <w:tc>
          <w:tcPr>
            <w:tcW w:w="7308" w:type="dxa"/>
          </w:tcPr>
          <w:p w14:paraId="558AD212" w14:textId="77777777" w:rsidR="006B71EF" w:rsidRPr="0063061E" w:rsidRDefault="006B71EF" w:rsidP="00A6706F">
            <w:pPr>
              <w:rPr>
                <w:rFonts w:cs="Arial"/>
              </w:rPr>
            </w:pPr>
            <w:r w:rsidRPr="0063061E">
              <w:rPr>
                <w:rFonts w:cs="Arial"/>
                <w:szCs w:val="22"/>
              </w:rPr>
              <w:t xml:space="preserve">Strategic Direction 3: </w:t>
            </w:r>
            <w:r>
              <w:rPr>
                <w:rFonts w:cs="Arial"/>
                <w:szCs w:val="22"/>
              </w:rPr>
              <w:t>Digital Transformation</w:t>
            </w:r>
          </w:p>
        </w:tc>
        <w:tc>
          <w:tcPr>
            <w:tcW w:w="1214" w:type="dxa"/>
          </w:tcPr>
          <w:p w14:paraId="49A9D75A" w14:textId="7DB17E03" w:rsidR="006B71EF" w:rsidRPr="0063061E" w:rsidRDefault="00A110C2" w:rsidP="00A6706F">
            <w:pPr>
              <w:jc w:val="right"/>
              <w:rPr>
                <w:rFonts w:cs="Arial"/>
              </w:rPr>
            </w:pPr>
            <w:r>
              <w:rPr>
                <w:rFonts w:cs="Arial"/>
              </w:rPr>
              <w:t>20</w:t>
            </w:r>
          </w:p>
        </w:tc>
      </w:tr>
      <w:tr w:rsidR="006B71EF" w:rsidRPr="0063061E" w14:paraId="04084AB1" w14:textId="77777777" w:rsidTr="00A6706F">
        <w:tc>
          <w:tcPr>
            <w:tcW w:w="7308" w:type="dxa"/>
          </w:tcPr>
          <w:p w14:paraId="0065DC9E" w14:textId="77777777" w:rsidR="006B71EF" w:rsidRPr="0063061E" w:rsidRDefault="006B71EF" w:rsidP="00A6706F">
            <w:pPr>
              <w:rPr>
                <w:rFonts w:cs="Arial"/>
              </w:rPr>
            </w:pPr>
            <w:r w:rsidRPr="0063061E">
              <w:rPr>
                <w:rFonts w:cs="Arial"/>
                <w:szCs w:val="22"/>
              </w:rPr>
              <w:t xml:space="preserve">Strategic Direction 4: </w:t>
            </w:r>
            <w:r>
              <w:rPr>
                <w:rFonts w:cs="Arial"/>
                <w:szCs w:val="22"/>
              </w:rPr>
              <w:t>Organisational Resilience</w:t>
            </w:r>
          </w:p>
        </w:tc>
        <w:tc>
          <w:tcPr>
            <w:tcW w:w="1214" w:type="dxa"/>
          </w:tcPr>
          <w:p w14:paraId="5ECD4621" w14:textId="08FA5355" w:rsidR="006B71EF" w:rsidRPr="0063061E" w:rsidRDefault="00A110C2" w:rsidP="00A6706F">
            <w:pPr>
              <w:jc w:val="right"/>
              <w:rPr>
                <w:rFonts w:cs="Arial"/>
              </w:rPr>
            </w:pPr>
            <w:r>
              <w:rPr>
                <w:rFonts w:cs="Arial"/>
              </w:rPr>
              <w:t>22</w:t>
            </w:r>
          </w:p>
        </w:tc>
      </w:tr>
      <w:tr w:rsidR="006B71EF" w:rsidRPr="0063061E" w14:paraId="0C21E560" w14:textId="77777777" w:rsidTr="00A6706F">
        <w:tc>
          <w:tcPr>
            <w:tcW w:w="7308" w:type="dxa"/>
          </w:tcPr>
          <w:p w14:paraId="4D261CFA" w14:textId="77777777" w:rsidR="006B71EF" w:rsidRPr="0063061E" w:rsidRDefault="006B71EF" w:rsidP="00A6706F">
            <w:pPr>
              <w:rPr>
                <w:rFonts w:cs="Arial"/>
              </w:rPr>
            </w:pPr>
            <w:r w:rsidRPr="0063061E">
              <w:rPr>
                <w:rFonts w:cs="Arial"/>
                <w:szCs w:val="22"/>
              </w:rPr>
              <w:t xml:space="preserve">Strategic Direction 5: </w:t>
            </w:r>
            <w:r>
              <w:rPr>
                <w:rFonts w:cs="Arial"/>
                <w:szCs w:val="22"/>
              </w:rPr>
              <w:t>Building Victoria’s Cultural Capital</w:t>
            </w:r>
          </w:p>
        </w:tc>
        <w:tc>
          <w:tcPr>
            <w:tcW w:w="1214" w:type="dxa"/>
          </w:tcPr>
          <w:p w14:paraId="4A3270E5" w14:textId="4C674EB4" w:rsidR="006B71EF" w:rsidRPr="0063061E" w:rsidRDefault="00A110C2" w:rsidP="00A6706F">
            <w:pPr>
              <w:jc w:val="right"/>
              <w:rPr>
                <w:rFonts w:cs="Arial"/>
              </w:rPr>
            </w:pPr>
            <w:r>
              <w:rPr>
                <w:rFonts w:cs="Arial"/>
              </w:rPr>
              <w:t>24</w:t>
            </w:r>
          </w:p>
        </w:tc>
      </w:tr>
      <w:tr w:rsidR="006B71EF" w:rsidRPr="0063061E" w14:paraId="34AFFEBD" w14:textId="77777777" w:rsidTr="00A6706F">
        <w:tc>
          <w:tcPr>
            <w:tcW w:w="7308" w:type="dxa"/>
          </w:tcPr>
          <w:p w14:paraId="0B6941BC" w14:textId="77777777" w:rsidR="006B71EF" w:rsidRPr="0063061E" w:rsidRDefault="006B71EF" w:rsidP="00A6706F">
            <w:pPr>
              <w:rPr>
                <w:rFonts w:cs="Arial"/>
              </w:rPr>
            </w:pPr>
            <w:r>
              <w:rPr>
                <w:rFonts w:cs="Arial"/>
                <w:szCs w:val="22"/>
              </w:rPr>
              <w:t>Future Priorities</w:t>
            </w:r>
          </w:p>
        </w:tc>
        <w:tc>
          <w:tcPr>
            <w:tcW w:w="1214" w:type="dxa"/>
          </w:tcPr>
          <w:p w14:paraId="600B8311" w14:textId="6C2F8DF4" w:rsidR="006B71EF" w:rsidRPr="0063061E" w:rsidRDefault="00A110C2" w:rsidP="00A6706F">
            <w:pPr>
              <w:jc w:val="right"/>
              <w:rPr>
                <w:rFonts w:cs="Arial"/>
              </w:rPr>
            </w:pPr>
            <w:r>
              <w:rPr>
                <w:rFonts w:cs="Arial"/>
              </w:rPr>
              <w:t>26</w:t>
            </w:r>
          </w:p>
        </w:tc>
      </w:tr>
      <w:tr w:rsidR="006B71EF" w:rsidRPr="0063061E" w14:paraId="616F8157" w14:textId="77777777" w:rsidTr="00A6706F">
        <w:tc>
          <w:tcPr>
            <w:tcW w:w="7308" w:type="dxa"/>
          </w:tcPr>
          <w:p w14:paraId="5ECC7126" w14:textId="77777777" w:rsidR="006B71EF" w:rsidRDefault="006B71EF" w:rsidP="00A6706F">
            <w:pPr>
              <w:rPr>
                <w:rFonts w:cs="Arial"/>
              </w:rPr>
            </w:pPr>
            <w:r>
              <w:rPr>
                <w:rFonts w:cs="Arial"/>
                <w:szCs w:val="22"/>
              </w:rPr>
              <w:t>Corporate Governance</w:t>
            </w:r>
          </w:p>
        </w:tc>
        <w:tc>
          <w:tcPr>
            <w:tcW w:w="1214" w:type="dxa"/>
          </w:tcPr>
          <w:p w14:paraId="641DAC7F" w14:textId="111FEDF7" w:rsidR="006B71EF" w:rsidRPr="0063061E" w:rsidRDefault="00A110C2" w:rsidP="00A6706F">
            <w:pPr>
              <w:jc w:val="right"/>
              <w:rPr>
                <w:rFonts w:cs="Arial"/>
              </w:rPr>
            </w:pPr>
            <w:r>
              <w:rPr>
                <w:rFonts w:cs="Arial"/>
              </w:rPr>
              <w:t>27</w:t>
            </w:r>
          </w:p>
        </w:tc>
      </w:tr>
      <w:tr w:rsidR="006B71EF" w:rsidRPr="0063061E" w14:paraId="00874131" w14:textId="77777777" w:rsidTr="00A6706F">
        <w:tc>
          <w:tcPr>
            <w:tcW w:w="7308" w:type="dxa"/>
          </w:tcPr>
          <w:p w14:paraId="0DC1D474" w14:textId="77777777" w:rsidR="006B71EF" w:rsidRDefault="006B71EF" w:rsidP="00A6706F">
            <w:pPr>
              <w:rPr>
                <w:rFonts w:cs="Arial"/>
              </w:rPr>
            </w:pPr>
            <w:r>
              <w:rPr>
                <w:rFonts w:cs="Arial"/>
                <w:szCs w:val="22"/>
              </w:rPr>
              <w:t>Our Workplace</w:t>
            </w:r>
          </w:p>
        </w:tc>
        <w:tc>
          <w:tcPr>
            <w:tcW w:w="1214" w:type="dxa"/>
          </w:tcPr>
          <w:p w14:paraId="6000248E" w14:textId="1F254D35" w:rsidR="006B71EF" w:rsidRPr="0063061E" w:rsidRDefault="00A110C2" w:rsidP="00A6706F">
            <w:pPr>
              <w:jc w:val="right"/>
              <w:rPr>
                <w:rFonts w:cs="Arial"/>
              </w:rPr>
            </w:pPr>
            <w:r>
              <w:rPr>
                <w:rFonts w:cs="Arial"/>
              </w:rPr>
              <w:t>30</w:t>
            </w:r>
          </w:p>
        </w:tc>
      </w:tr>
      <w:tr w:rsidR="006B71EF" w:rsidRPr="0063061E" w14:paraId="2532AA08" w14:textId="77777777" w:rsidTr="00A6706F">
        <w:tc>
          <w:tcPr>
            <w:tcW w:w="7308" w:type="dxa"/>
          </w:tcPr>
          <w:p w14:paraId="5FDCB3F7" w14:textId="77777777" w:rsidR="006B71EF" w:rsidRDefault="006B71EF" w:rsidP="00A6706F">
            <w:pPr>
              <w:rPr>
                <w:rFonts w:cs="Arial"/>
              </w:rPr>
            </w:pPr>
            <w:r>
              <w:rPr>
                <w:rFonts w:cs="Arial"/>
                <w:szCs w:val="22"/>
              </w:rPr>
              <w:t>Financial Statements</w:t>
            </w:r>
          </w:p>
        </w:tc>
        <w:tc>
          <w:tcPr>
            <w:tcW w:w="1214" w:type="dxa"/>
          </w:tcPr>
          <w:p w14:paraId="30F0E94B" w14:textId="10BAE508" w:rsidR="006B71EF" w:rsidRPr="0063061E" w:rsidRDefault="00A110C2" w:rsidP="00A6706F">
            <w:pPr>
              <w:jc w:val="right"/>
              <w:rPr>
                <w:rFonts w:cs="Arial"/>
              </w:rPr>
            </w:pPr>
            <w:r>
              <w:rPr>
                <w:rFonts w:cs="Arial"/>
              </w:rPr>
              <w:t>34</w:t>
            </w:r>
          </w:p>
        </w:tc>
      </w:tr>
      <w:tr w:rsidR="006B71EF" w:rsidRPr="0063061E" w14:paraId="2666972A" w14:textId="77777777" w:rsidTr="00A6706F">
        <w:tc>
          <w:tcPr>
            <w:tcW w:w="7308" w:type="dxa"/>
          </w:tcPr>
          <w:p w14:paraId="23B1A8D5" w14:textId="77777777" w:rsidR="006B71EF" w:rsidRDefault="006B71EF" w:rsidP="00A6706F">
            <w:pPr>
              <w:rPr>
                <w:rFonts w:cs="Arial"/>
              </w:rPr>
            </w:pPr>
            <w:r>
              <w:rPr>
                <w:rFonts w:cs="Arial"/>
                <w:szCs w:val="22"/>
              </w:rPr>
              <w:t>Auditor-General’s Report</w:t>
            </w:r>
          </w:p>
        </w:tc>
        <w:tc>
          <w:tcPr>
            <w:tcW w:w="1214" w:type="dxa"/>
          </w:tcPr>
          <w:p w14:paraId="71A6C87F" w14:textId="5C9803AC" w:rsidR="006B71EF" w:rsidRPr="0063061E" w:rsidRDefault="00A110C2" w:rsidP="00A6706F">
            <w:pPr>
              <w:jc w:val="right"/>
              <w:rPr>
                <w:rFonts w:cs="Arial"/>
              </w:rPr>
            </w:pPr>
            <w:r>
              <w:rPr>
                <w:rFonts w:cs="Arial"/>
              </w:rPr>
              <w:t>67</w:t>
            </w:r>
          </w:p>
        </w:tc>
      </w:tr>
      <w:tr w:rsidR="006B71EF" w:rsidRPr="0063061E" w14:paraId="55C4CB0F" w14:textId="77777777" w:rsidTr="00A6706F">
        <w:tc>
          <w:tcPr>
            <w:tcW w:w="7308" w:type="dxa"/>
          </w:tcPr>
          <w:p w14:paraId="48C1F6CE" w14:textId="77777777" w:rsidR="006B71EF" w:rsidRDefault="006B71EF" w:rsidP="00A6706F">
            <w:pPr>
              <w:rPr>
                <w:rFonts w:cs="Arial"/>
              </w:rPr>
            </w:pPr>
            <w:r>
              <w:rPr>
                <w:rFonts w:cs="Arial"/>
                <w:szCs w:val="22"/>
              </w:rPr>
              <w:t>Statutory Reports</w:t>
            </w:r>
          </w:p>
        </w:tc>
        <w:tc>
          <w:tcPr>
            <w:tcW w:w="1214" w:type="dxa"/>
          </w:tcPr>
          <w:p w14:paraId="542620CA" w14:textId="0A484A45" w:rsidR="006B71EF" w:rsidRPr="0063061E" w:rsidRDefault="00A110C2" w:rsidP="00A6706F">
            <w:pPr>
              <w:jc w:val="right"/>
              <w:rPr>
                <w:rFonts w:cs="Arial"/>
              </w:rPr>
            </w:pPr>
            <w:r>
              <w:rPr>
                <w:rFonts w:cs="Arial"/>
              </w:rPr>
              <w:t>69</w:t>
            </w:r>
          </w:p>
        </w:tc>
      </w:tr>
      <w:tr w:rsidR="006B71EF" w:rsidRPr="0063061E" w14:paraId="097DFFD4" w14:textId="77777777" w:rsidTr="00A6706F">
        <w:tc>
          <w:tcPr>
            <w:tcW w:w="7308" w:type="dxa"/>
          </w:tcPr>
          <w:p w14:paraId="79AEEAF1" w14:textId="77777777" w:rsidR="006B71EF" w:rsidRDefault="006B71EF" w:rsidP="00A6706F">
            <w:pPr>
              <w:rPr>
                <w:rFonts w:cs="Arial"/>
              </w:rPr>
            </w:pPr>
            <w:r>
              <w:rPr>
                <w:rFonts w:cs="Arial"/>
                <w:szCs w:val="22"/>
              </w:rPr>
              <w:t>Disclosure Index</w:t>
            </w:r>
          </w:p>
        </w:tc>
        <w:tc>
          <w:tcPr>
            <w:tcW w:w="1214" w:type="dxa"/>
          </w:tcPr>
          <w:p w14:paraId="4678205A" w14:textId="07F8644C" w:rsidR="006B71EF" w:rsidRPr="0063061E" w:rsidRDefault="00A110C2" w:rsidP="00A6706F">
            <w:pPr>
              <w:jc w:val="right"/>
              <w:rPr>
                <w:rFonts w:cs="Arial"/>
              </w:rPr>
            </w:pPr>
            <w:r>
              <w:rPr>
                <w:rFonts w:cs="Arial"/>
              </w:rPr>
              <w:t>77</w:t>
            </w:r>
          </w:p>
        </w:tc>
      </w:tr>
    </w:tbl>
    <w:p w14:paraId="261FED6C" w14:textId="77777777" w:rsidR="006B71EF" w:rsidRDefault="006B71EF">
      <w:pPr>
        <w:spacing w:after="200" w:line="276" w:lineRule="auto"/>
        <w:rPr>
          <w:b/>
          <w:sz w:val="36"/>
        </w:rPr>
      </w:pPr>
      <w:r>
        <w:br w:type="page"/>
      </w:r>
    </w:p>
    <w:p w14:paraId="06FA5F9F" w14:textId="50108DE2" w:rsidR="00BA2CA4" w:rsidRDefault="00BA2CA4" w:rsidP="005F7DF7">
      <w:pPr>
        <w:pStyle w:val="Heading2"/>
      </w:pPr>
      <w:r w:rsidRPr="00C33F11">
        <w:lastRenderedPageBreak/>
        <w:t>President’s Message</w:t>
      </w:r>
    </w:p>
    <w:p w14:paraId="4BC8B033" w14:textId="61D2674F" w:rsidR="00FB78DA" w:rsidRDefault="00FB78DA" w:rsidP="00FB78DA">
      <w:pPr>
        <w:rPr>
          <w:rFonts w:ascii="Calibri" w:hAnsi="Calibri"/>
          <w:szCs w:val="22"/>
        </w:rPr>
      </w:pPr>
      <w:r>
        <w:t xml:space="preserve">Melbourne Museum not only thrilled audiences this year, but also extended its national and international reach with the world premiere of </w:t>
      </w:r>
      <w:r>
        <w:rPr>
          <w:i/>
          <w:iCs/>
        </w:rPr>
        <w:t>Jurassic World: The Exhibition</w:t>
      </w:r>
      <w:r>
        <w:t xml:space="preserve">. Brought to life with animatronic dinosaurs created by Melbourne’s Creature Technology Company, this exhibition has proved to be a major attraction for visitors of all ages, exceeding all expected visitor numbers. Demonstrating the eternal appeal of dinosaurs, </w:t>
      </w:r>
      <w:r>
        <w:rPr>
          <w:i/>
          <w:iCs/>
        </w:rPr>
        <w:t>Tyrannosaurs: Meet the Family</w:t>
      </w:r>
      <w:r>
        <w:t xml:space="preserve"> delighted audiences at Scienceworks and contributed to visitation of more than 500,000 at this museum for the year. </w:t>
      </w:r>
    </w:p>
    <w:p w14:paraId="6D1C734F" w14:textId="77777777" w:rsidR="00FB78DA" w:rsidRDefault="00FB78DA" w:rsidP="00FB78DA"/>
    <w:p w14:paraId="77809548" w14:textId="2A112781" w:rsidR="00FB78DA" w:rsidRDefault="00375180" w:rsidP="00FB78DA">
      <w:r>
        <w:t xml:space="preserve">Delivery of </w:t>
      </w:r>
      <w:r w:rsidR="00FB78DA">
        <w:t>the museum’s permanent exhibitions relies on the quality and depth of its collections. The four-year Interim Collection Storage Project, funded by the Victorian Government, was successfully completed in 2015–16, addressing Museum Victoria’s most urgent storage issues. Critically, collections have been removed from the Royal Exhibition Building basement, freeing that space for enhancement of the World Heritage–listed building. Museum Victoria will continue to work with Creative Victoria on solutions for other collection storage issues.</w:t>
      </w:r>
    </w:p>
    <w:p w14:paraId="1AEBE777" w14:textId="77777777" w:rsidR="00FB78DA" w:rsidRDefault="00FB78DA" w:rsidP="00FB78DA"/>
    <w:p w14:paraId="671B80E4" w14:textId="77777777" w:rsidR="00FB78DA" w:rsidRDefault="00FB78DA" w:rsidP="00FB78DA">
      <w:r>
        <w:t xml:space="preserve">Museum Victoria’s research program is clearly of international quality. This year it recorded a number of achievements, including being named as a partner on eight new competitive Australian Research Council Linkage Grant projects, the publication of a paper about seafloor diversity in leading science journal </w:t>
      </w:r>
      <w:r>
        <w:rPr>
          <w:i/>
          <w:iCs/>
        </w:rPr>
        <w:t>Nature</w:t>
      </w:r>
      <w:r>
        <w:t>, and the discoveries of two new rat genera in Indonesia and a rare 6.3-metre Basking Shark. The museum has also expanded its links with museums in China, as well as supporting museums in the Pacific region.</w:t>
      </w:r>
    </w:p>
    <w:p w14:paraId="252CA1AB" w14:textId="77777777" w:rsidR="00FB78DA" w:rsidRDefault="00FB78DA" w:rsidP="00FB78DA"/>
    <w:p w14:paraId="3C42D3BF" w14:textId="77777777" w:rsidR="00FB78DA" w:rsidRDefault="00FB78DA" w:rsidP="00FB78DA">
      <w:r>
        <w:t>It is with sadness that I come to the end of my final term as Board President. It has been a wonderful opportunity to contribute to this remarkable and diverse organisation, as it has expanded its exhibitions, audiences, digital reach, research and education. I am confident that Museum Victoria will continue to grow and evolve under the new President, Dr Rufus Black. I would like to thank my Board colleagues for their support, and the executive and staff for their expertise and their passion for delivering inspiring experiences for the people of Victoria.</w:t>
      </w:r>
    </w:p>
    <w:p w14:paraId="3D176A51" w14:textId="77777777" w:rsidR="00FB78DA" w:rsidRPr="00FB78DA" w:rsidRDefault="00FB78DA" w:rsidP="00157703"/>
    <w:p w14:paraId="4E330225" w14:textId="77777777" w:rsidR="00BA2CA4" w:rsidRPr="00B51BB9" w:rsidRDefault="00BA2CA4" w:rsidP="00BA2CA4">
      <w:pPr>
        <w:rPr>
          <w:b/>
        </w:rPr>
      </w:pPr>
      <w:r w:rsidRPr="00B51BB9">
        <w:rPr>
          <w:b/>
        </w:rPr>
        <w:t>Professor Margaret Gardner AO</w:t>
      </w:r>
    </w:p>
    <w:p w14:paraId="275B0B32" w14:textId="3C78017D" w:rsidR="00810014" w:rsidRDefault="00BA2CA4" w:rsidP="00810014">
      <w:pPr>
        <w:rPr>
          <w:b/>
        </w:rPr>
      </w:pPr>
      <w:r w:rsidRPr="00B51BB9">
        <w:rPr>
          <w:b/>
        </w:rPr>
        <w:t>President, Museums Board of Victoria</w:t>
      </w:r>
    </w:p>
    <w:p w14:paraId="6CA4E059" w14:textId="5316C305" w:rsidR="0092253A" w:rsidRPr="0092253A" w:rsidRDefault="005F7DF7" w:rsidP="0092253A">
      <w:pPr>
        <w:spacing w:after="200" w:line="276" w:lineRule="auto"/>
        <w:rPr>
          <w:b/>
        </w:rPr>
      </w:pPr>
      <w:r>
        <w:rPr>
          <w:b/>
        </w:rPr>
        <w:br w:type="page"/>
      </w:r>
    </w:p>
    <w:p w14:paraId="0C3FB989" w14:textId="77777777" w:rsidR="0092253A" w:rsidRPr="00B73D61" w:rsidRDefault="0092253A" w:rsidP="0092253A">
      <w:pPr>
        <w:pStyle w:val="Heading2"/>
      </w:pPr>
      <w:r w:rsidRPr="00C33F11">
        <w:lastRenderedPageBreak/>
        <w:t>Chief Executive Officer’s Messag</w:t>
      </w:r>
      <w:r>
        <w:t>e</w:t>
      </w:r>
    </w:p>
    <w:p w14:paraId="117902EA" w14:textId="77777777" w:rsidR="00C625A2" w:rsidRPr="00B73D61" w:rsidRDefault="00C625A2" w:rsidP="00C625A2">
      <w:pPr>
        <w:rPr>
          <w:rFonts w:cs="Arial"/>
        </w:rPr>
      </w:pPr>
      <w:r>
        <w:t xml:space="preserve">The 2015–16 year was one in which </w:t>
      </w:r>
      <w:r w:rsidRPr="00B73D61">
        <w:t>Museum Victoria</w:t>
      </w:r>
      <w:r>
        <w:t>’s</w:t>
      </w:r>
      <w:r w:rsidRPr="00B73D61">
        <w:t xml:space="preserve"> </w:t>
      </w:r>
      <w:r>
        <w:t>commitment to</w:t>
      </w:r>
      <w:r w:rsidRPr="00B73D61">
        <w:t xml:space="preserve"> </w:t>
      </w:r>
      <w:r>
        <w:t xml:space="preserve">innovation in </w:t>
      </w:r>
      <w:r w:rsidRPr="00B73D61">
        <w:t>audience</w:t>
      </w:r>
      <w:r>
        <w:t xml:space="preserve"> development was recognised and awarded</w:t>
      </w:r>
      <w:r w:rsidRPr="00B73D61">
        <w:t xml:space="preserve">. The Autism Friendly Museum </w:t>
      </w:r>
      <w:r>
        <w:t>p</w:t>
      </w:r>
      <w:r w:rsidRPr="00B73D61">
        <w:t xml:space="preserve">roject won the </w:t>
      </w:r>
      <w:r w:rsidRPr="00B73D61">
        <w:rPr>
          <w:rFonts w:cs="Arial"/>
        </w:rPr>
        <w:t>2015 Victorian Museums Award</w:t>
      </w:r>
      <w:r w:rsidRPr="00B73D61">
        <w:t xml:space="preserve"> </w:t>
      </w:r>
      <w:r w:rsidRPr="00B73D61">
        <w:rPr>
          <w:rFonts w:cs="Arial"/>
        </w:rPr>
        <w:t xml:space="preserve">for resources </w:t>
      </w:r>
      <w:r>
        <w:rPr>
          <w:rFonts w:cs="Arial"/>
        </w:rPr>
        <w:t xml:space="preserve">developed </w:t>
      </w:r>
      <w:r w:rsidRPr="00B73D61">
        <w:rPr>
          <w:rFonts w:cs="Arial"/>
        </w:rPr>
        <w:t xml:space="preserve">in conjunction with Amaze and community groups </w:t>
      </w:r>
      <w:r>
        <w:rPr>
          <w:rFonts w:cs="Arial"/>
        </w:rPr>
        <w:t>that</w:t>
      </w:r>
      <w:r w:rsidRPr="00B73D61">
        <w:rPr>
          <w:rFonts w:cs="Arial"/>
        </w:rPr>
        <w:t xml:space="preserve"> enhance access </w:t>
      </w:r>
      <w:r>
        <w:rPr>
          <w:rFonts w:cs="Arial"/>
        </w:rPr>
        <w:t xml:space="preserve">to our museums </w:t>
      </w:r>
      <w:r w:rsidRPr="00B73D61">
        <w:rPr>
          <w:rFonts w:cs="Arial"/>
        </w:rPr>
        <w:t xml:space="preserve">for visitors with Autism. A collaboration with </w:t>
      </w:r>
      <w:r w:rsidRPr="00B73D61">
        <w:rPr>
          <w:rFonts w:eastAsia="Arial" w:cs="Arial"/>
        </w:rPr>
        <w:t xml:space="preserve">Princes Hill Primary School won an </w:t>
      </w:r>
      <w:r w:rsidRPr="00B73D61">
        <w:rPr>
          <w:rFonts w:cs="Arial"/>
        </w:rPr>
        <w:t>Australasia Museums and Galleries National Award for a learning enquiry project</w:t>
      </w:r>
      <w:r>
        <w:rPr>
          <w:rFonts w:cs="Arial"/>
        </w:rPr>
        <w:t>, with</w:t>
      </w:r>
      <w:r w:rsidRPr="00B73D61">
        <w:rPr>
          <w:rFonts w:cs="Arial"/>
        </w:rPr>
        <w:t xml:space="preserve"> students creat</w:t>
      </w:r>
      <w:r>
        <w:rPr>
          <w:rFonts w:cs="Arial"/>
        </w:rPr>
        <w:t>ing</w:t>
      </w:r>
      <w:r w:rsidRPr="00B73D61">
        <w:rPr>
          <w:rFonts w:cs="Arial"/>
        </w:rPr>
        <w:t xml:space="preserve"> pop-up museums and explor</w:t>
      </w:r>
      <w:r>
        <w:rPr>
          <w:rFonts w:cs="Arial"/>
        </w:rPr>
        <w:t>ing</w:t>
      </w:r>
      <w:r w:rsidRPr="00B73D61">
        <w:rPr>
          <w:rFonts w:cs="Arial"/>
        </w:rPr>
        <w:t xml:space="preserve"> the role of museums in society. </w:t>
      </w:r>
    </w:p>
    <w:p w14:paraId="6A7196FC" w14:textId="5FD21E02" w:rsidR="00C625A2" w:rsidRPr="00B73D61" w:rsidRDefault="00C625A2" w:rsidP="00C625A2"/>
    <w:p w14:paraId="22BA226E" w14:textId="77777777" w:rsidR="00C625A2" w:rsidRPr="00B73D61" w:rsidRDefault="00C625A2" w:rsidP="00C625A2">
      <w:r>
        <w:t>Another example of our innovation is t</w:t>
      </w:r>
      <w:r w:rsidRPr="00B73D61">
        <w:t>he Ian Potter Australian Wildlife BioBank</w:t>
      </w:r>
      <w:r>
        <w:t>,</w:t>
      </w:r>
      <w:r w:rsidRPr="00B73D61">
        <w:t xml:space="preserve"> opened at Melbourne Museum</w:t>
      </w:r>
      <w:r>
        <w:t xml:space="preserve">. This facility </w:t>
      </w:r>
      <w:r w:rsidRPr="00B73D61">
        <w:t>provid</w:t>
      </w:r>
      <w:r>
        <w:t>es</w:t>
      </w:r>
      <w:r w:rsidRPr="00B73D61">
        <w:t xml:space="preserve"> Australia’s first animal equivalent of a national seed bank</w:t>
      </w:r>
      <w:r>
        <w:t>, in being a</w:t>
      </w:r>
      <w:r w:rsidRPr="00B73D61">
        <w:t xml:space="preserve"> </w:t>
      </w:r>
      <w:r>
        <w:t xml:space="preserve">repository </w:t>
      </w:r>
      <w:r w:rsidRPr="00B73D61">
        <w:t>for wildlife tissue samples</w:t>
      </w:r>
      <w:r>
        <w:t xml:space="preserve">. The project will be supported by an </w:t>
      </w:r>
      <w:r w:rsidRPr="00B73D61">
        <w:rPr>
          <w:rFonts w:eastAsia="MS Gothic"/>
        </w:rPr>
        <w:t>early</w:t>
      </w:r>
      <w:r>
        <w:rPr>
          <w:rFonts w:eastAsia="MS Gothic"/>
        </w:rPr>
        <w:t>-</w:t>
      </w:r>
      <w:r w:rsidRPr="00B73D61">
        <w:rPr>
          <w:rFonts w:eastAsia="MS Gothic"/>
        </w:rPr>
        <w:t>career researcher</w:t>
      </w:r>
      <w:r>
        <w:rPr>
          <w:rFonts w:eastAsia="MS Gothic"/>
        </w:rPr>
        <w:t xml:space="preserve"> fellowship, funded by t</w:t>
      </w:r>
      <w:r w:rsidRPr="00B73D61">
        <w:t>he Ian Potter Foundation.</w:t>
      </w:r>
    </w:p>
    <w:p w14:paraId="59C7AA7B" w14:textId="77777777" w:rsidR="00C625A2" w:rsidRPr="00B73D61" w:rsidRDefault="00C625A2" w:rsidP="00C625A2"/>
    <w:p w14:paraId="5BE40653" w14:textId="77777777" w:rsidR="00C625A2" w:rsidRPr="00B73D61" w:rsidRDefault="00C625A2" w:rsidP="00C625A2">
      <w:r w:rsidRPr="00B73D61">
        <w:t xml:space="preserve">Construction of the new Pauline Gandel Children’s Gallery </w:t>
      </w:r>
      <w:r>
        <w:t>began</w:t>
      </w:r>
      <w:r w:rsidRPr="00B73D61">
        <w:t xml:space="preserve"> in January</w:t>
      </w:r>
      <w:r>
        <w:t xml:space="preserve"> 2016</w:t>
      </w:r>
      <w:r w:rsidRPr="00B73D61">
        <w:t xml:space="preserve">. The new gallery, which is scheduled to open in December, is the result of extensive consultation with </w:t>
      </w:r>
      <w:r>
        <w:t xml:space="preserve">prospective audiences and education sector </w:t>
      </w:r>
      <w:r w:rsidRPr="00B73D61">
        <w:t>stakeholders</w:t>
      </w:r>
      <w:r>
        <w:t>. It</w:t>
      </w:r>
      <w:r w:rsidRPr="00B73D61">
        <w:t xml:space="preserve"> </w:t>
      </w:r>
      <w:r>
        <w:t>will be</w:t>
      </w:r>
      <w:r w:rsidRPr="00B73D61">
        <w:t xml:space="preserve"> dedicated to fostering learning and creativity in children</w:t>
      </w:r>
      <w:r>
        <w:t xml:space="preserve"> aged</w:t>
      </w:r>
      <w:r w:rsidRPr="00B73D61">
        <w:t xml:space="preserve"> up to five years.</w:t>
      </w:r>
    </w:p>
    <w:p w14:paraId="55D38F98" w14:textId="77777777" w:rsidR="00C625A2" w:rsidRPr="00B73D61" w:rsidRDefault="00C625A2" w:rsidP="00C625A2"/>
    <w:p w14:paraId="30389435" w14:textId="0AB2961B" w:rsidR="00C625A2" w:rsidRPr="00B73D61" w:rsidRDefault="00C625A2" w:rsidP="00C625A2">
      <w:r w:rsidRPr="00B73D61">
        <w:t>In April, the Minister for Creative Industries</w:t>
      </w:r>
      <w:r w:rsidR="00375180">
        <w:t>, Martin Foley MP,</w:t>
      </w:r>
      <w:r w:rsidRPr="00B73D61">
        <w:t xml:space="preserve"> released </w:t>
      </w:r>
      <w:r w:rsidRPr="00B73D61">
        <w:rPr>
          <w:i/>
        </w:rPr>
        <w:t>Creative State</w:t>
      </w:r>
      <w:r w:rsidRPr="00B73D61">
        <w:t xml:space="preserve">, the new Victorian creative industries strategy. Museum Victoria is already contributing to a number of </w:t>
      </w:r>
      <w:r>
        <w:t>its</w:t>
      </w:r>
      <w:r w:rsidRPr="00B73D61">
        <w:t xml:space="preserve"> goals in the areas of support</w:t>
      </w:r>
      <w:r>
        <w:t xml:space="preserve"> for</w:t>
      </w:r>
      <w:r w:rsidRPr="00B73D61">
        <w:t xml:space="preserve"> economic development, innovation and positioning Melbourne as a global cultural destination.</w:t>
      </w:r>
    </w:p>
    <w:p w14:paraId="059A94DE" w14:textId="77777777" w:rsidR="00C625A2" w:rsidRPr="00B73D61" w:rsidRDefault="00C625A2" w:rsidP="00C625A2"/>
    <w:p w14:paraId="164DB36F" w14:textId="77777777" w:rsidR="00C625A2" w:rsidRPr="00B73D61" w:rsidRDefault="00C625A2" w:rsidP="00C625A2">
      <w:r w:rsidRPr="00B73D61">
        <w:t xml:space="preserve">I would like to acknowledge the significant contribution of </w:t>
      </w:r>
      <w:r>
        <w:t xml:space="preserve">the </w:t>
      </w:r>
      <w:r w:rsidRPr="00B73D61">
        <w:t xml:space="preserve">outgoing </w:t>
      </w:r>
      <w:r>
        <w:t>P</w:t>
      </w:r>
      <w:r w:rsidRPr="00B73D61">
        <w:t xml:space="preserve">resident </w:t>
      </w:r>
      <w:r>
        <w:t xml:space="preserve">of </w:t>
      </w:r>
      <w:r w:rsidRPr="00B73D61">
        <w:t>our Board, Professor Margaret Gardner AO</w:t>
      </w:r>
      <w:r>
        <w:t>. She</w:t>
      </w:r>
      <w:r w:rsidRPr="00B73D61">
        <w:t xml:space="preserve"> has </w:t>
      </w:r>
      <w:r>
        <w:t>provided</w:t>
      </w:r>
      <w:r w:rsidRPr="00B73D61">
        <w:t xml:space="preserve"> </w:t>
      </w:r>
      <w:r>
        <w:t>strong leadership to</w:t>
      </w:r>
      <w:r w:rsidRPr="00B73D61">
        <w:t xml:space="preserve"> the Museums Board of Victoria throughout her eight</w:t>
      </w:r>
      <w:r>
        <w:t>-</w:t>
      </w:r>
      <w:r w:rsidRPr="00B73D61">
        <w:t xml:space="preserve">year term. I look forward to continuing </w:t>
      </w:r>
      <w:r>
        <w:t xml:space="preserve">this </w:t>
      </w:r>
      <w:r w:rsidRPr="00B73D61">
        <w:t xml:space="preserve">great work </w:t>
      </w:r>
      <w:r>
        <w:t>with</w:t>
      </w:r>
      <w:r w:rsidRPr="00B73D61">
        <w:t xml:space="preserve"> our new President, Dr Rufus Black.</w:t>
      </w:r>
    </w:p>
    <w:p w14:paraId="3DE9784D" w14:textId="77777777" w:rsidR="00C625A2" w:rsidRPr="00B73D61" w:rsidRDefault="00C625A2" w:rsidP="00C625A2"/>
    <w:p w14:paraId="40B8E6AF" w14:textId="77777777" w:rsidR="00C625A2" w:rsidRPr="00B73D61" w:rsidRDefault="00C625A2" w:rsidP="00C625A2">
      <w:r w:rsidRPr="00B73D61">
        <w:t xml:space="preserve">The achievements of Museum Victoria throughout the year are due to the efforts of the Board, staff, volunteers and supporters. I would like to thank everyone for their contribution to the </w:t>
      </w:r>
      <w:r>
        <w:t>impressive</w:t>
      </w:r>
      <w:r w:rsidRPr="00B73D61">
        <w:t xml:space="preserve"> results we have experienced over the last 12 months.</w:t>
      </w:r>
    </w:p>
    <w:p w14:paraId="2B448304" w14:textId="77777777" w:rsidR="0092253A" w:rsidRPr="00B73D61" w:rsidRDefault="0092253A" w:rsidP="0092253A"/>
    <w:p w14:paraId="48108785" w14:textId="77777777" w:rsidR="00BA2CA4" w:rsidRPr="00B51BB9" w:rsidRDefault="00BA2CA4" w:rsidP="00BA2CA4">
      <w:pPr>
        <w:rPr>
          <w:b/>
        </w:rPr>
      </w:pPr>
      <w:r w:rsidRPr="00B51BB9">
        <w:rPr>
          <w:b/>
        </w:rPr>
        <w:t>Dr J. Patrick Greene OBE</w:t>
      </w:r>
    </w:p>
    <w:p w14:paraId="3D2BE3B7" w14:textId="77777777" w:rsidR="00BA2CA4" w:rsidRPr="00B51BB9" w:rsidRDefault="00BA2CA4" w:rsidP="00BA2CA4">
      <w:pPr>
        <w:rPr>
          <w:b/>
        </w:rPr>
      </w:pPr>
      <w:r w:rsidRPr="00B51BB9">
        <w:rPr>
          <w:b/>
        </w:rPr>
        <w:t>Chief Executive Officer</w:t>
      </w:r>
    </w:p>
    <w:p w14:paraId="54F379B9" w14:textId="62183714" w:rsidR="009468AB" w:rsidRDefault="009468AB">
      <w:pPr>
        <w:spacing w:after="200" w:line="276" w:lineRule="auto"/>
      </w:pPr>
      <w:r>
        <w:br w:type="page"/>
      </w:r>
    </w:p>
    <w:p w14:paraId="1B918B58" w14:textId="77777777" w:rsidR="00BA2CA4" w:rsidRPr="004C7F43" w:rsidRDefault="00BA2CA4" w:rsidP="004C7F43">
      <w:pPr>
        <w:pStyle w:val="Heading2"/>
      </w:pPr>
      <w:r w:rsidRPr="004C7F43">
        <w:lastRenderedPageBreak/>
        <w:t>Profile of Museum Victoria</w:t>
      </w:r>
    </w:p>
    <w:p w14:paraId="399B8057" w14:textId="087B1753" w:rsidR="00BA2CA4" w:rsidRPr="00BA2CA4" w:rsidRDefault="00BA2CA4" w:rsidP="00BA2CA4">
      <w:r w:rsidRPr="00BA2CA4">
        <w:t xml:space="preserve">Museum Victoria is </w:t>
      </w:r>
      <w:r w:rsidR="00A6706F" w:rsidRPr="00BA2CA4">
        <w:t>Austra</w:t>
      </w:r>
      <w:r w:rsidR="00A6706F">
        <w:t>lasia</w:t>
      </w:r>
      <w:r w:rsidR="00A6706F" w:rsidRPr="00BA2CA4">
        <w:t xml:space="preserve">’s </w:t>
      </w:r>
      <w:r w:rsidRPr="00BA2CA4">
        <w:t>largest public museum organisation. As the state museum for Victoria, we are responsible for looking after the State Collection, delivering educational and entertaining exhibitions for the public, conducting research</w:t>
      </w:r>
      <w:r w:rsidR="00AC36D0">
        <w:t>,</w:t>
      </w:r>
      <w:r w:rsidRPr="00BA2CA4">
        <w:t xml:space="preserve"> and providing cultural and science programs for the people of Victoria and visitors from interstate and overseas.</w:t>
      </w:r>
    </w:p>
    <w:p w14:paraId="1D976D7D" w14:textId="77777777" w:rsidR="00BA2CA4" w:rsidRPr="00BA2CA4" w:rsidRDefault="00BA2CA4" w:rsidP="00BA2CA4"/>
    <w:p w14:paraId="55500CC1" w14:textId="72C2E824" w:rsidR="00BA2CA4" w:rsidRPr="00BA2CA4" w:rsidRDefault="00BA2CA4" w:rsidP="00BA2CA4">
      <w:r w:rsidRPr="00BA2CA4">
        <w:t xml:space="preserve">Museum Victoria dates back to 1854, with the founding of the National Museum of Victoria, and then, in 1870, the Industrial and Technological Museum of Victoria (later known as the Science Museum of Victoria). By proclamation of the </w:t>
      </w:r>
      <w:r w:rsidRPr="00BA2CA4">
        <w:rPr>
          <w:i/>
        </w:rPr>
        <w:t xml:space="preserve">Museums Act 1983 </w:t>
      </w:r>
      <w:r w:rsidRPr="00BA2CA4">
        <w:t>(Vic.), these two institutions were amalgamated to form what is today known as Museum Victoria, governed by the Museums Board of Victoria.</w:t>
      </w:r>
    </w:p>
    <w:p w14:paraId="7B0638BA" w14:textId="77777777" w:rsidR="00BA2CA4" w:rsidRPr="00BA2CA4" w:rsidRDefault="00BA2CA4" w:rsidP="00BA2CA4"/>
    <w:p w14:paraId="38BB3800" w14:textId="77777777" w:rsidR="00BA2CA4" w:rsidRPr="00BA2CA4" w:rsidRDefault="00BA2CA4" w:rsidP="00BA2CA4">
      <w:r w:rsidRPr="00BA2CA4">
        <w:t>Museum Victoria undertakes high-quality research into historical and contemporary issues in the fields of science, history and technology, and Indigenous cultures. Our research is based on an internationally significant collection of nearly 17 million items and is carried out by expert curators. Museum Victoria operates three museums, a collection storage facility and a non-collection facility, and is custodian for the World Heritage–listed Royal Exhibition Building.</w:t>
      </w:r>
    </w:p>
    <w:p w14:paraId="0160185E" w14:textId="3A23D5E8" w:rsidR="00BA2CA4" w:rsidRPr="00BA2CA4" w:rsidRDefault="00BA2CA4" w:rsidP="00A00892"/>
    <w:p w14:paraId="5E9382BF" w14:textId="77777777" w:rsidR="00BA2CA4" w:rsidRPr="00BA2CA4" w:rsidRDefault="00BA2CA4" w:rsidP="00A00892">
      <w:pPr>
        <w:pStyle w:val="Heading3"/>
      </w:pPr>
      <w:r w:rsidRPr="00BA2CA4">
        <w:t>Immigration Museum</w:t>
      </w:r>
    </w:p>
    <w:p w14:paraId="5C0BC6DB" w14:textId="77777777" w:rsidR="00BA2CA4" w:rsidRPr="00BA2CA4" w:rsidRDefault="00BA2CA4" w:rsidP="00BA2CA4">
      <w:r w:rsidRPr="00BA2CA4">
        <w:t>Opened November 1998</w:t>
      </w:r>
    </w:p>
    <w:p w14:paraId="4AD8B353" w14:textId="77777777" w:rsidR="00BA2CA4" w:rsidRPr="00BA2CA4" w:rsidRDefault="00BA2CA4" w:rsidP="00BA2CA4">
      <w:pPr>
        <w:rPr>
          <w:rFonts w:ascii="Calibri" w:hAnsi="Calibri"/>
        </w:rPr>
      </w:pPr>
      <w:r w:rsidRPr="00BA2CA4">
        <w:t>The Immigration Museum is one of the world’s leading social history museums, and is situated in the historic Old Customs House on Flinders Street. It is a living cultural centre that engages visitors with the history and experiences of immigration and cultural diversity that have contributed to shaping modern Australia.</w:t>
      </w:r>
    </w:p>
    <w:p w14:paraId="766442FA" w14:textId="77777777" w:rsidR="00BA2CA4" w:rsidRPr="00BA2CA4" w:rsidRDefault="00BA2CA4" w:rsidP="00BA2CA4"/>
    <w:p w14:paraId="7F6A6A20" w14:textId="77777777" w:rsidR="00BA2CA4" w:rsidRPr="00BA2CA4" w:rsidRDefault="00BA2CA4" w:rsidP="00A00892">
      <w:pPr>
        <w:pStyle w:val="Heading3"/>
      </w:pPr>
      <w:r w:rsidRPr="00BA2CA4">
        <w:t>Scienceworks</w:t>
      </w:r>
    </w:p>
    <w:p w14:paraId="307650D3" w14:textId="77777777" w:rsidR="00BA2CA4" w:rsidRPr="00BA2CA4" w:rsidRDefault="00BA2CA4" w:rsidP="00BA2CA4">
      <w:r w:rsidRPr="00BA2CA4">
        <w:t>Opened March 1992</w:t>
      </w:r>
    </w:p>
    <w:p w14:paraId="46078A97" w14:textId="3A50ADA8" w:rsidR="00BA2CA4" w:rsidRPr="00BA2CA4" w:rsidRDefault="00BA2CA4" w:rsidP="00BA2CA4">
      <w:r w:rsidRPr="00BA2CA4">
        <w:t xml:space="preserve">Located in the grounds of and incorporating the historic Spotswood Pumping Station, </w:t>
      </w:r>
      <w:r w:rsidR="00AC36D0">
        <w:t>Scienceworks is an</w:t>
      </w:r>
      <w:r w:rsidR="00AC36D0" w:rsidRPr="00BA2CA4">
        <w:t xml:space="preserve"> </w:t>
      </w:r>
      <w:r w:rsidRPr="00BA2CA4">
        <w:t xml:space="preserve">extremely popular science and technology museum </w:t>
      </w:r>
      <w:r w:rsidR="00AC36D0">
        <w:t xml:space="preserve">that </w:t>
      </w:r>
      <w:r w:rsidRPr="00BA2CA4">
        <w:t>features modern interactive exhibition galleries, the Melbourne Planetarium and the Lightning Room.</w:t>
      </w:r>
    </w:p>
    <w:p w14:paraId="2A5C97D3" w14:textId="77777777" w:rsidR="00BA2CA4" w:rsidRPr="00BA2CA4" w:rsidRDefault="00BA2CA4" w:rsidP="00BA2CA4"/>
    <w:p w14:paraId="3D3952BE" w14:textId="77777777" w:rsidR="00BA2CA4" w:rsidRPr="00BA2CA4" w:rsidRDefault="00BA2CA4" w:rsidP="00A00892">
      <w:pPr>
        <w:pStyle w:val="Heading3"/>
      </w:pPr>
      <w:r w:rsidRPr="00BA2CA4">
        <w:t>Melbourne Museum</w:t>
      </w:r>
    </w:p>
    <w:p w14:paraId="5B281BBD" w14:textId="77777777" w:rsidR="00BA2CA4" w:rsidRPr="00BA2CA4" w:rsidRDefault="00BA2CA4" w:rsidP="00BA2CA4">
      <w:r w:rsidRPr="00BA2CA4">
        <w:t>Opened October 2000</w:t>
      </w:r>
    </w:p>
    <w:p w14:paraId="2CBCFDE6" w14:textId="77777777" w:rsidR="00BA2CA4" w:rsidRPr="00BA2CA4" w:rsidRDefault="00BA2CA4" w:rsidP="00BA2CA4">
      <w:r w:rsidRPr="00BA2CA4">
        <w:t>The iconic Melbourne Museum stands adjacent to the historic Royal Exhibition Building, in Carlton Gardens. Melbourne Museum incorporates the Bunjilaka Aboriginal Cultural Centre and showcases Australian social history, Indigenous cultures, the human mind and body, science and technology, and the environment. Museum Victoria also operates the IMAX Theatre at Melbourne Museum.</w:t>
      </w:r>
    </w:p>
    <w:p w14:paraId="69652B08" w14:textId="77777777" w:rsidR="00BA2CA4" w:rsidRPr="00BA2CA4" w:rsidRDefault="00BA2CA4" w:rsidP="00BA2CA4"/>
    <w:p w14:paraId="6930C0DF" w14:textId="77777777" w:rsidR="00BA2CA4" w:rsidRPr="00BA2CA4" w:rsidRDefault="00BA2CA4" w:rsidP="00A00892">
      <w:pPr>
        <w:pStyle w:val="Heading3"/>
      </w:pPr>
      <w:r w:rsidRPr="00BA2CA4">
        <w:t>Royal Exhibition Building</w:t>
      </w:r>
    </w:p>
    <w:p w14:paraId="0E642B98" w14:textId="77777777" w:rsidR="00BA2CA4" w:rsidRPr="00BA2CA4" w:rsidRDefault="00BA2CA4" w:rsidP="00BA2CA4">
      <w:r w:rsidRPr="00BA2CA4">
        <w:t>Constructed 1879–80</w:t>
      </w:r>
    </w:p>
    <w:p w14:paraId="33E90E02" w14:textId="77777777" w:rsidR="00BA2CA4" w:rsidRPr="00BA2CA4" w:rsidRDefault="00BA2CA4" w:rsidP="00BA2CA4">
      <w:r w:rsidRPr="00BA2CA4">
        <w:t>Museum Victoria custodianship since 1996</w:t>
      </w:r>
    </w:p>
    <w:p w14:paraId="0ECB2784" w14:textId="77777777" w:rsidR="00BA2CA4" w:rsidRPr="00BA2CA4" w:rsidRDefault="00BA2CA4" w:rsidP="00BA2CA4">
      <w:r w:rsidRPr="00BA2CA4">
        <w:t>Located in Carlton Gardens alongside Melbourne Museum, the Royal Exhibition Building was built for the 1880 Melbourne International Exhibition and it continues to host exhibitions and other events. The building and gardens were inscribed on the UNESCO World Heritage register in July 2004.</w:t>
      </w:r>
    </w:p>
    <w:p w14:paraId="22B79CB1" w14:textId="77777777" w:rsidR="00BA2CA4" w:rsidRPr="00BA2CA4" w:rsidRDefault="00BA2CA4" w:rsidP="00BA2CA4"/>
    <w:p w14:paraId="7902EC71" w14:textId="77777777" w:rsidR="00BA2CA4" w:rsidRPr="00BA2CA4" w:rsidRDefault="00BA2CA4" w:rsidP="00BA2CA4">
      <w:pPr>
        <w:spacing w:after="200" w:line="276" w:lineRule="auto"/>
        <w:rPr>
          <w:b/>
          <w:sz w:val="32"/>
        </w:rPr>
      </w:pPr>
      <w:r w:rsidRPr="00BA2CA4">
        <w:br w:type="page"/>
      </w:r>
    </w:p>
    <w:p w14:paraId="0035A976" w14:textId="77777777" w:rsidR="00BA2CA4" w:rsidRPr="00BA2CA4" w:rsidRDefault="00BA2CA4" w:rsidP="00A00892">
      <w:pPr>
        <w:pStyle w:val="Heading3"/>
      </w:pPr>
      <w:r w:rsidRPr="00BA2CA4">
        <w:lastRenderedPageBreak/>
        <w:t>Moreland Annexe</w:t>
      </w:r>
    </w:p>
    <w:p w14:paraId="25B2B177" w14:textId="77777777" w:rsidR="00BA2CA4" w:rsidRPr="00BA2CA4" w:rsidRDefault="00BA2CA4" w:rsidP="00BA2CA4">
      <w:r w:rsidRPr="00BA2CA4">
        <w:t>Opened October 1996</w:t>
      </w:r>
    </w:p>
    <w:p w14:paraId="534EF268" w14:textId="4422D42E" w:rsidR="00BA2CA4" w:rsidRPr="00BA2CA4" w:rsidRDefault="00BA2CA4" w:rsidP="00BA2CA4">
      <w:r w:rsidRPr="00BA2CA4">
        <w:t>Museum Victoria’s off-site collection storage facility</w:t>
      </w:r>
      <w:r w:rsidR="00AC36D0">
        <w:t>, the Moreland Annexe,</w:t>
      </w:r>
      <w:r w:rsidRPr="00BA2CA4">
        <w:t xml:space="preserve"> houses the largest of the collection items</w:t>
      </w:r>
      <w:r w:rsidR="00AC36D0">
        <w:t>. It</w:t>
      </w:r>
      <w:r w:rsidRPr="00BA2CA4">
        <w:t xml:space="preserve"> complements the collection stores at Melbourne Museum and Scienceworks.</w:t>
      </w:r>
    </w:p>
    <w:p w14:paraId="16B64F48" w14:textId="77777777" w:rsidR="00BA2CA4" w:rsidRPr="00BA2CA4" w:rsidRDefault="00BA2CA4" w:rsidP="00BA2CA4"/>
    <w:p w14:paraId="6B0C4C47" w14:textId="77777777" w:rsidR="00BA2CA4" w:rsidRPr="00BA2CA4" w:rsidRDefault="00BA2CA4" w:rsidP="00A00892">
      <w:pPr>
        <w:pStyle w:val="Heading3"/>
      </w:pPr>
      <w:r w:rsidRPr="00BA2CA4">
        <w:t>Simcock Avenue Store</w:t>
      </w:r>
    </w:p>
    <w:p w14:paraId="51D738CD" w14:textId="77777777" w:rsidR="00BA2CA4" w:rsidRPr="00BA2CA4" w:rsidRDefault="00BA2CA4" w:rsidP="00BA2CA4">
      <w:r w:rsidRPr="00BA2CA4">
        <w:t>Opened November 2007</w:t>
      </w:r>
    </w:p>
    <w:p w14:paraId="1DBDC52A" w14:textId="62869762" w:rsidR="00BA2CA4" w:rsidRDefault="00BA2CA4">
      <w:r w:rsidRPr="00BA2CA4">
        <w:t xml:space="preserve">Museum Victoria operates </w:t>
      </w:r>
      <w:r w:rsidR="00AC36D0">
        <w:t xml:space="preserve">the Simcock Avenue Store, </w:t>
      </w:r>
      <w:r w:rsidRPr="00BA2CA4">
        <w:t>a non-collection store</w:t>
      </w:r>
      <w:r w:rsidR="00AC36D0">
        <w:t>,</w:t>
      </w:r>
      <w:r w:rsidRPr="00BA2CA4">
        <w:t xml:space="preserve"> on behalf of a number of creative industries agencies. </w:t>
      </w:r>
      <w:r w:rsidR="00AC36D0">
        <w:t>It</w:t>
      </w:r>
      <w:r w:rsidRPr="00BA2CA4">
        <w:t xml:space="preserve"> is adjacent to Scienceworks.</w:t>
      </w:r>
    </w:p>
    <w:p w14:paraId="33B7FF83" w14:textId="77777777" w:rsidR="00BA2CA4" w:rsidRDefault="00BA2CA4"/>
    <w:p w14:paraId="47E55683" w14:textId="77777777" w:rsidR="00C1142C" w:rsidRDefault="00C1142C" w:rsidP="00BA2CA4">
      <w:pPr>
        <w:keepNext/>
        <w:spacing w:after="120"/>
        <w:outlineLvl w:val="1"/>
        <w:rPr>
          <w:b/>
          <w:sz w:val="36"/>
        </w:rPr>
        <w:sectPr w:rsidR="00C1142C">
          <w:footerReference w:type="default" r:id="rId9"/>
          <w:pgSz w:w="11906" w:h="16838"/>
          <w:pgMar w:top="1440" w:right="1800" w:bottom="1440" w:left="1800" w:header="720" w:footer="720" w:gutter="0"/>
          <w:cols w:space="720"/>
          <w:docGrid w:linePitch="360"/>
        </w:sectPr>
      </w:pPr>
    </w:p>
    <w:p w14:paraId="78F235A4" w14:textId="461E11DF" w:rsidR="00BA2CA4" w:rsidRPr="00BA2CA4" w:rsidRDefault="00BA2CA4" w:rsidP="00A00892">
      <w:pPr>
        <w:pStyle w:val="Heading2"/>
      </w:pPr>
      <w:r w:rsidRPr="00BA2CA4">
        <w:lastRenderedPageBreak/>
        <w:t>The Year in Brief</w:t>
      </w:r>
    </w:p>
    <w:p w14:paraId="088D1308" w14:textId="77777777" w:rsidR="004F207A" w:rsidRPr="00C70CAC" w:rsidRDefault="004F207A" w:rsidP="00BA2CA4">
      <w:pPr>
        <w:rPr>
          <w:rFonts w:cs="Arial"/>
          <w:szCs w:val="22"/>
        </w:rPr>
      </w:pPr>
    </w:p>
    <w:p w14:paraId="4FA5E646" w14:textId="77777777" w:rsidR="00BA2CA4" w:rsidRPr="000720D0" w:rsidRDefault="00BA2CA4" w:rsidP="00A00892">
      <w:pPr>
        <w:pStyle w:val="Heading3"/>
      </w:pPr>
      <w:r w:rsidRPr="000720D0">
        <w:t xml:space="preserve">Key Indicators </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Key Indicators"/>
        <w:tblDescription w:val="Table shows Key Indicators and results for 2013–13 and previous 4 financial years."/>
      </w:tblPr>
      <w:tblGrid>
        <w:gridCol w:w="5495"/>
        <w:gridCol w:w="1453"/>
        <w:gridCol w:w="1453"/>
        <w:gridCol w:w="1453"/>
        <w:gridCol w:w="1453"/>
        <w:gridCol w:w="1453"/>
      </w:tblGrid>
      <w:tr w:rsidR="00BA2CA4" w:rsidRPr="00BA2CA4" w14:paraId="28D9B154" w14:textId="77777777" w:rsidTr="00BA2CA4">
        <w:tc>
          <w:tcPr>
            <w:tcW w:w="5495" w:type="dxa"/>
          </w:tcPr>
          <w:p w14:paraId="2A7FE01A" w14:textId="77777777" w:rsidR="00BA2CA4" w:rsidRPr="00BA2CA4" w:rsidRDefault="00BA2CA4" w:rsidP="00BA2CA4">
            <w:pPr>
              <w:keepNext/>
              <w:jc w:val="right"/>
              <w:outlineLvl w:val="3"/>
            </w:pPr>
          </w:p>
        </w:tc>
        <w:tc>
          <w:tcPr>
            <w:tcW w:w="1453" w:type="dxa"/>
            <w:tcBorders>
              <w:top w:val="nil"/>
            </w:tcBorders>
            <w:shd w:val="clear" w:color="auto" w:fill="BFBFBF" w:themeFill="background1" w:themeFillShade="BF"/>
          </w:tcPr>
          <w:p w14:paraId="06C502AA" w14:textId="42987D0A" w:rsidR="00BA2CA4" w:rsidRPr="00BA2CA4" w:rsidRDefault="00BA2CA4" w:rsidP="00BA2CA4">
            <w:pPr>
              <w:jc w:val="right"/>
              <w:rPr>
                <w:b/>
              </w:rPr>
            </w:pPr>
            <w:r w:rsidRPr="00BA2CA4">
              <w:rPr>
                <w:b/>
              </w:rPr>
              <w:t>2015</w:t>
            </w:r>
            <w:r w:rsidR="00944749">
              <w:rPr>
                <w:rFonts w:cs="Arial"/>
                <w:b/>
              </w:rPr>
              <w:t>–</w:t>
            </w:r>
            <w:r w:rsidRPr="00BA2CA4">
              <w:rPr>
                <w:b/>
              </w:rPr>
              <w:t>16</w:t>
            </w:r>
          </w:p>
        </w:tc>
        <w:tc>
          <w:tcPr>
            <w:tcW w:w="1453" w:type="dxa"/>
            <w:tcBorders>
              <w:top w:val="nil"/>
            </w:tcBorders>
            <w:shd w:val="clear" w:color="000000" w:fill="E0E0E0"/>
          </w:tcPr>
          <w:p w14:paraId="4F03F698" w14:textId="77777777" w:rsidR="00BA2CA4" w:rsidRPr="00BA2CA4" w:rsidRDefault="00BA2CA4" w:rsidP="00BA2CA4">
            <w:pPr>
              <w:jc w:val="right"/>
              <w:rPr>
                <w:b/>
              </w:rPr>
            </w:pPr>
            <w:r w:rsidRPr="00BA2CA4">
              <w:rPr>
                <w:b/>
              </w:rPr>
              <w:t>2014–15</w:t>
            </w:r>
          </w:p>
        </w:tc>
        <w:tc>
          <w:tcPr>
            <w:tcW w:w="1453" w:type="dxa"/>
            <w:tcBorders>
              <w:top w:val="nil"/>
            </w:tcBorders>
            <w:shd w:val="clear" w:color="000000" w:fill="E0E0E0"/>
          </w:tcPr>
          <w:p w14:paraId="6617FFF4" w14:textId="77777777" w:rsidR="00BA2CA4" w:rsidRPr="00BA2CA4" w:rsidRDefault="00BA2CA4" w:rsidP="00BA2CA4">
            <w:pPr>
              <w:jc w:val="right"/>
              <w:rPr>
                <w:b/>
              </w:rPr>
            </w:pPr>
            <w:r w:rsidRPr="00BA2CA4">
              <w:rPr>
                <w:b/>
              </w:rPr>
              <w:t>2013–14</w:t>
            </w:r>
          </w:p>
        </w:tc>
        <w:tc>
          <w:tcPr>
            <w:tcW w:w="1453" w:type="dxa"/>
            <w:tcBorders>
              <w:top w:val="nil"/>
            </w:tcBorders>
            <w:shd w:val="clear" w:color="000000" w:fill="E0E0E0"/>
          </w:tcPr>
          <w:p w14:paraId="41C33292" w14:textId="77777777" w:rsidR="00BA2CA4" w:rsidRPr="00BA2CA4" w:rsidRDefault="00BA2CA4" w:rsidP="00BA2CA4">
            <w:pPr>
              <w:jc w:val="right"/>
              <w:rPr>
                <w:b/>
              </w:rPr>
            </w:pPr>
            <w:r w:rsidRPr="00BA2CA4">
              <w:rPr>
                <w:b/>
              </w:rPr>
              <w:t>2012–13</w:t>
            </w:r>
          </w:p>
        </w:tc>
        <w:tc>
          <w:tcPr>
            <w:tcW w:w="1453" w:type="dxa"/>
            <w:tcBorders>
              <w:top w:val="nil"/>
            </w:tcBorders>
            <w:shd w:val="clear" w:color="000000" w:fill="E0E0E0"/>
          </w:tcPr>
          <w:p w14:paraId="7877D956" w14:textId="77777777" w:rsidR="00BA2CA4" w:rsidRPr="00BA2CA4" w:rsidRDefault="00BA2CA4" w:rsidP="00BA2CA4">
            <w:pPr>
              <w:jc w:val="right"/>
              <w:rPr>
                <w:b/>
              </w:rPr>
            </w:pPr>
            <w:r w:rsidRPr="00BA2CA4">
              <w:rPr>
                <w:b/>
              </w:rPr>
              <w:t>2011–12</w:t>
            </w:r>
          </w:p>
        </w:tc>
      </w:tr>
      <w:tr w:rsidR="00BA2CA4" w:rsidRPr="00BA2CA4" w14:paraId="03E65111" w14:textId="77777777" w:rsidTr="00BA2CA4">
        <w:tc>
          <w:tcPr>
            <w:tcW w:w="5495" w:type="dxa"/>
          </w:tcPr>
          <w:p w14:paraId="4274AB5F" w14:textId="77777777" w:rsidR="00BA2CA4" w:rsidRPr="00BA2CA4" w:rsidRDefault="00BA2CA4" w:rsidP="00BA2CA4">
            <w:pPr>
              <w:rPr>
                <w:snapToGrid w:val="0"/>
                <w:color w:val="000000"/>
                <w:lang w:eastAsia="en-US"/>
              </w:rPr>
            </w:pPr>
            <w:r w:rsidRPr="00BA2CA4">
              <w:rPr>
                <w:snapToGrid w:val="0"/>
                <w:color w:val="000000"/>
                <w:lang w:eastAsia="en-US"/>
              </w:rPr>
              <w:t>Collection Stored to Industry Standard</w:t>
            </w:r>
          </w:p>
        </w:tc>
        <w:tc>
          <w:tcPr>
            <w:tcW w:w="1453" w:type="dxa"/>
            <w:tcBorders>
              <w:top w:val="single" w:sz="4" w:space="0" w:color="808080"/>
              <w:bottom w:val="single" w:sz="4" w:space="0" w:color="808080"/>
            </w:tcBorders>
            <w:shd w:val="clear" w:color="auto" w:fill="BFBFBF" w:themeFill="background1" w:themeFillShade="BF"/>
          </w:tcPr>
          <w:p w14:paraId="10DF3CC6" w14:textId="08D0EE5A" w:rsidR="00BA2CA4" w:rsidRPr="0094180C" w:rsidRDefault="00A619AC" w:rsidP="00BA2CA4">
            <w:pPr>
              <w:jc w:val="right"/>
            </w:pPr>
            <w:r w:rsidRPr="0094180C">
              <w:t>75%</w:t>
            </w:r>
          </w:p>
        </w:tc>
        <w:tc>
          <w:tcPr>
            <w:tcW w:w="1453" w:type="dxa"/>
            <w:tcBorders>
              <w:top w:val="single" w:sz="4" w:space="0" w:color="808080"/>
              <w:bottom w:val="single" w:sz="4" w:space="0" w:color="808080"/>
            </w:tcBorders>
            <w:shd w:val="clear" w:color="000000" w:fill="E0E0E0"/>
          </w:tcPr>
          <w:p w14:paraId="5F2B2290" w14:textId="77777777" w:rsidR="00BA2CA4" w:rsidRPr="00BA2CA4" w:rsidRDefault="00BA2CA4" w:rsidP="00BA2CA4">
            <w:pPr>
              <w:jc w:val="right"/>
              <w:rPr>
                <w:snapToGrid w:val="0"/>
                <w:color w:val="000000"/>
                <w:lang w:eastAsia="en-US"/>
              </w:rPr>
            </w:pPr>
            <w:r w:rsidRPr="00BA2CA4">
              <w:t>75%</w:t>
            </w:r>
          </w:p>
        </w:tc>
        <w:tc>
          <w:tcPr>
            <w:tcW w:w="1453" w:type="dxa"/>
            <w:tcBorders>
              <w:top w:val="single" w:sz="4" w:space="0" w:color="808080"/>
              <w:bottom w:val="single" w:sz="4" w:space="0" w:color="808080"/>
            </w:tcBorders>
            <w:shd w:val="clear" w:color="000000" w:fill="E0E0E0"/>
          </w:tcPr>
          <w:p w14:paraId="14D9D5B7" w14:textId="77777777" w:rsidR="00BA2CA4" w:rsidRPr="00BA2CA4" w:rsidRDefault="00BA2CA4" w:rsidP="00BA2CA4">
            <w:pPr>
              <w:jc w:val="right"/>
              <w:rPr>
                <w:rFonts w:cs="Arial"/>
                <w:snapToGrid w:val="0"/>
                <w:szCs w:val="22"/>
                <w:lang w:eastAsia="en-US"/>
              </w:rPr>
            </w:pPr>
            <w:r w:rsidRPr="00BA2CA4">
              <w:rPr>
                <w:snapToGrid w:val="0"/>
                <w:color w:val="000000"/>
                <w:lang w:eastAsia="en-US"/>
              </w:rPr>
              <w:t>77%</w:t>
            </w:r>
          </w:p>
        </w:tc>
        <w:tc>
          <w:tcPr>
            <w:tcW w:w="1453" w:type="dxa"/>
            <w:tcBorders>
              <w:top w:val="single" w:sz="4" w:space="0" w:color="808080"/>
              <w:bottom w:val="single" w:sz="4" w:space="0" w:color="808080"/>
            </w:tcBorders>
            <w:shd w:val="clear" w:color="000000" w:fill="E0E0E0"/>
          </w:tcPr>
          <w:p w14:paraId="03E89A70"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75%</w:t>
            </w:r>
          </w:p>
        </w:tc>
        <w:tc>
          <w:tcPr>
            <w:tcW w:w="1453" w:type="dxa"/>
            <w:tcBorders>
              <w:top w:val="single" w:sz="4" w:space="0" w:color="808080"/>
              <w:bottom w:val="single" w:sz="4" w:space="0" w:color="808080"/>
            </w:tcBorders>
            <w:shd w:val="clear" w:color="000000" w:fill="E0E0E0"/>
          </w:tcPr>
          <w:p w14:paraId="0D795CB5" w14:textId="77777777" w:rsidR="00BA2CA4" w:rsidRPr="00BA2CA4" w:rsidRDefault="00BA2CA4" w:rsidP="00BA2CA4">
            <w:pPr>
              <w:jc w:val="right"/>
              <w:rPr>
                <w:snapToGrid w:val="0"/>
                <w:color w:val="000000"/>
                <w:lang w:eastAsia="en-US"/>
              </w:rPr>
            </w:pPr>
            <w:r w:rsidRPr="00BA2CA4">
              <w:rPr>
                <w:rFonts w:cs="Arial"/>
                <w:snapToGrid w:val="0"/>
                <w:szCs w:val="22"/>
                <w:lang w:eastAsia="en-US"/>
              </w:rPr>
              <w:t>77%</w:t>
            </w:r>
          </w:p>
        </w:tc>
      </w:tr>
      <w:tr w:rsidR="00BA2CA4" w:rsidRPr="00BA2CA4" w14:paraId="126955F3" w14:textId="77777777" w:rsidTr="00BA2CA4">
        <w:tc>
          <w:tcPr>
            <w:tcW w:w="5495" w:type="dxa"/>
          </w:tcPr>
          <w:p w14:paraId="35C0AD54" w14:textId="77777777" w:rsidR="00BA2CA4" w:rsidRPr="00BA2CA4" w:rsidRDefault="00BA2CA4" w:rsidP="00BA2CA4">
            <w:pPr>
              <w:rPr>
                <w:snapToGrid w:val="0"/>
                <w:color w:val="000000"/>
                <w:lang w:eastAsia="en-US"/>
              </w:rPr>
            </w:pPr>
            <w:r w:rsidRPr="00BA2CA4">
              <w:rPr>
                <w:snapToGrid w:val="0"/>
                <w:color w:val="000000"/>
                <w:lang w:eastAsia="en-US"/>
              </w:rPr>
              <w:t>Visitors Satisfied with Visit Overall</w:t>
            </w:r>
          </w:p>
        </w:tc>
        <w:tc>
          <w:tcPr>
            <w:tcW w:w="1453" w:type="dxa"/>
            <w:tcBorders>
              <w:top w:val="single" w:sz="4" w:space="0" w:color="808080"/>
              <w:bottom w:val="single" w:sz="4" w:space="0" w:color="808080"/>
            </w:tcBorders>
            <w:shd w:val="clear" w:color="auto" w:fill="BFBFBF" w:themeFill="background1" w:themeFillShade="BF"/>
          </w:tcPr>
          <w:p w14:paraId="3BC6332D" w14:textId="439A4336" w:rsidR="00BA2CA4" w:rsidRPr="0094180C" w:rsidRDefault="00A619AC" w:rsidP="00BA2CA4">
            <w:pPr>
              <w:jc w:val="right"/>
            </w:pPr>
            <w:r w:rsidRPr="0094180C">
              <w:t>99%</w:t>
            </w:r>
          </w:p>
        </w:tc>
        <w:tc>
          <w:tcPr>
            <w:tcW w:w="1453" w:type="dxa"/>
            <w:tcBorders>
              <w:top w:val="single" w:sz="4" w:space="0" w:color="808080"/>
              <w:bottom w:val="single" w:sz="4" w:space="0" w:color="808080"/>
            </w:tcBorders>
            <w:shd w:val="clear" w:color="000000" w:fill="E0E0E0"/>
          </w:tcPr>
          <w:p w14:paraId="3DA62003" w14:textId="77777777" w:rsidR="00BA2CA4" w:rsidRPr="00BA2CA4" w:rsidRDefault="00BA2CA4" w:rsidP="00BA2CA4">
            <w:pPr>
              <w:jc w:val="right"/>
              <w:rPr>
                <w:snapToGrid w:val="0"/>
                <w:color w:val="000000"/>
                <w:lang w:eastAsia="en-US"/>
              </w:rPr>
            </w:pPr>
            <w:r w:rsidRPr="00BA2CA4">
              <w:t>92%</w:t>
            </w:r>
          </w:p>
        </w:tc>
        <w:tc>
          <w:tcPr>
            <w:tcW w:w="1453" w:type="dxa"/>
            <w:tcBorders>
              <w:top w:val="single" w:sz="4" w:space="0" w:color="808080"/>
              <w:bottom w:val="single" w:sz="4" w:space="0" w:color="808080"/>
            </w:tcBorders>
            <w:shd w:val="clear" w:color="000000" w:fill="E0E0E0"/>
          </w:tcPr>
          <w:p w14:paraId="2926E4B0" w14:textId="77777777" w:rsidR="00BA2CA4" w:rsidRPr="00BA2CA4" w:rsidRDefault="00BA2CA4" w:rsidP="00BA2CA4">
            <w:pPr>
              <w:jc w:val="right"/>
              <w:rPr>
                <w:rFonts w:cs="Arial"/>
                <w:snapToGrid w:val="0"/>
                <w:szCs w:val="22"/>
                <w:lang w:eastAsia="en-US"/>
              </w:rPr>
            </w:pPr>
            <w:r w:rsidRPr="00BA2CA4">
              <w:rPr>
                <w:snapToGrid w:val="0"/>
                <w:color w:val="000000"/>
                <w:lang w:eastAsia="en-US"/>
              </w:rPr>
              <w:t>94%</w:t>
            </w:r>
          </w:p>
        </w:tc>
        <w:tc>
          <w:tcPr>
            <w:tcW w:w="1453" w:type="dxa"/>
            <w:tcBorders>
              <w:top w:val="single" w:sz="4" w:space="0" w:color="808080"/>
              <w:bottom w:val="single" w:sz="4" w:space="0" w:color="808080"/>
            </w:tcBorders>
            <w:shd w:val="clear" w:color="000000" w:fill="E0E0E0"/>
          </w:tcPr>
          <w:p w14:paraId="5420065C"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93%</w:t>
            </w:r>
          </w:p>
        </w:tc>
        <w:tc>
          <w:tcPr>
            <w:tcW w:w="1453" w:type="dxa"/>
            <w:tcBorders>
              <w:top w:val="single" w:sz="4" w:space="0" w:color="808080"/>
              <w:bottom w:val="single" w:sz="4" w:space="0" w:color="808080"/>
            </w:tcBorders>
            <w:shd w:val="clear" w:color="000000" w:fill="E0E0E0"/>
          </w:tcPr>
          <w:p w14:paraId="6BA0C9C4" w14:textId="77777777" w:rsidR="00BA2CA4" w:rsidRPr="00BA2CA4" w:rsidRDefault="00BA2CA4" w:rsidP="00BA2CA4">
            <w:pPr>
              <w:jc w:val="right"/>
              <w:rPr>
                <w:snapToGrid w:val="0"/>
                <w:color w:val="000000"/>
                <w:lang w:eastAsia="en-US"/>
              </w:rPr>
            </w:pPr>
            <w:r w:rsidRPr="00BA2CA4">
              <w:rPr>
                <w:rFonts w:cs="Arial"/>
                <w:snapToGrid w:val="0"/>
                <w:szCs w:val="22"/>
                <w:lang w:eastAsia="en-US"/>
              </w:rPr>
              <w:t>89%</w:t>
            </w:r>
          </w:p>
        </w:tc>
      </w:tr>
      <w:tr w:rsidR="00BA2CA4" w:rsidRPr="00BA2CA4" w14:paraId="2B2B52D4" w14:textId="77777777" w:rsidTr="00BA2CA4">
        <w:tc>
          <w:tcPr>
            <w:tcW w:w="5495" w:type="dxa"/>
          </w:tcPr>
          <w:p w14:paraId="6E12F48F" w14:textId="77777777" w:rsidR="00BA2CA4" w:rsidRPr="00BA2CA4" w:rsidRDefault="00BA2CA4" w:rsidP="00BA2CA4">
            <w:pPr>
              <w:rPr>
                <w:snapToGrid w:val="0"/>
                <w:color w:val="000000"/>
                <w:lang w:eastAsia="en-US"/>
              </w:rPr>
            </w:pPr>
            <w:r w:rsidRPr="00BA2CA4">
              <w:rPr>
                <w:snapToGrid w:val="0"/>
                <w:color w:val="000000"/>
                <w:lang w:eastAsia="en-US"/>
              </w:rPr>
              <w:t>Students Participating in Education Programs</w:t>
            </w:r>
          </w:p>
        </w:tc>
        <w:tc>
          <w:tcPr>
            <w:tcW w:w="1453" w:type="dxa"/>
            <w:tcBorders>
              <w:top w:val="single" w:sz="4" w:space="0" w:color="808080"/>
              <w:bottom w:val="single" w:sz="4" w:space="0" w:color="808080"/>
            </w:tcBorders>
            <w:shd w:val="clear" w:color="auto" w:fill="BFBFBF" w:themeFill="background1" w:themeFillShade="BF"/>
          </w:tcPr>
          <w:p w14:paraId="683D155F" w14:textId="0CA2309D" w:rsidR="00BA2CA4" w:rsidRPr="0094180C" w:rsidRDefault="00A619AC" w:rsidP="00BA2CA4">
            <w:pPr>
              <w:jc w:val="right"/>
            </w:pPr>
            <w:r w:rsidRPr="0094180C">
              <w:t>287,460</w:t>
            </w:r>
          </w:p>
        </w:tc>
        <w:tc>
          <w:tcPr>
            <w:tcW w:w="1453" w:type="dxa"/>
            <w:tcBorders>
              <w:top w:val="single" w:sz="4" w:space="0" w:color="808080"/>
              <w:bottom w:val="single" w:sz="4" w:space="0" w:color="808080"/>
            </w:tcBorders>
            <w:shd w:val="clear" w:color="000000" w:fill="E0E0E0"/>
          </w:tcPr>
          <w:p w14:paraId="0A69CE6F" w14:textId="77777777" w:rsidR="00BA2CA4" w:rsidRPr="00BA2CA4" w:rsidRDefault="00BA2CA4" w:rsidP="00BA2CA4">
            <w:pPr>
              <w:jc w:val="right"/>
              <w:rPr>
                <w:snapToGrid w:val="0"/>
                <w:color w:val="000000"/>
                <w:lang w:eastAsia="en-US"/>
              </w:rPr>
            </w:pPr>
            <w:r w:rsidRPr="00BA2CA4">
              <w:t>281,095</w:t>
            </w:r>
          </w:p>
        </w:tc>
        <w:tc>
          <w:tcPr>
            <w:tcW w:w="1453" w:type="dxa"/>
            <w:tcBorders>
              <w:top w:val="single" w:sz="4" w:space="0" w:color="808080"/>
              <w:bottom w:val="single" w:sz="4" w:space="0" w:color="808080"/>
            </w:tcBorders>
            <w:shd w:val="clear" w:color="000000" w:fill="E0E0E0"/>
          </w:tcPr>
          <w:p w14:paraId="1821218A" w14:textId="77777777" w:rsidR="00BA2CA4" w:rsidRPr="00BA2CA4" w:rsidRDefault="00BA2CA4" w:rsidP="00BA2CA4">
            <w:pPr>
              <w:jc w:val="right"/>
              <w:rPr>
                <w:rFonts w:cs="Arial"/>
                <w:snapToGrid w:val="0"/>
                <w:szCs w:val="22"/>
                <w:lang w:eastAsia="en-US"/>
              </w:rPr>
            </w:pPr>
            <w:r w:rsidRPr="00BA2CA4">
              <w:rPr>
                <w:snapToGrid w:val="0"/>
                <w:color w:val="000000"/>
                <w:lang w:eastAsia="en-US"/>
              </w:rPr>
              <w:t>276,111</w:t>
            </w:r>
          </w:p>
        </w:tc>
        <w:tc>
          <w:tcPr>
            <w:tcW w:w="1453" w:type="dxa"/>
            <w:tcBorders>
              <w:top w:val="single" w:sz="4" w:space="0" w:color="808080"/>
              <w:bottom w:val="single" w:sz="4" w:space="0" w:color="808080"/>
            </w:tcBorders>
            <w:shd w:val="clear" w:color="000000" w:fill="E0E0E0"/>
          </w:tcPr>
          <w:p w14:paraId="4A105ADD"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256,329</w:t>
            </w:r>
          </w:p>
        </w:tc>
        <w:tc>
          <w:tcPr>
            <w:tcW w:w="1453" w:type="dxa"/>
            <w:tcBorders>
              <w:top w:val="single" w:sz="4" w:space="0" w:color="808080"/>
              <w:bottom w:val="single" w:sz="4" w:space="0" w:color="808080"/>
            </w:tcBorders>
            <w:shd w:val="clear" w:color="000000" w:fill="E0E0E0"/>
          </w:tcPr>
          <w:p w14:paraId="707A9ECF" w14:textId="77777777" w:rsidR="00BA2CA4" w:rsidRPr="00BA2CA4" w:rsidRDefault="00BA2CA4" w:rsidP="00BA2CA4">
            <w:pPr>
              <w:jc w:val="right"/>
              <w:rPr>
                <w:snapToGrid w:val="0"/>
                <w:color w:val="000000"/>
                <w:lang w:eastAsia="en-US"/>
              </w:rPr>
            </w:pPr>
            <w:r w:rsidRPr="00BA2CA4">
              <w:rPr>
                <w:rFonts w:cs="Arial"/>
                <w:snapToGrid w:val="0"/>
                <w:szCs w:val="22"/>
                <w:lang w:eastAsia="en-US"/>
              </w:rPr>
              <w:t>290,538</w:t>
            </w:r>
          </w:p>
        </w:tc>
      </w:tr>
      <w:tr w:rsidR="00BA2CA4" w:rsidRPr="00BA2CA4" w14:paraId="4C23F73B" w14:textId="77777777" w:rsidTr="00BA2CA4">
        <w:trPr>
          <w:trHeight w:val="201"/>
        </w:trPr>
        <w:tc>
          <w:tcPr>
            <w:tcW w:w="5495" w:type="dxa"/>
          </w:tcPr>
          <w:p w14:paraId="38154A96" w14:textId="77777777" w:rsidR="00BA2CA4" w:rsidRPr="00BA2CA4" w:rsidRDefault="00BA2CA4" w:rsidP="00BA2CA4">
            <w:pPr>
              <w:rPr>
                <w:snapToGrid w:val="0"/>
                <w:color w:val="000000"/>
                <w:lang w:eastAsia="en-US"/>
              </w:rPr>
            </w:pPr>
            <w:r w:rsidRPr="00BA2CA4">
              <w:rPr>
                <w:snapToGrid w:val="0"/>
                <w:color w:val="000000"/>
                <w:lang w:eastAsia="en-US"/>
              </w:rPr>
              <w:t>Volunteer Hours</w:t>
            </w:r>
          </w:p>
        </w:tc>
        <w:tc>
          <w:tcPr>
            <w:tcW w:w="1453" w:type="dxa"/>
            <w:tcBorders>
              <w:top w:val="single" w:sz="4" w:space="0" w:color="808080"/>
              <w:bottom w:val="single" w:sz="4" w:space="0" w:color="808080"/>
            </w:tcBorders>
            <w:shd w:val="clear" w:color="auto" w:fill="BFBFBF" w:themeFill="background1" w:themeFillShade="BF"/>
          </w:tcPr>
          <w:p w14:paraId="23DB1F7B" w14:textId="700BB745" w:rsidR="00BA2CA4" w:rsidRPr="0094180C" w:rsidRDefault="00A619AC" w:rsidP="00BA2CA4">
            <w:pPr>
              <w:jc w:val="right"/>
            </w:pPr>
            <w:r w:rsidRPr="0094180C">
              <w:t>37,685</w:t>
            </w:r>
          </w:p>
        </w:tc>
        <w:tc>
          <w:tcPr>
            <w:tcW w:w="1453" w:type="dxa"/>
            <w:tcBorders>
              <w:top w:val="single" w:sz="4" w:space="0" w:color="808080"/>
              <w:bottom w:val="single" w:sz="4" w:space="0" w:color="808080"/>
            </w:tcBorders>
            <w:shd w:val="clear" w:color="000000" w:fill="E0E0E0"/>
          </w:tcPr>
          <w:p w14:paraId="285373FF" w14:textId="77777777" w:rsidR="00BA2CA4" w:rsidRPr="00BA2CA4" w:rsidRDefault="00BA2CA4" w:rsidP="00BA2CA4">
            <w:pPr>
              <w:jc w:val="right"/>
              <w:rPr>
                <w:snapToGrid w:val="0"/>
                <w:color w:val="000000"/>
                <w:lang w:eastAsia="en-US"/>
              </w:rPr>
            </w:pPr>
            <w:r w:rsidRPr="00BA2CA4">
              <w:t>44,124</w:t>
            </w:r>
          </w:p>
        </w:tc>
        <w:tc>
          <w:tcPr>
            <w:tcW w:w="1453" w:type="dxa"/>
            <w:tcBorders>
              <w:top w:val="single" w:sz="4" w:space="0" w:color="808080"/>
              <w:bottom w:val="single" w:sz="4" w:space="0" w:color="808080"/>
            </w:tcBorders>
            <w:shd w:val="clear" w:color="000000" w:fill="E0E0E0"/>
          </w:tcPr>
          <w:p w14:paraId="2495CDF6" w14:textId="77777777" w:rsidR="00BA2CA4" w:rsidRPr="00BA2CA4" w:rsidRDefault="00BA2CA4" w:rsidP="00BA2CA4">
            <w:pPr>
              <w:jc w:val="right"/>
              <w:rPr>
                <w:rFonts w:cs="Arial"/>
                <w:snapToGrid w:val="0"/>
                <w:szCs w:val="22"/>
                <w:lang w:eastAsia="en-US"/>
              </w:rPr>
            </w:pPr>
            <w:r w:rsidRPr="00BA2CA4">
              <w:rPr>
                <w:snapToGrid w:val="0"/>
                <w:color w:val="000000"/>
                <w:lang w:eastAsia="en-US"/>
              </w:rPr>
              <w:t>50,565</w:t>
            </w:r>
          </w:p>
        </w:tc>
        <w:tc>
          <w:tcPr>
            <w:tcW w:w="1453" w:type="dxa"/>
            <w:tcBorders>
              <w:top w:val="single" w:sz="4" w:space="0" w:color="808080"/>
              <w:bottom w:val="single" w:sz="4" w:space="0" w:color="808080"/>
            </w:tcBorders>
            <w:shd w:val="clear" w:color="000000" w:fill="E0E0E0"/>
          </w:tcPr>
          <w:p w14:paraId="220B256B"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49,908</w:t>
            </w:r>
          </w:p>
        </w:tc>
        <w:tc>
          <w:tcPr>
            <w:tcW w:w="1453" w:type="dxa"/>
            <w:tcBorders>
              <w:top w:val="single" w:sz="4" w:space="0" w:color="808080"/>
              <w:bottom w:val="single" w:sz="4" w:space="0" w:color="808080"/>
            </w:tcBorders>
            <w:shd w:val="clear" w:color="000000" w:fill="E0E0E0"/>
          </w:tcPr>
          <w:p w14:paraId="20A7458D" w14:textId="77777777" w:rsidR="00BA2CA4" w:rsidRPr="00BA2CA4" w:rsidRDefault="00BA2CA4" w:rsidP="00BA2CA4">
            <w:pPr>
              <w:jc w:val="right"/>
              <w:rPr>
                <w:snapToGrid w:val="0"/>
                <w:color w:val="000000"/>
                <w:lang w:eastAsia="en-US"/>
              </w:rPr>
            </w:pPr>
            <w:r w:rsidRPr="00BA2CA4">
              <w:rPr>
                <w:rFonts w:cs="Arial"/>
                <w:snapToGrid w:val="0"/>
                <w:szCs w:val="22"/>
                <w:lang w:eastAsia="en-US"/>
              </w:rPr>
              <w:t>50,399</w:t>
            </w:r>
          </w:p>
        </w:tc>
      </w:tr>
      <w:tr w:rsidR="00BA2CA4" w:rsidRPr="00BA2CA4" w14:paraId="4D98522C" w14:textId="77777777" w:rsidTr="00BA2CA4">
        <w:tc>
          <w:tcPr>
            <w:tcW w:w="5495" w:type="dxa"/>
          </w:tcPr>
          <w:p w14:paraId="1AD07771" w14:textId="77777777" w:rsidR="00BA2CA4" w:rsidRPr="00BA2CA4" w:rsidRDefault="00BA2CA4" w:rsidP="00BA2CA4">
            <w:pPr>
              <w:rPr>
                <w:snapToGrid w:val="0"/>
                <w:color w:val="000000"/>
                <w:lang w:eastAsia="en-US"/>
              </w:rPr>
            </w:pPr>
            <w:r w:rsidRPr="00BA2CA4">
              <w:rPr>
                <w:snapToGrid w:val="0"/>
                <w:color w:val="000000"/>
                <w:lang w:eastAsia="en-US"/>
              </w:rPr>
              <w:t>Memberships</w:t>
            </w:r>
          </w:p>
        </w:tc>
        <w:tc>
          <w:tcPr>
            <w:tcW w:w="1453" w:type="dxa"/>
            <w:tcBorders>
              <w:top w:val="single" w:sz="4" w:space="0" w:color="808080"/>
              <w:bottom w:val="single" w:sz="4" w:space="0" w:color="808080"/>
            </w:tcBorders>
            <w:shd w:val="clear" w:color="auto" w:fill="BFBFBF" w:themeFill="background1" w:themeFillShade="BF"/>
          </w:tcPr>
          <w:p w14:paraId="4A82D7D5" w14:textId="168CC9FC" w:rsidR="00BA2CA4" w:rsidRPr="0094180C" w:rsidRDefault="00950A26" w:rsidP="00BA2CA4">
            <w:pPr>
              <w:jc w:val="right"/>
            </w:pPr>
            <w:r w:rsidRPr="0094180C">
              <w:t>16,295</w:t>
            </w:r>
          </w:p>
        </w:tc>
        <w:tc>
          <w:tcPr>
            <w:tcW w:w="1453" w:type="dxa"/>
            <w:tcBorders>
              <w:top w:val="single" w:sz="4" w:space="0" w:color="808080"/>
              <w:bottom w:val="single" w:sz="4" w:space="0" w:color="808080"/>
            </w:tcBorders>
            <w:shd w:val="clear" w:color="000000" w:fill="E0E0E0"/>
          </w:tcPr>
          <w:p w14:paraId="189EDF8C" w14:textId="77777777" w:rsidR="00BA2CA4" w:rsidRPr="00BA2CA4" w:rsidRDefault="00BA2CA4" w:rsidP="00BA2CA4">
            <w:pPr>
              <w:jc w:val="right"/>
              <w:rPr>
                <w:snapToGrid w:val="0"/>
                <w:color w:val="000000"/>
                <w:lang w:eastAsia="en-US"/>
              </w:rPr>
            </w:pPr>
            <w:r w:rsidRPr="00BA2CA4">
              <w:t>16,368</w:t>
            </w:r>
          </w:p>
        </w:tc>
        <w:tc>
          <w:tcPr>
            <w:tcW w:w="1453" w:type="dxa"/>
            <w:tcBorders>
              <w:top w:val="single" w:sz="4" w:space="0" w:color="808080"/>
              <w:bottom w:val="single" w:sz="4" w:space="0" w:color="808080"/>
            </w:tcBorders>
            <w:shd w:val="clear" w:color="000000" w:fill="E0E0E0"/>
          </w:tcPr>
          <w:p w14:paraId="21F2B72F" w14:textId="77777777" w:rsidR="00BA2CA4" w:rsidRPr="00BA2CA4" w:rsidRDefault="00BA2CA4" w:rsidP="00BA2CA4">
            <w:pPr>
              <w:jc w:val="right"/>
              <w:rPr>
                <w:rFonts w:cs="Arial"/>
                <w:snapToGrid w:val="0"/>
                <w:szCs w:val="22"/>
                <w:lang w:eastAsia="en-US"/>
              </w:rPr>
            </w:pPr>
            <w:r w:rsidRPr="00BA2CA4">
              <w:rPr>
                <w:snapToGrid w:val="0"/>
                <w:color w:val="000000"/>
                <w:lang w:eastAsia="en-US"/>
              </w:rPr>
              <w:t>17,496</w:t>
            </w:r>
          </w:p>
        </w:tc>
        <w:tc>
          <w:tcPr>
            <w:tcW w:w="1453" w:type="dxa"/>
            <w:tcBorders>
              <w:top w:val="single" w:sz="4" w:space="0" w:color="808080"/>
              <w:bottom w:val="single" w:sz="4" w:space="0" w:color="808080"/>
            </w:tcBorders>
            <w:shd w:val="clear" w:color="000000" w:fill="E0E0E0"/>
          </w:tcPr>
          <w:p w14:paraId="776A37D3"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16,165</w:t>
            </w:r>
          </w:p>
        </w:tc>
        <w:tc>
          <w:tcPr>
            <w:tcW w:w="1453" w:type="dxa"/>
            <w:tcBorders>
              <w:top w:val="single" w:sz="4" w:space="0" w:color="808080"/>
              <w:bottom w:val="single" w:sz="4" w:space="0" w:color="808080"/>
            </w:tcBorders>
            <w:shd w:val="clear" w:color="000000" w:fill="E0E0E0"/>
          </w:tcPr>
          <w:p w14:paraId="40EC8ADF" w14:textId="77777777" w:rsidR="00BA2CA4" w:rsidRPr="00BA2CA4" w:rsidRDefault="00BA2CA4" w:rsidP="00BA2CA4">
            <w:pPr>
              <w:jc w:val="right"/>
              <w:rPr>
                <w:snapToGrid w:val="0"/>
                <w:color w:val="000000"/>
                <w:lang w:eastAsia="en-US"/>
              </w:rPr>
            </w:pPr>
            <w:r w:rsidRPr="00BA2CA4">
              <w:rPr>
                <w:rFonts w:cs="Arial"/>
                <w:snapToGrid w:val="0"/>
                <w:szCs w:val="22"/>
                <w:lang w:eastAsia="en-US"/>
              </w:rPr>
              <w:t>15,576</w:t>
            </w:r>
          </w:p>
        </w:tc>
      </w:tr>
    </w:tbl>
    <w:p w14:paraId="67952E8F" w14:textId="77777777" w:rsidR="00BA2CA4" w:rsidRDefault="00BA2CA4" w:rsidP="00BA2CA4">
      <w:pPr>
        <w:rPr>
          <w:rFonts w:cs="Arial"/>
          <w:szCs w:val="22"/>
        </w:rPr>
      </w:pPr>
    </w:p>
    <w:p w14:paraId="28362A76" w14:textId="7F40C667" w:rsidR="00652968" w:rsidRDefault="00652968" w:rsidP="00BA2CA4">
      <w:pPr>
        <w:rPr>
          <w:rFonts w:cs="Arial"/>
          <w:szCs w:val="22"/>
        </w:rPr>
      </w:pPr>
      <w:r>
        <w:rPr>
          <w:rFonts w:cs="Arial"/>
          <w:szCs w:val="22"/>
        </w:rPr>
        <w:t>Note:</w:t>
      </w:r>
    </w:p>
    <w:p w14:paraId="2B6C9299" w14:textId="4C297CED" w:rsidR="00652968" w:rsidRPr="00BA2CA4" w:rsidRDefault="00652968" w:rsidP="00BA2CA4">
      <w:pPr>
        <w:rPr>
          <w:rFonts w:cs="Arial"/>
          <w:szCs w:val="22"/>
        </w:rPr>
      </w:pPr>
      <w:r>
        <w:rPr>
          <w:rFonts w:cs="Arial"/>
          <w:szCs w:val="22"/>
        </w:rPr>
        <w:t xml:space="preserve">The decrease in volunteer hours for 2015–16 is partly due to </w:t>
      </w:r>
      <w:r w:rsidR="0078098E">
        <w:rPr>
          <w:rFonts w:cs="Arial"/>
          <w:szCs w:val="22"/>
        </w:rPr>
        <w:t>back-of-house volunteer positions not being available because of collection relocations during the year.</w:t>
      </w:r>
    </w:p>
    <w:p w14:paraId="61281637" w14:textId="77777777" w:rsidR="00BA2CA4" w:rsidRDefault="00BA2CA4" w:rsidP="00BA2CA4">
      <w:pPr>
        <w:rPr>
          <w:rFonts w:cs="Arial"/>
          <w:szCs w:val="22"/>
        </w:rPr>
      </w:pPr>
    </w:p>
    <w:p w14:paraId="3860FB67" w14:textId="77777777" w:rsidR="00DD7596" w:rsidRPr="000720D0" w:rsidRDefault="00DD7596" w:rsidP="00DD7596">
      <w:pPr>
        <w:pStyle w:val="Heading3"/>
      </w:pPr>
      <w:r w:rsidRPr="000720D0">
        <w:t>Financial Summary</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Financial Summary"/>
        <w:tblDescription w:val="Table shows the Financial Summary for 2013–13 and previous 4 financial years."/>
      </w:tblPr>
      <w:tblGrid>
        <w:gridCol w:w="5495"/>
        <w:gridCol w:w="1453"/>
        <w:gridCol w:w="1453"/>
        <w:gridCol w:w="1453"/>
        <w:gridCol w:w="1453"/>
        <w:gridCol w:w="1453"/>
      </w:tblGrid>
      <w:tr w:rsidR="00DD7596" w:rsidRPr="00BA2CA4" w14:paraId="54D5B75B" w14:textId="77777777" w:rsidTr="00057777">
        <w:tc>
          <w:tcPr>
            <w:tcW w:w="5495" w:type="dxa"/>
          </w:tcPr>
          <w:p w14:paraId="7B997675" w14:textId="77777777" w:rsidR="00DD7596" w:rsidRPr="00BA2CA4" w:rsidRDefault="00DD7596" w:rsidP="00057777">
            <w:pPr>
              <w:keepNext/>
              <w:outlineLvl w:val="3"/>
            </w:pPr>
          </w:p>
        </w:tc>
        <w:tc>
          <w:tcPr>
            <w:tcW w:w="1453" w:type="dxa"/>
            <w:tcBorders>
              <w:top w:val="nil"/>
            </w:tcBorders>
            <w:shd w:val="clear" w:color="auto" w:fill="BFBFBF" w:themeFill="background1" w:themeFillShade="BF"/>
          </w:tcPr>
          <w:p w14:paraId="496250C1" w14:textId="77777777" w:rsidR="00DD7596" w:rsidRDefault="00DD7596" w:rsidP="00057777">
            <w:pPr>
              <w:jc w:val="right"/>
              <w:rPr>
                <w:b/>
              </w:rPr>
            </w:pPr>
            <w:r w:rsidRPr="00BA2CA4">
              <w:rPr>
                <w:b/>
              </w:rPr>
              <w:t>2015</w:t>
            </w:r>
            <w:r>
              <w:rPr>
                <w:rFonts w:cs="Arial"/>
                <w:b/>
              </w:rPr>
              <w:t>–</w:t>
            </w:r>
            <w:r w:rsidRPr="00BA2CA4">
              <w:rPr>
                <w:b/>
              </w:rPr>
              <w:t>16</w:t>
            </w:r>
          </w:p>
          <w:p w14:paraId="5BC0C577" w14:textId="77777777" w:rsidR="00DD7596" w:rsidRPr="00BA2CA4" w:rsidRDefault="00DD7596" w:rsidP="00057777">
            <w:pPr>
              <w:jc w:val="right"/>
              <w:rPr>
                <w:b/>
              </w:rPr>
            </w:pPr>
            <w:r w:rsidRPr="00BA2CA4">
              <w:t>$’000</w:t>
            </w:r>
          </w:p>
        </w:tc>
        <w:tc>
          <w:tcPr>
            <w:tcW w:w="1453" w:type="dxa"/>
            <w:tcBorders>
              <w:top w:val="nil"/>
            </w:tcBorders>
            <w:shd w:val="clear" w:color="000000" w:fill="E0E0E0"/>
          </w:tcPr>
          <w:p w14:paraId="0D645FC4" w14:textId="77777777" w:rsidR="00DD7596" w:rsidRPr="00BA2CA4" w:rsidRDefault="00DD7596" w:rsidP="00057777">
            <w:pPr>
              <w:jc w:val="right"/>
              <w:rPr>
                <w:highlight w:val="yellow"/>
              </w:rPr>
            </w:pPr>
            <w:r w:rsidRPr="00BA2CA4">
              <w:rPr>
                <w:b/>
              </w:rPr>
              <w:t xml:space="preserve">2014–15 </w:t>
            </w:r>
            <w:r w:rsidRPr="00BA2CA4">
              <w:t>$’000</w:t>
            </w:r>
          </w:p>
        </w:tc>
        <w:tc>
          <w:tcPr>
            <w:tcW w:w="1453" w:type="dxa"/>
            <w:tcBorders>
              <w:top w:val="nil"/>
            </w:tcBorders>
            <w:shd w:val="clear" w:color="000000" w:fill="E0E0E0"/>
          </w:tcPr>
          <w:p w14:paraId="5EBAAD81" w14:textId="77777777" w:rsidR="00DD7596" w:rsidRPr="00BA2CA4" w:rsidRDefault="00DD7596" w:rsidP="00057777">
            <w:pPr>
              <w:jc w:val="right"/>
              <w:rPr>
                <w:b/>
              </w:rPr>
            </w:pPr>
            <w:r w:rsidRPr="00BA2CA4">
              <w:rPr>
                <w:b/>
              </w:rPr>
              <w:t>2013–14</w:t>
            </w:r>
          </w:p>
          <w:p w14:paraId="3A9F1CC2" w14:textId="77777777" w:rsidR="00DD7596" w:rsidRPr="00BA2CA4" w:rsidRDefault="00DD7596" w:rsidP="00057777">
            <w:pPr>
              <w:jc w:val="right"/>
              <w:rPr>
                <w:b/>
              </w:rPr>
            </w:pPr>
            <w:r w:rsidRPr="00BA2CA4">
              <w:t>$’000</w:t>
            </w:r>
          </w:p>
        </w:tc>
        <w:tc>
          <w:tcPr>
            <w:tcW w:w="1453" w:type="dxa"/>
            <w:tcBorders>
              <w:top w:val="nil"/>
            </w:tcBorders>
            <w:shd w:val="clear" w:color="000000" w:fill="E0E0E0"/>
          </w:tcPr>
          <w:p w14:paraId="051F11BA" w14:textId="77777777" w:rsidR="00DD7596" w:rsidRPr="00BA2CA4" w:rsidRDefault="00DD7596" w:rsidP="00057777">
            <w:pPr>
              <w:jc w:val="right"/>
              <w:rPr>
                <w:b/>
              </w:rPr>
            </w:pPr>
            <w:r w:rsidRPr="00BA2CA4">
              <w:rPr>
                <w:b/>
              </w:rPr>
              <w:t>2012–13</w:t>
            </w:r>
          </w:p>
          <w:p w14:paraId="13F7B87B" w14:textId="77777777" w:rsidR="00DD7596" w:rsidRPr="00BA2CA4" w:rsidRDefault="00DD7596" w:rsidP="00057777">
            <w:pPr>
              <w:jc w:val="right"/>
              <w:rPr>
                <w:b/>
              </w:rPr>
            </w:pPr>
            <w:r w:rsidRPr="00BA2CA4">
              <w:t>$’000</w:t>
            </w:r>
          </w:p>
        </w:tc>
        <w:tc>
          <w:tcPr>
            <w:tcW w:w="1453" w:type="dxa"/>
            <w:tcBorders>
              <w:top w:val="nil"/>
            </w:tcBorders>
            <w:shd w:val="clear" w:color="000000" w:fill="E0E0E0"/>
          </w:tcPr>
          <w:p w14:paraId="216D0B18" w14:textId="77777777" w:rsidR="00DD7596" w:rsidRPr="00BA2CA4" w:rsidRDefault="00DD7596" w:rsidP="00057777">
            <w:pPr>
              <w:jc w:val="right"/>
              <w:rPr>
                <w:b/>
              </w:rPr>
            </w:pPr>
            <w:r w:rsidRPr="00BA2CA4">
              <w:rPr>
                <w:b/>
              </w:rPr>
              <w:t>2011–12</w:t>
            </w:r>
          </w:p>
          <w:p w14:paraId="6F4F6B56" w14:textId="77777777" w:rsidR="00DD7596" w:rsidRPr="00BA2CA4" w:rsidRDefault="00DD7596" w:rsidP="00057777">
            <w:pPr>
              <w:jc w:val="right"/>
              <w:rPr>
                <w:b/>
              </w:rPr>
            </w:pPr>
            <w:r w:rsidRPr="00BA2CA4">
              <w:t>$’000</w:t>
            </w:r>
          </w:p>
        </w:tc>
      </w:tr>
      <w:tr w:rsidR="00DD7596" w:rsidRPr="00BA2CA4" w14:paraId="577F164B" w14:textId="77777777" w:rsidTr="00057777">
        <w:tc>
          <w:tcPr>
            <w:tcW w:w="5495" w:type="dxa"/>
          </w:tcPr>
          <w:p w14:paraId="25E7F44E" w14:textId="77777777" w:rsidR="00DD7596" w:rsidRPr="00BA2CA4" w:rsidRDefault="00DD7596" w:rsidP="00057777">
            <w:pPr>
              <w:rPr>
                <w:snapToGrid w:val="0"/>
                <w:lang w:eastAsia="en-US"/>
              </w:rPr>
            </w:pPr>
            <w:r w:rsidRPr="00BA2CA4">
              <w:rPr>
                <w:snapToGrid w:val="0"/>
                <w:lang w:eastAsia="en-US"/>
              </w:rPr>
              <w:t>Revenue from Government</w:t>
            </w:r>
          </w:p>
        </w:tc>
        <w:tc>
          <w:tcPr>
            <w:tcW w:w="1453" w:type="dxa"/>
            <w:tcBorders>
              <w:top w:val="single" w:sz="4" w:space="0" w:color="808080"/>
            </w:tcBorders>
            <w:shd w:val="clear" w:color="auto" w:fill="BFBFBF" w:themeFill="background1" w:themeFillShade="BF"/>
          </w:tcPr>
          <w:p w14:paraId="4E940A6F" w14:textId="77777777" w:rsidR="00DD7596" w:rsidRPr="00BA2CA4" w:rsidRDefault="00DD7596" w:rsidP="00057777">
            <w:pPr>
              <w:jc w:val="right"/>
              <w:rPr>
                <w:rFonts w:cs="Arial"/>
              </w:rPr>
            </w:pPr>
            <w:r>
              <w:rPr>
                <w:rFonts w:cs="Arial"/>
              </w:rPr>
              <w:t>84,182</w:t>
            </w:r>
          </w:p>
        </w:tc>
        <w:tc>
          <w:tcPr>
            <w:tcW w:w="1453" w:type="dxa"/>
            <w:tcBorders>
              <w:top w:val="single" w:sz="4" w:space="0" w:color="808080"/>
            </w:tcBorders>
            <w:shd w:val="clear" w:color="000000" w:fill="E0E0E0"/>
          </w:tcPr>
          <w:p w14:paraId="206123B6" w14:textId="77777777" w:rsidR="00DD7596" w:rsidRPr="00BA2CA4" w:rsidRDefault="00DD7596" w:rsidP="00057777">
            <w:pPr>
              <w:jc w:val="right"/>
              <w:rPr>
                <w:snapToGrid w:val="0"/>
                <w:lang w:eastAsia="en-US"/>
              </w:rPr>
            </w:pPr>
            <w:r w:rsidRPr="00BA2CA4">
              <w:rPr>
                <w:snapToGrid w:val="0"/>
                <w:lang w:eastAsia="en-US"/>
              </w:rPr>
              <w:t>84,377</w:t>
            </w:r>
          </w:p>
        </w:tc>
        <w:tc>
          <w:tcPr>
            <w:tcW w:w="1453" w:type="dxa"/>
            <w:tcBorders>
              <w:top w:val="single" w:sz="4" w:space="0" w:color="808080"/>
            </w:tcBorders>
            <w:shd w:val="clear" w:color="000000" w:fill="E0E0E0"/>
          </w:tcPr>
          <w:p w14:paraId="49A3B95C" w14:textId="77777777" w:rsidR="00DD7596" w:rsidRPr="00BA2CA4" w:rsidRDefault="00DD7596" w:rsidP="00057777">
            <w:pPr>
              <w:jc w:val="right"/>
              <w:rPr>
                <w:rFonts w:cs="Arial"/>
                <w:snapToGrid w:val="0"/>
                <w:szCs w:val="22"/>
                <w:lang w:eastAsia="en-US"/>
              </w:rPr>
            </w:pPr>
            <w:r w:rsidRPr="00BA2CA4">
              <w:rPr>
                <w:snapToGrid w:val="0"/>
                <w:lang w:eastAsia="en-US"/>
              </w:rPr>
              <w:t>85,848</w:t>
            </w:r>
          </w:p>
        </w:tc>
        <w:tc>
          <w:tcPr>
            <w:tcW w:w="1453" w:type="dxa"/>
            <w:tcBorders>
              <w:top w:val="single" w:sz="4" w:space="0" w:color="808080"/>
            </w:tcBorders>
            <w:shd w:val="clear" w:color="000000" w:fill="E0E0E0"/>
          </w:tcPr>
          <w:p w14:paraId="290AD9C3" w14:textId="77777777" w:rsidR="00DD7596" w:rsidRPr="00BA2CA4" w:rsidRDefault="00DD7596" w:rsidP="00057777">
            <w:pPr>
              <w:jc w:val="right"/>
              <w:rPr>
                <w:rFonts w:cs="Arial"/>
                <w:snapToGrid w:val="0"/>
                <w:szCs w:val="22"/>
                <w:lang w:eastAsia="en-US"/>
              </w:rPr>
            </w:pPr>
            <w:r w:rsidRPr="00BA2CA4">
              <w:rPr>
                <w:rFonts w:cs="Arial"/>
                <w:snapToGrid w:val="0"/>
                <w:szCs w:val="22"/>
                <w:lang w:eastAsia="en-US"/>
              </w:rPr>
              <w:t>84,701</w:t>
            </w:r>
          </w:p>
        </w:tc>
        <w:tc>
          <w:tcPr>
            <w:tcW w:w="1453" w:type="dxa"/>
            <w:tcBorders>
              <w:top w:val="single" w:sz="4" w:space="0" w:color="808080"/>
            </w:tcBorders>
            <w:shd w:val="clear" w:color="000000" w:fill="E0E0E0"/>
          </w:tcPr>
          <w:p w14:paraId="2050D16D" w14:textId="77777777" w:rsidR="00DD7596" w:rsidRPr="00BA2CA4" w:rsidRDefault="00DD7596" w:rsidP="00057777">
            <w:pPr>
              <w:jc w:val="right"/>
              <w:rPr>
                <w:snapToGrid w:val="0"/>
                <w:lang w:eastAsia="en-US"/>
              </w:rPr>
            </w:pPr>
            <w:r w:rsidRPr="00BA2CA4">
              <w:rPr>
                <w:rFonts w:cs="Arial"/>
                <w:snapToGrid w:val="0"/>
                <w:szCs w:val="22"/>
                <w:lang w:eastAsia="en-US"/>
              </w:rPr>
              <w:t>85,806</w:t>
            </w:r>
          </w:p>
        </w:tc>
      </w:tr>
      <w:tr w:rsidR="00DD7596" w:rsidRPr="00BA2CA4" w14:paraId="52FDB932" w14:textId="77777777" w:rsidTr="00057777">
        <w:tc>
          <w:tcPr>
            <w:tcW w:w="5495" w:type="dxa"/>
          </w:tcPr>
          <w:p w14:paraId="418710F7" w14:textId="77777777" w:rsidR="00DD7596" w:rsidRPr="00BA2CA4" w:rsidRDefault="00DD7596" w:rsidP="00057777">
            <w:pPr>
              <w:rPr>
                <w:snapToGrid w:val="0"/>
                <w:lang w:eastAsia="en-US"/>
              </w:rPr>
            </w:pPr>
            <w:r w:rsidRPr="00BA2CA4">
              <w:rPr>
                <w:snapToGrid w:val="0"/>
                <w:lang w:eastAsia="en-US"/>
              </w:rPr>
              <w:t xml:space="preserve">Total Income from Transactions </w:t>
            </w:r>
          </w:p>
        </w:tc>
        <w:tc>
          <w:tcPr>
            <w:tcW w:w="1453" w:type="dxa"/>
            <w:tcBorders>
              <w:top w:val="single" w:sz="4" w:space="0" w:color="808080"/>
            </w:tcBorders>
            <w:shd w:val="clear" w:color="auto" w:fill="BFBFBF" w:themeFill="background1" w:themeFillShade="BF"/>
          </w:tcPr>
          <w:p w14:paraId="75A2A5C6" w14:textId="77777777" w:rsidR="00DD7596" w:rsidRPr="00BA2CA4" w:rsidRDefault="00DD7596" w:rsidP="00057777">
            <w:pPr>
              <w:jc w:val="right"/>
              <w:rPr>
                <w:rFonts w:cs="Arial"/>
              </w:rPr>
            </w:pPr>
            <w:r>
              <w:rPr>
                <w:rFonts w:cs="Arial"/>
              </w:rPr>
              <w:t>123,472</w:t>
            </w:r>
          </w:p>
        </w:tc>
        <w:tc>
          <w:tcPr>
            <w:tcW w:w="1453" w:type="dxa"/>
            <w:tcBorders>
              <w:top w:val="single" w:sz="4" w:space="0" w:color="808080"/>
            </w:tcBorders>
            <w:shd w:val="clear" w:color="000000" w:fill="E0E0E0"/>
          </w:tcPr>
          <w:p w14:paraId="7BBE9928" w14:textId="77777777" w:rsidR="00DD7596" w:rsidRPr="00BA2CA4" w:rsidRDefault="00DD7596" w:rsidP="00057777">
            <w:pPr>
              <w:jc w:val="right"/>
              <w:rPr>
                <w:snapToGrid w:val="0"/>
                <w:lang w:eastAsia="en-US"/>
              </w:rPr>
            </w:pPr>
            <w:r w:rsidRPr="00BA2CA4">
              <w:rPr>
                <w:snapToGrid w:val="0"/>
                <w:lang w:eastAsia="en-US"/>
              </w:rPr>
              <w:t>114,971</w:t>
            </w:r>
          </w:p>
        </w:tc>
        <w:tc>
          <w:tcPr>
            <w:tcW w:w="1453" w:type="dxa"/>
            <w:tcBorders>
              <w:top w:val="single" w:sz="4" w:space="0" w:color="808080"/>
            </w:tcBorders>
            <w:shd w:val="clear" w:color="000000" w:fill="E0E0E0"/>
          </w:tcPr>
          <w:p w14:paraId="5A069A07" w14:textId="77777777" w:rsidR="00DD7596" w:rsidRPr="00BA2CA4" w:rsidRDefault="00DD7596" w:rsidP="00057777">
            <w:pPr>
              <w:jc w:val="right"/>
              <w:rPr>
                <w:rFonts w:cs="Arial"/>
                <w:snapToGrid w:val="0"/>
                <w:szCs w:val="22"/>
                <w:lang w:eastAsia="en-US"/>
              </w:rPr>
            </w:pPr>
            <w:r w:rsidRPr="00BA2CA4">
              <w:rPr>
                <w:snapToGrid w:val="0"/>
                <w:lang w:eastAsia="en-US"/>
              </w:rPr>
              <w:t>123,129</w:t>
            </w:r>
          </w:p>
        </w:tc>
        <w:tc>
          <w:tcPr>
            <w:tcW w:w="1453" w:type="dxa"/>
            <w:tcBorders>
              <w:top w:val="single" w:sz="4" w:space="0" w:color="808080"/>
            </w:tcBorders>
            <w:shd w:val="clear" w:color="000000" w:fill="E0E0E0"/>
          </w:tcPr>
          <w:p w14:paraId="4A4FDA2E" w14:textId="77777777" w:rsidR="00DD7596" w:rsidRPr="00BA2CA4" w:rsidRDefault="00DD7596" w:rsidP="00057777">
            <w:pPr>
              <w:jc w:val="right"/>
              <w:rPr>
                <w:rFonts w:cs="Arial"/>
                <w:snapToGrid w:val="0"/>
                <w:szCs w:val="22"/>
                <w:lang w:eastAsia="en-US"/>
              </w:rPr>
            </w:pPr>
            <w:r w:rsidRPr="00BA2CA4">
              <w:rPr>
                <w:rFonts w:cs="Arial"/>
                <w:snapToGrid w:val="0"/>
                <w:szCs w:val="22"/>
                <w:lang w:eastAsia="en-US"/>
              </w:rPr>
              <w:t>116,940</w:t>
            </w:r>
          </w:p>
        </w:tc>
        <w:tc>
          <w:tcPr>
            <w:tcW w:w="1453" w:type="dxa"/>
            <w:tcBorders>
              <w:top w:val="single" w:sz="4" w:space="0" w:color="808080"/>
            </w:tcBorders>
            <w:shd w:val="clear" w:color="000000" w:fill="E0E0E0"/>
          </w:tcPr>
          <w:p w14:paraId="7471F62B" w14:textId="77777777" w:rsidR="00DD7596" w:rsidRPr="00BA2CA4" w:rsidRDefault="00DD7596" w:rsidP="00057777">
            <w:pPr>
              <w:jc w:val="right"/>
              <w:rPr>
                <w:snapToGrid w:val="0"/>
                <w:lang w:eastAsia="en-US"/>
              </w:rPr>
            </w:pPr>
            <w:r w:rsidRPr="00BA2CA4">
              <w:rPr>
                <w:rFonts w:cs="Arial"/>
                <w:snapToGrid w:val="0"/>
                <w:szCs w:val="22"/>
                <w:lang w:eastAsia="en-US"/>
              </w:rPr>
              <w:t>118,851</w:t>
            </w:r>
          </w:p>
        </w:tc>
      </w:tr>
      <w:tr w:rsidR="00DD7596" w:rsidRPr="00BA2CA4" w14:paraId="108DD230" w14:textId="77777777" w:rsidTr="00057777">
        <w:tc>
          <w:tcPr>
            <w:tcW w:w="5495" w:type="dxa"/>
          </w:tcPr>
          <w:p w14:paraId="6AB68A74" w14:textId="77777777" w:rsidR="00DD7596" w:rsidRPr="00BA2CA4" w:rsidRDefault="00DD7596" w:rsidP="00057777">
            <w:pPr>
              <w:jc w:val="both"/>
              <w:rPr>
                <w:snapToGrid w:val="0"/>
                <w:lang w:eastAsia="en-US"/>
              </w:rPr>
            </w:pPr>
            <w:r w:rsidRPr="00BA2CA4">
              <w:rPr>
                <w:snapToGrid w:val="0"/>
                <w:lang w:eastAsia="en-US"/>
              </w:rPr>
              <w:t>Total Expenses from Transactions</w:t>
            </w:r>
          </w:p>
        </w:tc>
        <w:tc>
          <w:tcPr>
            <w:tcW w:w="1453" w:type="dxa"/>
            <w:tcBorders>
              <w:top w:val="single" w:sz="4" w:space="0" w:color="808080"/>
            </w:tcBorders>
            <w:shd w:val="clear" w:color="auto" w:fill="BFBFBF" w:themeFill="background1" w:themeFillShade="BF"/>
          </w:tcPr>
          <w:p w14:paraId="77EA756E" w14:textId="77777777" w:rsidR="00DD7596" w:rsidRPr="00BA2CA4" w:rsidRDefault="00DD7596" w:rsidP="00057777">
            <w:pPr>
              <w:jc w:val="right"/>
              <w:rPr>
                <w:rFonts w:cs="Arial"/>
              </w:rPr>
            </w:pPr>
            <w:r>
              <w:rPr>
                <w:rFonts w:cs="Arial"/>
              </w:rPr>
              <w:t>(117,297)</w:t>
            </w:r>
          </w:p>
        </w:tc>
        <w:tc>
          <w:tcPr>
            <w:tcW w:w="1453" w:type="dxa"/>
            <w:tcBorders>
              <w:top w:val="single" w:sz="4" w:space="0" w:color="808080"/>
            </w:tcBorders>
            <w:shd w:val="clear" w:color="000000" w:fill="E0E0E0"/>
          </w:tcPr>
          <w:p w14:paraId="78A7EF60" w14:textId="77777777" w:rsidR="00DD7596" w:rsidRPr="00BA2CA4" w:rsidRDefault="00DD7596" w:rsidP="00057777">
            <w:pPr>
              <w:jc w:val="right"/>
              <w:rPr>
                <w:snapToGrid w:val="0"/>
                <w:lang w:eastAsia="en-US"/>
              </w:rPr>
            </w:pPr>
            <w:r w:rsidRPr="00BA2CA4">
              <w:rPr>
                <w:snapToGrid w:val="0"/>
                <w:lang w:eastAsia="en-US"/>
              </w:rPr>
              <w:t>(110,475)</w:t>
            </w:r>
          </w:p>
        </w:tc>
        <w:tc>
          <w:tcPr>
            <w:tcW w:w="1453" w:type="dxa"/>
            <w:tcBorders>
              <w:top w:val="single" w:sz="4" w:space="0" w:color="808080"/>
            </w:tcBorders>
            <w:shd w:val="clear" w:color="000000" w:fill="E0E0E0"/>
          </w:tcPr>
          <w:p w14:paraId="5D971DCD" w14:textId="77777777" w:rsidR="00DD7596" w:rsidRPr="00BA2CA4" w:rsidRDefault="00DD7596" w:rsidP="00057777">
            <w:pPr>
              <w:jc w:val="right"/>
              <w:rPr>
                <w:rFonts w:cs="Arial"/>
                <w:snapToGrid w:val="0"/>
                <w:szCs w:val="22"/>
                <w:lang w:eastAsia="en-US"/>
              </w:rPr>
            </w:pPr>
            <w:r w:rsidRPr="00BA2CA4">
              <w:rPr>
                <w:snapToGrid w:val="0"/>
                <w:lang w:eastAsia="en-US"/>
              </w:rPr>
              <w:t>(116,940)</w:t>
            </w:r>
          </w:p>
        </w:tc>
        <w:tc>
          <w:tcPr>
            <w:tcW w:w="1453" w:type="dxa"/>
            <w:tcBorders>
              <w:top w:val="single" w:sz="4" w:space="0" w:color="808080"/>
            </w:tcBorders>
            <w:shd w:val="clear" w:color="000000" w:fill="E0E0E0"/>
          </w:tcPr>
          <w:p w14:paraId="095F18EB" w14:textId="77777777" w:rsidR="00DD7596" w:rsidRPr="00BA2CA4" w:rsidRDefault="00DD7596" w:rsidP="00057777">
            <w:pPr>
              <w:jc w:val="right"/>
              <w:rPr>
                <w:rFonts w:cs="Arial"/>
                <w:snapToGrid w:val="0"/>
                <w:szCs w:val="22"/>
                <w:lang w:eastAsia="en-US"/>
              </w:rPr>
            </w:pPr>
            <w:r w:rsidRPr="00BA2CA4">
              <w:rPr>
                <w:rFonts w:cs="Arial"/>
                <w:snapToGrid w:val="0"/>
                <w:szCs w:val="22"/>
                <w:lang w:eastAsia="en-US"/>
              </w:rPr>
              <w:t>(115,946)</w:t>
            </w:r>
          </w:p>
        </w:tc>
        <w:tc>
          <w:tcPr>
            <w:tcW w:w="1453" w:type="dxa"/>
            <w:tcBorders>
              <w:top w:val="single" w:sz="4" w:space="0" w:color="808080"/>
            </w:tcBorders>
            <w:shd w:val="clear" w:color="000000" w:fill="E0E0E0"/>
          </w:tcPr>
          <w:p w14:paraId="204BA1E0" w14:textId="77777777" w:rsidR="00DD7596" w:rsidRPr="00BA2CA4" w:rsidRDefault="00DD7596" w:rsidP="00057777">
            <w:pPr>
              <w:jc w:val="right"/>
              <w:rPr>
                <w:snapToGrid w:val="0"/>
                <w:lang w:eastAsia="en-US"/>
              </w:rPr>
            </w:pPr>
            <w:r w:rsidRPr="00BA2CA4">
              <w:rPr>
                <w:rFonts w:cs="Arial"/>
                <w:snapToGrid w:val="0"/>
                <w:szCs w:val="22"/>
                <w:lang w:eastAsia="en-US"/>
              </w:rPr>
              <w:t>(131,314)</w:t>
            </w:r>
          </w:p>
        </w:tc>
      </w:tr>
      <w:tr w:rsidR="00DD7596" w:rsidRPr="00BA2CA4" w14:paraId="36BC9B87" w14:textId="77777777" w:rsidTr="00057777">
        <w:tc>
          <w:tcPr>
            <w:tcW w:w="5495" w:type="dxa"/>
          </w:tcPr>
          <w:p w14:paraId="2BC53DAD" w14:textId="77777777" w:rsidR="00DD7596" w:rsidRPr="00BA2CA4" w:rsidRDefault="00DD7596" w:rsidP="00057777">
            <w:pPr>
              <w:jc w:val="both"/>
              <w:rPr>
                <w:snapToGrid w:val="0"/>
                <w:lang w:eastAsia="en-US"/>
              </w:rPr>
            </w:pPr>
            <w:r>
              <w:rPr>
                <w:snapToGrid w:val="0"/>
                <w:lang w:eastAsia="en-US"/>
              </w:rPr>
              <w:t xml:space="preserve">Net Result from Transactions before Depreciation </w:t>
            </w:r>
          </w:p>
        </w:tc>
        <w:tc>
          <w:tcPr>
            <w:tcW w:w="1453" w:type="dxa"/>
            <w:tcBorders>
              <w:top w:val="single" w:sz="4" w:space="0" w:color="808080"/>
            </w:tcBorders>
            <w:shd w:val="clear" w:color="auto" w:fill="BFBFBF" w:themeFill="background1" w:themeFillShade="BF"/>
          </w:tcPr>
          <w:p w14:paraId="48DBDF34" w14:textId="77777777" w:rsidR="00DD7596" w:rsidRDefault="00DD7596" w:rsidP="00057777">
            <w:pPr>
              <w:jc w:val="right"/>
              <w:rPr>
                <w:rFonts w:cs="Arial"/>
              </w:rPr>
            </w:pPr>
            <w:r>
              <w:rPr>
                <w:rFonts w:cs="Arial"/>
              </w:rPr>
              <w:t>6,175</w:t>
            </w:r>
          </w:p>
        </w:tc>
        <w:tc>
          <w:tcPr>
            <w:tcW w:w="1453" w:type="dxa"/>
            <w:tcBorders>
              <w:top w:val="single" w:sz="4" w:space="0" w:color="808080"/>
            </w:tcBorders>
            <w:shd w:val="clear" w:color="000000" w:fill="E0E0E0"/>
          </w:tcPr>
          <w:p w14:paraId="360EA110" w14:textId="77777777" w:rsidR="00DD7596" w:rsidRPr="00BA2CA4" w:rsidRDefault="00DD7596" w:rsidP="00057777">
            <w:pPr>
              <w:jc w:val="right"/>
              <w:rPr>
                <w:snapToGrid w:val="0"/>
                <w:lang w:eastAsia="en-US"/>
              </w:rPr>
            </w:pPr>
            <w:r>
              <w:rPr>
                <w:snapToGrid w:val="0"/>
                <w:lang w:eastAsia="en-US"/>
              </w:rPr>
              <w:t>4,496</w:t>
            </w:r>
          </w:p>
        </w:tc>
        <w:tc>
          <w:tcPr>
            <w:tcW w:w="1453" w:type="dxa"/>
            <w:tcBorders>
              <w:top w:val="single" w:sz="4" w:space="0" w:color="808080"/>
            </w:tcBorders>
            <w:shd w:val="clear" w:color="000000" w:fill="E0E0E0"/>
          </w:tcPr>
          <w:p w14:paraId="6A45AE1D" w14:textId="77777777" w:rsidR="00DD7596" w:rsidRPr="00BA2CA4" w:rsidRDefault="00DD7596" w:rsidP="00057777">
            <w:pPr>
              <w:jc w:val="right"/>
              <w:rPr>
                <w:snapToGrid w:val="0"/>
                <w:lang w:eastAsia="en-US"/>
              </w:rPr>
            </w:pPr>
            <w:r>
              <w:rPr>
                <w:snapToGrid w:val="0"/>
                <w:lang w:eastAsia="en-US"/>
              </w:rPr>
              <w:t>6,189</w:t>
            </w:r>
          </w:p>
        </w:tc>
        <w:tc>
          <w:tcPr>
            <w:tcW w:w="1453" w:type="dxa"/>
            <w:tcBorders>
              <w:top w:val="single" w:sz="4" w:space="0" w:color="808080"/>
            </w:tcBorders>
            <w:shd w:val="clear" w:color="000000" w:fill="E0E0E0"/>
          </w:tcPr>
          <w:p w14:paraId="0E357D6F" w14:textId="77777777" w:rsidR="00DD7596" w:rsidRPr="00BA2CA4" w:rsidRDefault="00DD7596" w:rsidP="00057777">
            <w:pPr>
              <w:jc w:val="right"/>
              <w:rPr>
                <w:rFonts w:cs="Arial"/>
                <w:snapToGrid w:val="0"/>
                <w:szCs w:val="22"/>
                <w:lang w:eastAsia="en-US"/>
              </w:rPr>
            </w:pPr>
            <w:r>
              <w:rPr>
                <w:rFonts w:cs="Arial"/>
                <w:snapToGrid w:val="0"/>
                <w:szCs w:val="22"/>
                <w:lang w:eastAsia="en-US"/>
              </w:rPr>
              <w:t>994</w:t>
            </w:r>
          </w:p>
        </w:tc>
        <w:tc>
          <w:tcPr>
            <w:tcW w:w="1453" w:type="dxa"/>
            <w:tcBorders>
              <w:top w:val="single" w:sz="4" w:space="0" w:color="808080"/>
            </w:tcBorders>
            <w:shd w:val="clear" w:color="000000" w:fill="E0E0E0"/>
          </w:tcPr>
          <w:p w14:paraId="3519B835" w14:textId="77777777" w:rsidR="00DD7596" w:rsidRPr="00BA2CA4" w:rsidRDefault="00DD7596" w:rsidP="00057777">
            <w:pPr>
              <w:jc w:val="right"/>
              <w:rPr>
                <w:rFonts w:cs="Arial"/>
                <w:snapToGrid w:val="0"/>
                <w:szCs w:val="22"/>
                <w:lang w:eastAsia="en-US"/>
              </w:rPr>
            </w:pPr>
            <w:r>
              <w:rPr>
                <w:rFonts w:cs="Arial"/>
                <w:snapToGrid w:val="0"/>
                <w:szCs w:val="22"/>
                <w:lang w:eastAsia="en-US"/>
              </w:rPr>
              <w:t>8,341</w:t>
            </w:r>
          </w:p>
        </w:tc>
      </w:tr>
      <w:tr w:rsidR="00DD7596" w:rsidRPr="00BA2CA4" w14:paraId="548EBD24" w14:textId="77777777" w:rsidTr="00057777">
        <w:tc>
          <w:tcPr>
            <w:tcW w:w="5495" w:type="dxa"/>
          </w:tcPr>
          <w:p w14:paraId="7CA74E73" w14:textId="77777777" w:rsidR="00DD7596" w:rsidRPr="00BA2CA4" w:rsidRDefault="00DD7596" w:rsidP="00057777">
            <w:pPr>
              <w:rPr>
                <w:snapToGrid w:val="0"/>
                <w:lang w:eastAsia="en-US"/>
              </w:rPr>
            </w:pPr>
            <w:r w:rsidRPr="00BA2CA4">
              <w:rPr>
                <w:snapToGrid w:val="0"/>
                <w:lang w:eastAsia="en-US"/>
              </w:rPr>
              <w:t>Net Result from Transactions</w:t>
            </w:r>
            <w:r>
              <w:rPr>
                <w:snapToGrid w:val="0"/>
                <w:lang w:eastAsia="en-US"/>
              </w:rPr>
              <w:t xml:space="preserve"> after Depreciation</w:t>
            </w:r>
          </w:p>
        </w:tc>
        <w:tc>
          <w:tcPr>
            <w:tcW w:w="1453" w:type="dxa"/>
            <w:tcBorders>
              <w:top w:val="single" w:sz="4" w:space="0" w:color="808080"/>
            </w:tcBorders>
            <w:shd w:val="clear" w:color="auto" w:fill="BFBFBF" w:themeFill="background1" w:themeFillShade="BF"/>
          </w:tcPr>
          <w:p w14:paraId="39798BC3" w14:textId="77777777" w:rsidR="00DD7596" w:rsidRPr="00BA2CA4" w:rsidRDefault="00DD7596" w:rsidP="00057777">
            <w:pPr>
              <w:jc w:val="right"/>
              <w:rPr>
                <w:rFonts w:cs="Arial"/>
              </w:rPr>
            </w:pPr>
            <w:r>
              <w:rPr>
                <w:rFonts w:cs="Arial"/>
              </w:rPr>
              <w:t>(11,369)</w:t>
            </w:r>
          </w:p>
        </w:tc>
        <w:tc>
          <w:tcPr>
            <w:tcW w:w="1453" w:type="dxa"/>
            <w:tcBorders>
              <w:top w:val="single" w:sz="4" w:space="0" w:color="808080"/>
            </w:tcBorders>
            <w:shd w:val="clear" w:color="000000" w:fill="E0E0E0"/>
          </w:tcPr>
          <w:p w14:paraId="06F38698" w14:textId="34D0A2CF" w:rsidR="00DD7596" w:rsidRPr="00BA2CA4" w:rsidRDefault="00DD7596" w:rsidP="00057777">
            <w:pPr>
              <w:jc w:val="right"/>
              <w:rPr>
                <w:snapToGrid w:val="0"/>
                <w:lang w:eastAsia="en-US"/>
              </w:rPr>
            </w:pPr>
            <w:r w:rsidRPr="00BA2CA4">
              <w:rPr>
                <w:snapToGrid w:val="0"/>
                <w:lang w:eastAsia="en-US"/>
              </w:rPr>
              <w:t>(13</w:t>
            </w:r>
            <w:r w:rsidR="00057777">
              <w:rPr>
                <w:snapToGrid w:val="0"/>
                <w:lang w:eastAsia="en-US"/>
              </w:rPr>
              <w:t>,</w:t>
            </w:r>
            <w:r w:rsidRPr="00BA2CA4">
              <w:rPr>
                <w:snapToGrid w:val="0"/>
                <w:lang w:eastAsia="en-US"/>
              </w:rPr>
              <w:t>448)</w:t>
            </w:r>
          </w:p>
        </w:tc>
        <w:tc>
          <w:tcPr>
            <w:tcW w:w="1453" w:type="dxa"/>
            <w:tcBorders>
              <w:top w:val="single" w:sz="4" w:space="0" w:color="808080"/>
            </w:tcBorders>
            <w:shd w:val="clear" w:color="000000" w:fill="E0E0E0"/>
          </w:tcPr>
          <w:p w14:paraId="477F2506" w14:textId="77777777" w:rsidR="00DD7596" w:rsidRPr="00BA2CA4" w:rsidRDefault="00DD7596" w:rsidP="00057777">
            <w:pPr>
              <w:jc w:val="right"/>
              <w:rPr>
                <w:rFonts w:cs="Arial"/>
                <w:snapToGrid w:val="0"/>
                <w:szCs w:val="22"/>
                <w:lang w:eastAsia="en-US"/>
              </w:rPr>
            </w:pPr>
            <w:r w:rsidRPr="00BA2CA4">
              <w:rPr>
                <w:snapToGrid w:val="0"/>
                <w:lang w:eastAsia="en-US"/>
              </w:rPr>
              <w:t>(12,715)</w:t>
            </w:r>
          </w:p>
        </w:tc>
        <w:tc>
          <w:tcPr>
            <w:tcW w:w="1453" w:type="dxa"/>
            <w:tcBorders>
              <w:top w:val="single" w:sz="4" w:space="0" w:color="808080"/>
            </w:tcBorders>
            <w:shd w:val="clear" w:color="000000" w:fill="E0E0E0"/>
          </w:tcPr>
          <w:p w14:paraId="73BC2CAC" w14:textId="77777777" w:rsidR="00DD7596" w:rsidRPr="00BA2CA4" w:rsidRDefault="00DD7596" w:rsidP="00057777">
            <w:pPr>
              <w:jc w:val="right"/>
              <w:rPr>
                <w:rFonts w:cs="Arial"/>
                <w:snapToGrid w:val="0"/>
                <w:szCs w:val="22"/>
                <w:lang w:eastAsia="en-US"/>
              </w:rPr>
            </w:pPr>
            <w:r w:rsidRPr="00BA2CA4">
              <w:rPr>
                <w:rFonts w:cs="Arial"/>
                <w:snapToGrid w:val="0"/>
                <w:szCs w:val="22"/>
                <w:lang w:eastAsia="en-US"/>
              </w:rPr>
              <w:t>(18,187)</w:t>
            </w:r>
          </w:p>
        </w:tc>
        <w:tc>
          <w:tcPr>
            <w:tcW w:w="1453" w:type="dxa"/>
            <w:tcBorders>
              <w:top w:val="single" w:sz="4" w:space="0" w:color="808080"/>
            </w:tcBorders>
            <w:shd w:val="clear" w:color="000000" w:fill="E0E0E0"/>
          </w:tcPr>
          <w:p w14:paraId="150AA5FE" w14:textId="77777777" w:rsidR="00DD7596" w:rsidRPr="00BA2CA4" w:rsidRDefault="00DD7596" w:rsidP="00057777">
            <w:pPr>
              <w:jc w:val="right"/>
              <w:rPr>
                <w:snapToGrid w:val="0"/>
                <w:lang w:eastAsia="en-US"/>
              </w:rPr>
            </w:pPr>
            <w:r w:rsidRPr="00BA2CA4">
              <w:rPr>
                <w:rFonts w:cs="Arial"/>
                <w:snapToGrid w:val="0"/>
                <w:szCs w:val="22"/>
                <w:lang w:eastAsia="en-US"/>
              </w:rPr>
              <w:t>(12,463)</w:t>
            </w:r>
          </w:p>
        </w:tc>
      </w:tr>
      <w:tr w:rsidR="00DD7596" w:rsidRPr="00BA2CA4" w14:paraId="421E26BD" w14:textId="77777777" w:rsidTr="00057777">
        <w:tc>
          <w:tcPr>
            <w:tcW w:w="5495" w:type="dxa"/>
            <w:vAlign w:val="center"/>
          </w:tcPr>
          <w:p w14:paraId="02FAECF1" w14:textId="77777777" w:rsidR="00DD7596" w:rsidRPr="00BA2CA4" w:rsidRDefault="00DD7596" w:rsidP="00057777">
            <w:pPr>
              <w:rPr>
                <w:b/>
                <w:snapToGrid w:val="0"/>
                <w:lang w:eastAsia="en-US"/>
              </w:rPr>
            </w:pPr>
            <w:r w:rsidRPr="00BA2CA4">
              <w:rPr>
                <w:b/>
                <w:snapToGrid w:val="0"/>
                <w:lang w:eastAsia="en-US"/>
              </w:rPr>
              <w:t>Net Result for the Period</w:t>
            </w:r>
          </w:p>
        </w:tc>
        <w:tc>
          <w:tcPr>
            <w:tcW w:w="1453" w:type="dxa"/>
            <w:tcBorders>
              <w:top w:val="single" w:sz="4" w:space="0" w:color="808080"/>
            </w:tcBorders>
            <w:shd w:val="clear" w:color="auto" w:fill="BFBFBF" w:themeFill="background1" w:themeFillShade="BF"/>
            <w:vAlign w:val="center"/>
          </w:tcPr>
          <w:p w14:paraId="6F608B60" w14:textId="77777777" w:rsidR="00DD7596" w:rsidRPr="00BA2CA4" w:rsidRDefault="00DD7596" w:rsidP="00057777">
            <w:pPr>
              <w:jc w:val="right"/>
              <w:rPr>
                <w:rFonts w:cs="Arial"/>
                <w:b/>
              </w:rPr>
            </w:pPr>
            <w:r>
              <w:rPr>
                <w:rFonts w:cs="Arial"/>
                <w:b/>
              </w:rPr>
              <w:t>(11,943)</w:t>
            </w:r>
          </w:p>
        </w:tc>
        <w:tc>
          <w:tcPr>
            <w:tcW w:w="1453" w:type="dxa"/>
            <w:tcBorders>
              <w:top w:val="single" w:sz="4" w:space="0" w:color="808080"/>
            </w:tcBorders>
            <w:shd w:val="clear" w:color="000000" w:fill="E0E0E0"/>
            <w:vAlign w:val="center"/>
          </w:tcPr>
          <w:p w14:paraId="65CFDA0F" w14:textId="77777777" w:rsidR="00DD7596" w:rsidRPr="00BA2CA4" w:rsidRDefault="00DD7596" w:rsidP="00057777">
            <w:pPr>
              <w:jc w:val="right"/>
              <w:rPr>
                <w:b/>
                <w:snapToGrid w:val="0"/>
                <w:lang w:eastAsia="en-US"/>
              </w:rPr>
            </w:pPr>
            <w:r w:rsidRPr="00BA2CA4">
              <w:rPr>
                <w:b/>
                <w:snapToGrid w:val="0"/>
                <w:lang w:eastAsia="en-US"/>
              </w:rPr>
              <w:t>(13,510)</w:t>
            </w:r>
          </w:p>
        </w:tc>
        <w:tc>
          <w:tcPr>
            <w:tcW w:w="1453" w:type="dxa"/>
            <w:tcBorders>
              <w:top w:val="single" w:sz="4" w:space="0" w:color="808080"/>
            </w:tcBorders>
            <w:shd w:val="clear" w:color="000000" w:fill="E0E0E0"/>
            <w:vAlign w:val="center"/>
          </w:tcPr>
          <w:p w14:paraId="71ED6FDA" w14:textId="77777777" w:rsidR="00DD7596" w:rsidRPr="00BA2CA4" w:rsidRDefault="00DD7596" w:rsidP="00057777">
            <w:pPr>
              <w:jc w:val="right"/>
              <w:rPr>
                <w:rFonts w:cs="Arial"/>
                <w:b/>
                <w:snapToGrid w:val="0"/>
                <w:szCs w:val="22"/>
                <w:lang w:eastAsia="en-US"/>
              </w:rPr>
            </w:pPr>
            <w:r w:rsidRPr="00BA2CA4">
              <w:rPr>
                <w:b/>
                <w:snapToGrid w:val="0"/>
                <w:lang w:eastAsia="en-US"/>
              </w:rPr>
              <w:t>(12,688)</w:t>
            </w:r>
          </w:p>
        </w:tc>
        <w:tc>
          <w:tcPr>
            <w:tcW w:w="1453" w:type="dxa"/>
            <w:tcBorders>
              <w:top w:val="single" w:sz="4" w:space="0" w:color="808080"/>
            </w:tcBorders>
            <w:shd w:val="clear" w:color="000000" w:fill="E0E0E0"/>
            <w:vAlign w:val="center"/>
          </w:tcPr>
          <w:p w14:paraId="3CE8E872" w14:textId="77777777" w:rsidR="00DD7596" w:rsidRPr="00BA2CA4" w:rsidRDefault="00DD7596" w:rsidP="00057777">
            <w:pPr>
              <w:jc w:val="right"/>
              <w:rPr>
                <w:rFonts w:cs="Arial"/>
                <w:b/>
                <w:snapToGrid w:val="0"/>
                <w:szCs w:val="22"/>
                <w:lang w:eastAsia="en-US"/>
              </w:rPr>
            </w:pPr>
            <w:r w:rsidRPr="00BA2CA4">
              <w:rPr>
                <w:rFonts w:cs="Arial"/>
                <w:b/>
                <w:snapToGrid w:val="0"/>
                <w:szCs w:val="22"/>
                <w:lang w:eastAsia="en-US"/>
              </w:rPr>
              <w:t>(18,271)</w:t>
            </w:r>
          </w:p>
        </w:tc>
        <w:tc>
          <w:tcPr>
            <w:tcW w:w="1453" w:type="dxa"/>
            <w:tcBorders>
              <w:top w:val="single" w:sz="4" w:space="0" w:color="808080"/>
            </w:tcBorders>
            <w:shd w:val="clear" w:color="000000" w:fill="E0E0E0"/>
            <w:vAlign w:val="center"/>
          </w:tcPr>
          <w:p w14:paraId="4E2A26C5" w14:textId="77777777" w:rsidR="00DD7596" w:rsidRPr="00BA2CA4" w:rsidRDefault="00DD7596" w:rsidP="00057777">
            <w:pPr>
              <w:jc w:val="right"/>
              <w:rPr>
                <w:b/>
                <w:snapToGrid w:val="0"/>
                <w:lang w:eastAsia="en-US"/>
              </w:rPr>
            </w:pPr>
            <w:r w:rsidRPr="00BA2CA4">
              <w:rPr>
                <w:rFonts w:cs="Arial"/>
                <w:b/>
                <w:snapToGrid w:val="0"/>
                <w:szCs w:val="22"/>
                <w:lang w:eastAsia="en-US"/>
              </w:rPr>
              <w:t>(12,603)</w:t>
            </w:r>
          </w:p>
        </w:tc>
      </w:tr>
      <w:tr w:rsidR="00DD7596" w:rsidRPr="00BA2CA4" w14:paraId="59F9E0C8" w14:textId="77777777" w:rsidTr="00057777">
        <w:trPr>
          <w:trHeight w:val="70"/>
        </w:trPr>
        <w:tc>
          <w:tcPr>
            <w:tcW w:w="5495" w:type="dxa"/>
          </w:tcPr>
          <w:p w14:paraId="19C0EBF7" w14:textId="77777777" w:rsidR="00DD7596" w:rsidRPr="00BA2CA4" w:rsidRDefault="00DD7596" w:rsidP="00057777">
            <w:pPr>
              <w:rPr>
                <w:snapToGrid w:val="0"/>
                <w:sz w:val="10"/>
                <w:szCs w:val="10"/>
                <w:lang w:eastAsia="en-US"/>
              </w:rPr>
            </w:pPr>
          </w:p>
        </w:tc>
        <w:tc>
          <w:tcPr>
            <w:tcW w:w="1453" w:type="dxa"/>
            <w:tcBorders>
              <w:top w:val="single" w:sz="4" w:space="0" w:color="808080"/>
            </w:tcBorders>
            <w:shd w:val="clear" w:color="auto" w:fill="BFBFBF" w:themeFill="background1" w:themeFillShade="BF"/>
          </w:tcPr>
          <w:p w14:paraId="19292B44" w14:textId="77777777" w:rsidR="00DD7596" w:rsidRPr="00BA2CA4" w:rsidRDefault="00DD7596" w:rsidP="00057777">
            <w:pPr>
              <w:jc w:val="right"/>
              <w:rPr>
                <w:rFonts w:cs="Arial"/>
                <w:sz w:val="10"/>
                <w:szCs w:val="10"/>
              </w:rPr>
            </w:pPr>
          </w:p>
        </w:tc>
        <w:tc>
          <w:tcPr>
            <w:tcW w:w="1453" w:type="dxa"/>
            <w:tcBorders>
              <w:top w:val="single" w:sz="4" w:space="0" w:color="808080"/>
            </w:tcBorders>
            <w:shd w:val="clear" w:color="000000" w:fill="E0E0E0"/>
          </w:tcPr>
          <w:p w14:paraId="5B6D7C95" w14:textId="77777777" w:rsidR="00DD7596" w:rsidRPr="00BA2CA4" w:rsidRDefault="00DD7596" w:rsidP="00057777">
            <w:pPr>
              <w:jc w:val="right"/>
              <w:rPr>
                <w:snapToGrid w:val="0"/>
                <w:sz w:val="10"/>
                <w:szCs w:val="10"/>
                <w:lang w:eastAsia="en-US"/>
              </w:rPr>
            </w:pPr>
          </w:p>
        </w:tc>
        <w:tc>
          <w:tcPr>
            <w:tcW w:w="1453" w:type="dxa"/>
            <w:tcBorders>
              <w:top w:val="single" w:sz="4" w:space="0" w:color="808080"/>
            </w:tcBorders>
            <w:shd w:val="clear" w:color="000000" w:fill="E0E0E0"/>
          </w:tcPr>
          <w:p w14:paraId="125158C4" w14:textId="77777777" w:rsidR="00DD7596" w:rsidRPr="00BA2CA4" w:rsidRDefault="00DD7596" w:rsidP="00057777">
            <w:pPr>
              <w:jc w:val="right"/>
              <w:rPr>
                <w:rFonts w:cs="Arial"/>
                <w:snapToGrid w:val="0"/>
                <w:szCs w:val="22"/>
                <w:lang w:eastAsia="en-US"/>
              </w:rPr>
            </w:pPr>
          </w:p>
        </w:tc>
        <w:tc>
          <w:tcPr>
            <w:tcW w:w="1453" w:type="dxa"/>
            <w:tcBorders>
              <w:top w:val="single" w:sz="4" w:space="0" w:color="808080"/>
            </w:tcBorders>
            <w:shd w:val="clear" w:color="000000" w:fill="E0E0E0"/>
          </w:tcPr>
          <w:p w14:paraId="55C71B9D" w14:textId="77777777" w:rsidR="00DD7596" w:rsidRPr="00BA2CA4" w:rsidRDefault="00DD7596" w:rsidP="00057777">
            <w:pPr>
              <w:jc w:val="right"/>
              <w:rPr>
                <w:rFonts w:cs="Arial"/>
                <w:snapToGrid w:val="0"/>
                <w:szCs w:val="22"/>
                <w:lang w:eastAsia="en-US"/>
              </w:rPr>
            </w:pPr>
          </w:p>
        </w:tc>
        <w:tc>
          <w:tcPr>
            <w:tcW w:w="1453" w:type="dxa"/>
            <w:tcBorders>
              <w:top w:val="single" w:sz="4" w:space="0" w:color="808080"/>
            </w:tcBorders>
            <w:shd w:val="clear" w:color="000000" w:fill="E0E0E0"/>
          </w:tcPr>
          <w:p w14:paraId="527B29A8" w14:textId="77777777" w:rsidR="00DD7596" w:rsidRPr="00BA2CA4" w:rsidRDefault="00DD7596" w:rsidP="00057777">
            <w:pPr>
              <w:jc w:val="right"/>
              <w:rPr>
                <w:snapToGrid w:val="0"/>
                <w:sz w:val="10"/>
                <w:szCs w:val="10"/>
                <w:lang w:eastAsia="en-US"/>
              </w:rPr>
            </w:pPr>
          </w:p>
        </w:tc>
      </w:tr>
      <w:tr w:rsidR="00DD7596" w:rsidRPr="00BA2CA4" w14:paraId="1CAA5F15" w14:textId="77777777" w:rsidTr="00057777">
        <w:tc>
          <w:tcPr>
            <w:tcW w:w="5495" w:type="dxa"/>
          </w:tcPr>
          <w:p w14:paraId="62312ED2" w14:textId="77777777" w:rsidR="00DD7596" w:rsidRPr="00BA2CA4" w:rsidRDefault="00DD7596" w:rsidP="00057777">
            <w:pPr>
              <w:rPr>
                <w:snapToGrid w:val="0"/>
                <w:lang w:eastAsia="en-US"/>
              </w:rPr>
            </w:pPr>
            <w:r w:rsidRPr="00BA2CA4">
              <w:rPr>
                <w:snapToGrid w:val="0"/>
                <w:lang w:eastAsia="en-US"/>
              </w:rPr>
              <w:t>Net Cash Flow from Operating Activities</w:t>
            </w:r>
          </w:p>
        </w:tc>
        <w:tc>
          <w:tcPr>
            <w:tcW w:w="1453" w:type="dxa"/>
            <w:tcBorders>
              <w:top w:val="single" w:sz="4" w:space="0" w:color="808080"/>
            </w:tcBorders>
            <w:shd w:val="clear" w:color="auto" w:fill="BFBFBF" w:themeFill="background1" w:themeFillShade="BF"/>
          </w:tcPr>
          <w:p w14:paraId="13DE2A26" w14:textId="77777777" w:rsidR="00DD7596" w:rsidRPr="00BA2CA4" w:rsidRDefault="00DD7596" w:rsidP="00057777">
            <w:pPr>
              <w:jc w:val="right"/>
              <w:rPr>
                <w:rFonts w:cs="Arial"/>
              </w:rPr>
            </w:pPr>
            <w:r>
              <w:rPr>
                <w:rFonts w:cs="Arial"/>
              </w:rPr>
              <w:t>16,363</w:t>
            </w:r>
          </w:p>
        </w:tc>
        <w:tc>
          <w:tcPr>
            <w:tcW w:w="1453" w:type="dxa"/>
            <w:tcBorders>
              <w:top w:val="single" w:sz="4" w:space="0" w:color="808080"/>
            </w:tcBorders>
            <w:shd w:val="clear" w:color="000000" w:fill="E0E0E0"/>
          </w:tcPr>
          <w:p w14:paraId="4D03B0F2" w14:textId="77777777" w:rsidR="00DD7596" w:rsidRPr="00BA2CA4" w:rsidRDefault="00DD7596" w:rsidP="00057777">
            <w:pPr>
              <w:jc w:val="right"/>
            </w:pPr>
            <w:r w:rsidRPr="00BA2CA4">
              <w:t>6,572</w:t>
            </w:r>
          </w:p>
        </w:tc>
        <w:tc>
          <w:tcPr>
            <w:tcW w:w="1453" w:type="dxa"/>
            <w:tcBorders>
              <w:top w:val="single" w:sz="4" w:space="0" w:color="808080"/>
            </w:tcBorders>
            <w:shd w:val="clear" w:color="000000" w:fill="E0E0E0"/>
          </w:tcPr>
          <w:p w14:paraId="21A81626" w14:textId="77777777" w:rsidR="00DD7596" w:rsidRPr="00BA2CA4" w:rsidRDefault="00DD7596" w:rsidP="00057777">
            <w:pPr>
              <w:jc w:val="right"/>
              <w:rPr>
                <w:rFonts w:cs="Arial"/>
                <w:szCs w:val="22"/>
              </w:rPr>
            </w:pPr>
            <w:r w:rsidRPr="00BA2CA4">
              <w:t>6,139</w:t>
            </w:r>
          </w:p>
        </w:tc>
        <w:tc>
          <w:tcPr>
            <w:tcW w:w="1453" w:type="dxa"/>
            <w:tcBorders>
              <w:top w:val="single" w:sz="4" w:space="0" w:color="808080"/>
            </w:tcBorders>
            <w:shd w:val="clear" w:color="000000" w:fill="E0E0E0"/>
          </w:tcPr>
          <w:p w14:paraId="4866684D" w14:textId="77777777" w:rsidR="00DD7596" w:rsidRPr="00BA2CA4" w:rsidRDefault="00DD7596" w:rsidP="00057777">
            <w:pPr>
              <w:jc w:val="right"/>
              <w:rPr>
                <w:rFonts w:cs="Arial"/>
                <w:szCs w:val="22"/>
              </w:rPr>
            </w:pPr>
            <w:r w:rsidRPr="00BA2CA4">
              <w:rPr>
                <w:rFonts w:cs="Arial"/>
                <w:szCs w:val="22"/>
              </w:rPr>
              <w:t>1,679</w:t>
            </w:r>
          </w:p>
        </w:tc>
        <w:tc>
          <w:tcPr>
            <w:tcW w:w="1453" w:type="dxa"/>
            <w:tcBorders>
              <w:top w:val="single" w:sz="4" w:space="0" w:color="808080"/>
            </w:tcBorders>
            <w:shd w:val="clear" w:color="000000" w:fill="E0E0E0"/>
          </w:tcPr>
          <w:p w14:paraId="1BBC2A2A" w14:textId="77777777" w:rsidR="00DD7596" w:rsidRPr="00BA2CA4" w:rsidRDefault="00DD7596" w:rsidP="00057777">
            <w:pPr>
              <w:jc w:val="right"/>
            </w:pPr>
            <w:r w:rsidRPr="00BA2CA4">
              <w:rPr>
                <w:rFonts w:cs="Arial"/>
                <w:szCs w:val="22"/>
              </w:rPr>
              <w:t>8,958</w:t>
            </w:r>
          </w:p>
        </w:tc>
      </w:tr>
      <w:tr w:rsidR="00DD7596" w:rsidRPr="00BA2CA4" w14:paraId="7AFA62E2" w14:textId="77777777" w:rsidTr="00057777">
        <w:tc>
          <w:tcPr>
            <w:tcW w:w="5495" w:type="dxa"/>
          </w:tcPr>
          <w:p w14:paraId="4F0E6997" w14:textId="77777777" w:rsidR="00DD7596" w:rsidRPr="00BA2CA4" w:rsidRDefault="00DD7596" w:rsidP="00057777">
            <w:pPr>
              <w:rPr>
                <w:snapToGrid w:val="0"/>
                <w:sz w:val="10"/>
                <w:szCs w:val="10"/>
                <w:lang w:eastAsia="en-US"/>
              </w:rPr>
            </w:pPr>
          </w:p>
        </w:tc>
        <w:tc>
          <w:tcPr>
            <w:tcW w:w="1453" w:type="dxa"/>
            <w:tcBorders>
              <w:top w:val="single" w:sz="4" w:space="0" w:color="808080"/>
            </w:tcBorders>
            <w:shd w:val="clear" w:color="auto" w:fill="BFBFBF" w:themeFill="background1" w:themeFillShade="BF"/>
          </w:tcPr>
          <w:p w14:paraId="76F5B233" w14:textId="77777777" w:rsidR="00DD7596" w:rsidRPr="00BA2CA4" w:rsidRDefault="00DD7596" w:rsidP="00057777">
            <w:pPr>
              <w:rPr>
                <w:snapToGrid w:val="0"/>
                <w:sz w:val="10"/>
                <w:szCs w:val="10"/>
                <w:lang w:eastAsia="en-US"/>
              </w:rPr>
            </w:pPr>
          </w:p>
        </w:tc>
        <w:tc>
          <w:tcPr>
            <w:tcW w:w="1453" w:type="dxa"/>
            <w:tcBorders>
              <w:top w:val="single" w:sz="4" w:space="0" w:color="808080"/>
            </w:tcBorders>
            <w:shd w:val="clear" w:color="000000" w:fill="E0E0E0"/>
          </w:tcPr>
          <w:p w14:paraId="4AC24164" w14:textId="77777777" w:rsidR="00DD7596" w:rsidRPr="00BA2CA4" w:rsidRDefault="00DD7596" w:rsidP="00057777">
            <w:pPr>
              <w:rPr>
                <w:snapToGrid w:val="0"/>
                <w:sz w:val="10"/>
                <w:szCs w:val="10"/>
                <w:lang w:eastAsia="en-US"/>
              </w:rPr>
            </w:pPr>
          </w:p>
        </w:tc>
        <w:tc>
          <w:tcPr>
            <w:tcW w:w="1453" w:type="dxa"/>
            <w:tcBorders>
              <w:top w:val="single" w:sz="4" w:space="0" w:color="808080"/>
            </w:tcBorders>
            <w:shd w:val="clear" w:color="000000" w:fill="E0E0E0"/>
          </w:tcPr>
          <w:p w14:paraId="195384B4" w14:textId="77777777" w:rsidR="00DD7596" w:rsidRPr="00BA2CA4" w:rsidRDefault="00DD7596" w:rsidP="00057777">
            <w:pPr>
              <w:jc w:val="right"/>
              <w:rPr>
                <w:rFonts w:cs="Arial"/>
                <w:snapToGrid w:val="0"/>
                <w:szCs w:val="22"/>
                <w:lang w:eastAsia="en-US"/>
              </w:rPr>
            </w:pPr>
          </w:p>
        </w:tc>
        <w:tc>
          <w:tcPr>
            <w:tcW w:w="1453" w:type="dxa"/>
            <w:tcBorders>
              <w:top w:val="single" w:sz="4" w:space="0" w:color="808080"/>
            </w:tcBorders>
            <w:shd w:val="clear" w:color="000000" w:fill="E0E0E0"/>
          </w:tcPr>
          <w:p w14:paraId="3416AC08" w14:textId="77777777" w:rsidR="00DD7596" w:rsidRPr="00BA2CA4" w:rsidRDefault="00DD7596" w:rsidP="00057777">
            <w:pPr>
              <w:jc w:val="right"/>
              <w:rPr>
                <w:rFonts w:cs="Arial"/>
                <w:snapToGrid w:val="0"/>
                <w:szCs w:val="22"/>
                <w:lang w:eastAsia="en-US"/>
              </w:rPr>
            </w:pPr>
          </w:p>
        </w:tc>
        <w:tc>
          <w:tcPr>
            <w:tcW w:w="1453" w:type="dxa"/>
            <w:tcBorders>
              <w:top w:val="single" w:sz="4" w:space="0" w:color="808080"/>
            </w:tcBorders>
            <w:shd w:val="clear" w:color="000000" w:fill="E0E0E0"/>
          </w:tcPr>
          <w:p w14:paraId="64D2830C" w14:textId="77777777" w:rsidR="00DD7596" w:rsidRPr="00BA2CA4" w:rsidRDefault="00DD7596" w:rsidP="00057777">
            <w:pPr>
              <w:rPr>
                <w:snapToGrid w:val="0"/>
                <w:sz w:val="10"/>
                <w:szCs w:val="10"/>
                <w:lang w:eastAsia="en-US"/>
              </w:rPr>
            </w:pPr>
          </w:p>
        </w:tc>
      </w:tr>
      <w:tr w:rsidR="00DD7596" w:rsidRPr="00BA2CA4" w14:paraId="3BFA1E64" w14:textId="77777777" w:rsidTr="00057777">
        <w:tc>
          <w:tcPr>
            <w:tcW w:w="5495" w:type="dxa"/>
            <w:tcBorders>
              <w:bottom w:val="single" w:sz="4" w:space="0" w:color="808080"/>
            </w:tcBorders>
          </w:tcPr>
          <w:p w14:paraId="72B07E25" w14:textId="77777777" w:rsidR="00DD7596" w:rsidRPr="00BA2CA4" w:rsidRDefault="00DD7596" w:rsidP="00057777">
            <w:pPr>
              <w:rPr>
                <w:snapToGrid w:val="0"/>
                <w:lang w:eastAsia="en-US"/>
              </w:rPr>
            </w:pPr>
            <w:r w:rsidRPr="00BA2CA4">
              <w:rPr>
                <w:snapToGrid w:val="0"/>
                <w:lang w:eastAsia="en-US"/>
              </w:rPr>
              <w:t>Total Assets</w:t>
            </w:r>
          </w:p>
        </w:tc>
        <w:tc>
          <w:tcPr>
            <w:tcW w:w="1453" w:type="dxa"/>
            <w:tcBorders>
              <w:top w:val="single" w:sz="4" w:space="0" w:color="808080"/>
            </w:tcBorders>
            <w:shd w:val="clear" w:color="auto" w:fill="BFBFBF" w:themeFill="background1" w:themeFillShade="BF"/>
          </w:tcPr>
          <w:p w14:paraId="77E44FFE" w14:textId="77777777" w:rsidR="00DD7596" w:rsidRPr="00BA2CA4" w:rsidRDefault="00DD7596" w:rsidP="00057777">
            <w:pPr>
              <w:jc w:val="right"/>
              <w:rPr>
                <w:rFonts w:cs="Arial"/>
              </w:rPr>
            </w:pPr>
            <w:r>
              <w:rPr>
                <w:rFonts w:cs="Arial"/>
              </w:rPr>
              <w:t>1,669,093</w:t>
            </w:r>
          </w:p>
        </w:tc>
        <w:tc>
          <w:tcPr>
            <w:tcW w:w="1453" w:type="dxa"/>
            <w:tcBorders>
              <w:top w:val="single" w:sz="4" w:space="0" w:color="808080"/>
            </w:tcBorders>
            <w:shd w:val="clear" w:color="000000" w:fill="E0E0E0"/>
          </w:tcPr>
          <w:p w14:paraId="0CDDBB89" w14:textId="77777777" w:rsidR="00DD7596" w:rsidRPr="00BA2CA4" w:rsidRDefault="00DD7596" w:rsidP="00057777">
            <w:pPr>
              <w:jc w:val="right"/>
            </w:pPr>
            <w:r w:rsidRPr="00BA2CA4">
              <w:t>1,023,949</w:t>
            </w:r>
          </w:p>
        </w:tc>
        <w:tc>
          <w:tcPr>
            <w:tcW w:w="1453" w:type="dxa"/>
            <w:tcBorders>
              <w:top w:val="single" w:sz="4" w:space="0" w:color="808080"/>
            </w:tcBorders>
            <w:shd w:val="clear" w:color="000000" w:fill="E0E0E0"/>
          </w:tcPr>
          <w:p w14:paraId="31703EC7" w14:textId="77777777" w:rsidR="00DD7596" w:rsidRPr="00BA2CA4" w:rsidRDefault="00DD7596" w:rsidP="00057777">
            <w:pPr>
              <w:jc w:val="right"/>
              <w:rPr>
                <w:rFonts w:cs="Arial"/>
                <w:szCs w:val="22"/>
              </w:rPr>
            </w:pPr>
            <w:r w:rsidRPr="00BA2CA4">
              <w:t>1,035,227</w:t>
            </w:r>
          </w:p>
        </w:tc>
        <w:tc>
          <w:tcPr>
            <w:tcW w:w="1453" w:type="dxa"/>
            <w:tcBorders>
              <w:top w:val="single" w:sz="4" w:space="0" w:color="808080"/>
            </w:tcBorders>
            <w:shd w:val="clear" w:color="000000" w:fill="E0E0E0"/>
          </w:tcPr>
          <w:p w14:paraId="3A252120" w14:textId="77777777" w:rsidR="00DD7596" w:rsidRPr="00BA2CA4" w:rsidRDefault="00DD7596" w:rsidP="00057777">
            <w:pPr>
              <w:jc w:val="right"/>
              <w:rPr>
                <w:rFonts w:cs="Arial"/>
                <w:szCs w:val="22"/>
              </w:rPr>
            </w:pPr>
            <w:r w:rsidRPr="00BA2CA4">
              <w:rPr>
                <w:rFonts w:cs="Arial"/>
                <w:szCs w:val="22"/>
              </w:rPr>
              <w:t>1,043,561</w:t>
            </w:r>
          </w:p>
        </w:tc>
        <w:tc>
          <w:tcPr>
            <w:tcW w:w="1453" w:type="dxa"/>
            <w:tcBorders>
              <w:top w:val="single" w:sz="4" w:space="0" w:color="808080"/>
            </w:tcBorders>
            <w:shd w:val="clear" w:color="000000" w:fill="E0E0E0"/>
          </w:tcPr>
          <w:p w14:paraId="3D749161" w14:textId="77777777" w:rsidR="00DD7596" w:rsidRPr="00BA2CA4" w:rsidRDefault="00DD7596" w:rsidP="00057777">
            <w:pPr>
              <w:jc w:val="right"/>
            </w:pPr>
            <w:r w:rsidRPr="00BA2CA4">
              <w:rPr>
                <w:rFonts w:cs="Arial"/>
                <w:szCs w:val="22"/>
              </w:rPr>
              <w:t>1,062,100</w:t>
            </w:r>
          </w:p>
        </w:tc>
      </w:tr>
      <w:tr w:rsidR="00DD7596" w:rsidRPr="00BA2CA4" w14:paraId="2F1BAF5C" w14:textId="77777777" w:rsidTr="00057777">
        <w:tc>
          <w:tcPr>
            <w:tcW w:w="5495" w:type="dxa"/>
            <w:tcBorders>
              <w:top w:val="single" w:sz="4" w:space="0" w:color="808080"/>
              <w:bottom w:val="single" w:sz="4" w:space="0" w:color="808080"/>
              <w:right w:val="nil"/>
            </w:tcBorders>
          </w:tcPr>
          <w:p w14:paraId="056CA83D" w14:textId="77777777" w:rsidR="00DD7596" w:rsidRPr="00BA2CA4" w:rsidRDefault="00DD7596" w:rsidP="00057777">
            <w:pPr>
              <w:rPr>
                <w:snapToGrid w:val="0"/>
                <w:lang w:eastAsia="en-US"/>
              </w:rPr>
            </w:pPr>
            <w:r w:rsidRPr="00BA2CA4">
              <w:rPr>
                <w:snapToGrid w:val="0"/>
                <w:lang w:eastAsia="en-US"/>
              </w:rPr>
              <w:t>Total Liabilities</w:t>
            </w:r>
          </w:p>
        </w:tc>
        <w:tc>
          <w:tcPr>
            <w:tcW w:w="1453" w:type="dxa"/>
            <w:tcBorders>
              <w:top w:val="single" w:sz="4" w:space="0" w:color="808080"/>
              <w:bottom w:val="single" w:sz="4" w:space="0" w:color="808080"/>
            </w:tcBorders>
            <w:shd w:val="clear" w:color="auto" w:fill="BFBFBF" w:themeFill="background1" w:themeFillShade="BF"/>
          </w:tcPr>
          <w:p w14:paraId="347EF1B2" w14:textId="77777777" w:rsidR="00DD7596" w:rsidRPr="00BA2CA4" w:rsidRDefault="00DD7596" w:rsidP="00057777">
            <w:pPr>
              <w:jc w:val="right"/>
              <w:rPr>
                <w:rFonts w:cs="Arial"/>
              </w:rPr>
            </w:pPr>
            <w:r>
              <w:rPr>
                <w:rFonts w:cs="Arial"/>
              </w:rPr>
              <w:t>26,367</w:t>
            </w:r>
          </w:p>
        </w:tc>
        <w:tc>
          <w:tcPr>
            <w:tcW w:w="1453" w:type="dxa"/>
            <w:tcBorders>
              <w:top w:val="single" w:sz="4" w:space="0" w:color="808080"/>
              <w:bottom w:val="single" w:sz="4" w:space="0" w:color="808080"/>
            </w:tcBorders>
            <w:shd w:val="clear" w:color="000000" w:fill="E0E0E0"/>
          </w:tcPr>
          <w:p w14:paraId="050B02B9" w14:textId="77777777" w:rsidR="00DD7596" w:rsidRPr="00BA2CA4" w:rsidRDefault="00DD7596" w:rsidP="00057777">
            <w:pPr>
              <w:jc w:val="right"/>
              <w:rPr>
                <w:snapToGrid w:val="0"/>
                <w:lang w:eastAsia="en-US"/>
              </w:rPr>
            </w:pPr>
            <w:r w:rsidRPr="00BA2CA4">
              <w:rPr>
                <w:snapToGrid w:val="0"/>
                <w:lang w:eastAsia="en-US"/>
              </w:rPr>
              <w:t>17,344</w:t>
            </w:r>
          </w:p>
        </w:tc>
        <w:tc>
          <w:tcPr>
            <w:tcW w:w="1453" w:type="dxa"/>
            <w:tcBorders>
              <w:top w:val="single" w:sz="4" w:space="0" w:color="808080"/>
              <w:bottom w:val="single" w:sz="4" w:space="0" w:color="808080"/>
            </w:tcBorders>
            <w:shd w:val="clear" w:color="000000" w:fill="E0E0E0"/>
          </w:tcPr>
          <w:p w14:paraId="12742A82" w14:textId="77777777" w:rsidR="00DD7596" w:rsidRPr="00BA2CA4" w:rsidRDefault="00DD7596" w:rsidP="00057777">
            <w:pPr>
              <w:jc w:val="right"/>
              <w:rPr>
                <w:rFonts w:cs="Arial"/>
                <w:snapToGrid w:val="0"/>
                <w:szCs w:val="22"/>
                <w:lang w:eastAsia="en-US"/>
              </w:rPr>
            </w:pPr>
            <w:r w:rsidRPr="00BA2CA4">
              <w:rPr>
                <w:snapToGrid w:val="0"/>
                <w:lang w:eastAsia="en-US"/>
              </w:rPr>
              <w:t>15,112</w:t>
            </w:r>
          </w:p>
        </w:tc>
        <w:tc>
          <w:tcPr>
            <w:tcW w:w="1453" w:type="dxa"/>
            <w:tcBorders>
              <w:top w:val="single" w:sz="4" w:space="0" w:color="808080"/>
              <w:bottom w:val="single" w:sz="4" w:space="0" w:color="808080"/>
            </w:tcBorders>
            <w:shd w:val="clear" w:color="000000" w:fill="E0E0E0"/>
          </w:tcPr>
          <w:p w14:paraId="0D8F72A7" w14:textId="77777777" w:rsidR="00DD7596" w:rsidRPr="00BA2CA4" w:rsidRDefault="00DD7596" w:rsidP="00057777">
            <w:pPr>
              <w:jc w:val="right"/>
              <w:rPr>
                <w:rFonts w:cs="Arial"/>
                <w:snapToGrid w:val="0"/>
                <w:szCs w:val="22"/>
                <w:lang w:eastAsia="en-US"/>
              </w:rPr>
            </w:pPr>
            <w:r w:rsidRPr="00BA2CA4">
              <w:rPr>
                <w:rFonts w:cs="Arial"/>
                <w:snapToGrid w:val="0"/>
                <w:szCs w:val="22"/>
                <w:lang w:eastAsia="en-US"/>
              </w:rPr>
              <w:t>14,747</w:t>
            </w:r>
          </w:p>
        </w:tc>
        <w:tc>
          <w:tcPr>
            <w:tcW w:w="1453" w:type="dxa"/>
            <w:tcBorders>
              <w:top w:val="single" w:sz="4" w:space="0" w:color="808080"/>
              <w:bottom w:val="single" w:sz="4" w:space="0" w:color="808080"/>
            </w:tcBorders>
            <w:shd w:val="clear" w:color="000000" w:fill="E0E0E0"/>
          </w:tcPr>
          <w:p w14:paraId="532E37B3" w14:textId="77777777" w:rsidR="00DD7596" w:rsidRPr="00BA2CA4" w:rsidRDefault="00DD7596" w:rsidP="00057777">
            <w:pPr>
              <w:jc w:val="right"/>
              <w:rPr>
                <w:snapToGrid w:val="0"/>
                <w:lang w:eastAsia="en-US"/>
              </w:rPr>
            </w:pPr>
            <w:r w:rsidRPr="00BA2CA4">
              <w:rPr>
                <w:rFonts w:cs="Arial"/>
                <w:snapToGrid w:val="0"/>
                <w:szCs w:val="22"/>
                <w:lang w:eastAsia="en-US"/>
              </w:rPr>
              <w:t>15,015</w:t>
            </w:r>
          </w:p>
        </w:tc>
      </w:tr>
    </w:tbl>
    <w:p w14:paraId="54233463" w14:textId="77777777" w:rsidR="00DD7596" w:rsidRPr="00BA2CA4" w:rsidRDefault="00DD7596" w:rsidP="00DD7596">
      <w:pPr>
        <w:rPr>
          <w:rFonts w:cs="Arial"/>
          <w:sz w:val="16"/>
          <w:szCs w:val="16"/>
        </w:rPr>
      </w:pPr>
    </w:p>
    <w:p w14:paraId="659D9D3E" w14:textId="77777777" w:rsidR="00DD7596" w:rsidRPr="00C110C4" w:rsidRDefault="00DD7596" w:rsidP="00DD7596">
      <w:pPr>
        <w:rPr>
          <w:rFonts w:cs="Arial"/>
          <w:szCs w:val="22"/>
        </w:rPr>
      </w:pPr>
    </w:p>
    <w:p w14:paraId="6AA64736" w14:textId="77777777" w:rsidR="00DD7596" w:rsidRPr="00BA2CA4" w:rsidRDefault="00DD7596" w:rsidP="00DD7596">
      <w:r w:rsidRPr="00BA2CA4">
        <w:lastRenderedPageBreak/>
        <w:t>Notes:</w:t>
      </w:r>
    </w:p>
    <w:p w14:paraId="0806CDD8" w14:textId="77777777" w:rsidR="00DD7596" w:rsidRDefault="00DD7596" w:rsidP="00DD7596">
      <w:r>
        <w:t>Revenue received from government was lower in comparison to the previous financial year, mainly due to lower capital funding for projects such as the Interim Collection Storage project.  In accordance with government policy, a capital asset charge is included in revenue from government and disclosed separately as an expense within the financial statements. Total income includes donations and grants that are brought to account when received and not matched with expenditure, which may occur in subsequent financial periods.</w:t>
      </w:r>
    </w:p>
    <w:p w14:paraId="0813882D" w14:textId="77777777" w:rsidR="00DD7596" w:rsidRDefault="00DD7596" w:rsidP="00DD7596"/>
    <w:p w14:paraId="705BDC5E" w14:textId="21940D35" w:rsidR="00DD7596" w:rsidRDefault="00DD7596" w:rsidP="00DD7596">
      <w:r>
        <w:t xml:space="preserve">The success of </w:t>
      </w:r>
      <w:r w:rsidRPr="000D6BE5">
        <w:rPr>
          <w:i/>
        </w:rPr>
        <w:t>Jurassic World:</w:t>
      </w:r>
      <w:r>
        <w:rPr>
          <w:i/>
        </w:rPr>
        <w:t xml:space="preserve"> </w:t>
      </w:r>
      <w:r w:rsidRPr="000D6BE5">
        <w:rPr>
          <w:i/>
        </w:rPr>
        <w:t>The Exhibition</w:t>
      </w:r>
      <w:r>
        <w:t xml:space="preserve"> at Melbourne Museum contributed to significant increases in admissions revenue which has raised total income from transactions in comparison to 2014–15. The higher attendance has also resulted in higher salaries and expenses from transactions; however, the overall impact on net result has been a significant positive.  Net cash flow is significantly higher as well due to </w:t>
      </w:r>
      <w:r w:rsidRPr="000D6BE5">
        <w:rPr>
          <w:i/>
        </w:rPr>
        <w:t>Jurassic World:</w:t>
      </w:r>
      <w:r>
        <w:rPr>
          <w:i/>
        </w:rPr>
        <w:t xml:space="preserve"> </w:t>
      </w:r>
      <w:r w:rsidRPr="000D6BE5">
        <w:rPr>
          <w:i/>
        </w:rPr>
        <w:t>The Exhibition</w:t>
      </w:r>
      <w:r>
        <w:rPr>
          <w:i/>
        </w:rPr>
        <w:t>,</w:t>
      </w:r>
      <w:r>
        <w:t xml:space="preserve"> the receipt of significant capital funds for the Royal Exhibition Building Protection and Promotion </w:t>
      </w:r>
      <w:r w:rsidR="00412561">
        <w:t>P</w:t>
      </w:r>
      <w:r>
        <w:t xml:space="preserve">roject and an advance for the </w:t>
      </w:r>
      <w:r w:rsidR="00412561">
        <w:t>E</w:t>
      </w:r>
      <w:r>
        <w:t xml:space="preserve">nergy </w:t>
      </w:r>
      <w:r w:rsidR="00412561">
        <w:t>M</w:t>
      </w:r>
      <w:r>
        <w:t xml:space="preserve">anagement </w:t>
      </w:r>
      <w:r w:rsidR="00412561">
        <w:t>P</w:t>
      </w:r>
      <w:r>
        <w:t>rogram. The independent revaluations of the collections and properties this year have resulted in substantial increases to the carrying values and these are reflected in the increase in Total Assets.</w:t>
      </w:r>
    </w:p>
    <w:p w14:paraId="0F2200EE" w14:textId="77777777" w:rsidR="00DD7596" w:rsidRDefault="00DD7596" w:rsidP="00DD7596"/>
    <w:p w14:paraId="268A6AD4" w14:textId="77777777" w:rsidR="00DD7596" w:rsidRPr="00A45554" w:rsidRDefault="00DD7596" w:rsidP="00DD7596">
      <w:r w:rsidRPr="005B214C">
        <w:t>Museum Victoria receives a substantial proportion of its revenue from government, which does not necessarily fund the full depreciation expense. The lack of depreciation funding may result in infrastructure that is no longer fit-for-purpose and may require significant government investment. This does not impact Museum Victoria’s ability to operate as a going concern.  Museum Victoria has continued to generate a positiv</w:t>
      </w:r>
      <w:r>
        <w:t xml:space="preserve">e net cash flow from operations. </w:t>
      </w:r>
      <w:r w:rsidRPr="00A45554">
        <w:t xml:space="preserve"> </w:t>
      </w:r>
    </w:p>
    <w:p w14:paraId="1B4A4F67" w14:textId="0CD4E09D" w:rsidR="00DD7596" w:rsidRPr="00BA2CA4" w:rsidRDefault="00DD7596" w:rsidP="00DD7596">
      <w:pPr>
        <w:spacing w:after="200" w:line="276" w:lineRule="auto"/>
        <w:rPr>
          <w:rFonts w:cs="Arial"/>
          <w:szCs w:val="22"/>
        </w:rPr>
      </w:pPr>
      <w:r>
        <w:rPr>
          <w:rFonts w:cs="Arial"/>
          <w:szCs w:val="22"/>
        </w:rPr>
        <w:br w:type="page"/>
      </w:r>
    </w:p>
    <w:p w14:paraId="59E915E5" w14:textId="77777777" w:rsidR="00BA2CA4" w:rsidRPr="000720D0" w:rsidRDefault="00BA2CA4" w:rsidP="00A00892">
      <w:pPr>
        <w:pStyle w:val="Heading3"/>
      </w:pPr>
      <w:r w:rsidRPr="000720D0">
        <w:lastRenderedPageBreak/>
        <w:t>Visitation</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Visitation"/>
        <w:tblDescription w:val="Table shows visitation results for 2013–13 and previous 4 financial years."/>
      </w:tblPr>
      <w:tblGrid>
        <w:gridCol w:w="5495"/>
        <w:gridCol w:w="1453"/>
        <w:gridCol w:w="1453"/>
        <w:gridCol w:w="1453"/>
        <w:gridCol w:w="1453"/>
        <w:gridCol w:w="1453"/>
      </w:tblGrid>
      <w:tr w:rsidR="00BA2CA4" w:rsidRPr="00BA2CA4" w14:paraId="7DDA728D" w14:textId="77777777" w:rsidTr="00BA2CA4">
        <w:tc>
          <w:tcPr>
            <w:tcW w:w="5495" w:type="dxa"/>
          </w:tcPr>
          <w:p w14:paraId="5DF9CAD4" w14:textId="77777777" w:rsidR="00BA2CA4" w:rsidRPr="00BA2CA4" w:rsidRDefault="00BA2CA4" w:rsidP="00BA2CA4">
            <w:pPr>
              <w:keepNext/>
              <w:outlineLvl w:val="3"/>
            </w:pPr>
          </w:p>
        </w:tc>
        <w:tc>
          <w:tcPr>
            <w:tcW w:w="1453" w:type="dxa"/>
            <w:tcBorders>
              <w:top w:val="nil"/>
            </w:tcBorders>
            <w:shd w:val="clear" w:color="auto" w:fill="BFBFBF" w:themeFill="background1" w:themeFillShade="BF"/>
          </w:tcPr>
          <w:p w14:paraId="52E722A5" w14:textId="6F01B62E" w:rsidR="00BA2CA4" w:rsidRPr="00BA2CA4" w:rsidRDefault="00BA2CA4" w:rsidP="00BA2CA4">
            <w:pPr>
              <w:jc w:val="right"/>
              <w:rPr>
                <w:b/>
              </w:rPr>
            </w:pPr>
            <w:r w:rsidRPr="00BA2CA4">
              <w:rPr>
                <w:b/>
              </w:rPr>
              <w:t>2015</w:t>
            </w:r>
            <w:r w:rsidR="00944749">
              <w:rPr>
                <w:rFonts w:cs="Arial"/>
                <w:b/>
              </w:rPr>
              <w:t>–</w:t>
            </w:r>
            <w:r w:rsidRPr="00BA2CA4">
              <w:rPr>
                <w:b/>
              </w:rPr>
              <w:t>16</w:t>
            </w:r>
          </w:p>
        </w:tc>
        <w:tc>
          <w:tcPr>
            <w:tcW w:w="1453" w:type="dxa"/>
            <w:tcBorders>
              <w:top w:val="nil"/>
            </w:tcBorders>
            <w:shd w:val="clear" w:color="000000" w:fill="E0E0E0"/>
          </w:tcPr>
          <w:p w14:paraId="082908E8" w14:textId="77777777" w:rsidR="00BA2CA4" w:rsidRPr="00BA2CA4" w:rsidRDefault="00BA2CA4" w:rsidP="00BA2CA4">
            <w:pPr>
              <w:jc w:val="right"/>
              <w:rPr>
                <w:b/>
              </w:rPr>
            </w:pPr>
            <w:r w:rsidRPr="00BA2CA4">
              <w:rPr>
                <w:b/>
              </w:rPr>
              <w:t>2014–15</w:t>
            </w:r>
          </w:p>
        </w:tc>
        <w:tc>
          <w:tcPr>
            <w:tcW w:w="1453" w:type="dxa"/>
            <w:tcBorders>
              <w:top w:val="nil"/>
            </w:tcBorders>
            <w:shd w:val="clear" w:color="000000" w:fill="E0E0E0"/>
          </w:tcPr>
          <w:p w14:paraId="29477484" w14:textId="77777777" w:rsidR="00BA2CA4" w:rsidRPr="00BA2CA4" w:rsidRDefault="00BA2CA4" w:rsidP="00BA2CA4">
            <w:pPr>
              <w:jc w:val="right"/>
              <w:rPr>
                <w:b/>
              </w:rPr>
            </w:pPr>
            <w:r w:rsidRPr="00BA2CA4">
              <w:rPr>
                <w:b/>
              </w:rPr>
              <w:t>2013–14</w:t>
            </w:r>
          </w:p>
        </w:tc>
        <w:tc>
          <w:tcPr>
            <w:tcW w:w="1453" w:type="dxa"/>
            <w:tcBorders>
              <w:top w:val="nil"/>
            </w:tcBorders>
            <w:shd w:val="clear" w:color="000000" w:fill="E0E0E0"/>
          </w:tcPr>
          <w:p w14:paraId="354DA353" w14:textId="77777777" w:rsidR="00BA2CA4" w:rsidRPr="00BA2CA4" w:rsidRDefault="00BA2CA4" w:rsidP="00BA2CA4">
            <w:pPr>
              <w:jc w:val="right"/>
              <w:rPr>
                <w:b/>
              </w:rPr>
            </w:pPr>
            <w:r w:rsidRPr="00BA2CA4">
              <w:rPr>
                <w:b/>
              </w:rPr>
              <w:t>2012–13</w:t>
            </w:r>
          </w:p>
        </w:tc>
        <w:tc>
          <w:tcPr>
            <w:tcW w:w="1453" w:type="dxa"/>
            <w:tcBorders>
              <w:top w:val="nil"/>
            </w:tcBorders>
            <w:shd w:val="clear" w:color="000000" w:fill="E0E0E0"/>
          </w:tcPr>
          <w:p w14:paraId="7E7F89E8" w14:textId="77777777" w:rsidR="00BA2CA4" w:rsidRPr="00BA2CA4" w:rsidRDefault="00BA2CA4" w:rsidP="00BA2CA4">
            <w:pPr>
              <w:jc w:val="right"/>
              <w:rPr>
                <w:b/>
              </w:rPr>
            </w:pPr>
            <w:r w:rsidRPr="00BA2CA4">
              <w:rPr>
                <w:b/>
              </w:rPr>
              <w:t>2011–12</w:t>
            </w:r>
          </w:p>
        </w:tc>
      </w:tr>
      <w:tr w:rsidR="00BA2CA4" w:rsidRPr="00BA2CA4" w14:paraId="4209092B" w14:textId="77777777" w:rsidTr="00BA2CA4">
        <w:tc>
          <w:tcPr>
            <w:tcW w:w="5495" w:type="dxa"/>
          </w:tcPr>
          <w:p w14:paraId="4069935E" w14:textId="77777777" w:rsidR="00BA2CA4" w:rsidRPr="00BA2CA4" w:rsidRDefault="00BA2CA4" w:rsidP="00BA2CA4">
            <w:pPr>
              <w:rPr>
                <w:snapToGrid w:val="0"/>
                <w:lang w:eastAsia="en-US"/>
              </w:rPr>
            </w:pPr>
            <w:bookmarkStart w:id="1" w:name="_Hlk202942307"/>
            <w:r w:rsidRPr="00BA2CA4">
              <w:rPr>
                <w:snapToGrid w:val="0"/>
                <w:lang w:eastAsia="en-US"/>
              </w:rPr>
              <w:t>Immigration Museum</w:t>
            </w:r>
          </w:p>
        </w:tc>
        <w:tc>
          <w:tcPr>
            <w:tcW w:w="1453" w:type="dxa"/>
            <w:tcBorders>
              <w:top w:val="single" w:sz="4" w:space="0" w:color="808080"/>
            </w:tcBorders>
            <w:shd w:val="clear" w:color="auto" w:fill="BFBFBF" w:themeFill="background1" w:themeFillShade="BF"/>
          </w:tcPr>
          <w:p w14:paraId="2D4758A3" w14:textId="7A34DA15" w:rsidR="00BA2CA4" w:rsidRPr="00BA2CA4" w:rsidRDefault="00D804FC" w:rsidP="00BA2CA4">
            <w:pPr>
              <w:jc w:val="right"/>
              <w:rPr>
                <w:snapToGrid w:val="0"/>
                <w:lang w:eastAsia="en-US"/>
              </w:rPr>
            </w:pPr>
            <w:r>
              <w:rPr>
                <w:snapToGrid w:val="0"/>
                <w:lang w:eastAsia="en-US"/>
              </w:rPr>
              <w:t>116,024</w:t>
            </w:r>
          </w:p>
        </w:tc>
        <w:tc>
          <w:tcPr>
            <w:tcW w:w="1453" w:type="dxa"/>
            <w:tcBorders>
              <w:top w:val="single" w:sz="4" w:space="0" w:color="808080"/>
            </w:tcBorders>
            <w:shd w:val="clear" w:color="000000" w:fill="E0E0E0"/>
          </w:tcPr>
          <w:p w14:paraId="252036BD" w14:textId="77777777" w:rsidR="00BA2CA4" w:rsidRPr="00BA2CA4" w:rsidRDefault="00BA2CA4" w:rsidP="00BA2CA4">
            <w:pPr>
              <w:jc w:val="right"/>
              <w:rPr>
                <w:snapToGrid w:val="0"/>
                <w:lang w:eastAsia="en-US"/>
              </w:rPr>
            </w:pPr>
            <w:r w:rsidRPr="00BA2CA4">
              <w:rPr>
                <w:snapToGrid w:val="0"/>
                <w:lang w:eastAsia="en-US"/>
              </w:rPr>
              <w:t>122,662</w:t>
            </w:r>
          </w:p>
        </w:tc>
        <w:tc>
          <w:tcPr>
            <w:tcW w:w="1453" w:type="dxa"/>
            <w:tcBorders>
              <w:top w:val="single" w:sz="4" w:space="0" w:color="808080"/>
            </w:tcBorders>
            <w:shd w:val="clear" w:color="000000" w:fill="E0E0E0"/>
          </w:tcPr>
          <w:p w14:paraId="5FE0BC1C" w14:textId="77777777" w:rsidR="00BA2CA4" w:rsidRPr="00BA2CA4" w:rsidRDefault="00BA2CA4" w:rsidP="00BA2CA4">
            <w:pPr>
              <w:jc w:val="right"/>
              <w:rPr>
                <w:rFonts w:cs="Arial"/>
                <w:snapToGrid w:val="0"/>
                <w:szCs w:val="22"/>
                <w:lang w:eastAsia="en-US"/>
              </w:rPr>
            </w:pPr>
            <w:r w:rsidRPr="00BA2CA4">
              <w:rPr>
                <w:snapToGrid w:val="0"/>
                <w:lang w:eastAsia="en-US"/>
              </w:rPr>
              <w:t>123,877</w:t>
            </w:r>
          </w:p>
        </w:tc>
        <w:tc>
          <w:tcPr>
            <w:tcW w:w="1453" w:type="dxa"/>
            <w:tcBorders>
              <w:top w:val="single" w:sz="4" w:space="0" w:color="808080"/>
            </w:tcBorders>
            <w:shd w:val="clear" w:color="000000" w:fill="E0E0E0"/>
          </w:tcPr>
          <w:p w14:paraId="4B9D7B01"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132,883</w:t>
            </w:r>
          </w:p>
        </w:tc>
        <w:tc>
          <w:tcPr>
            <w:tcW w:w="1453" w:type="dxa"/>
            <w:tcBorders>
              <w:top w:val="single" w:sz="4" w:space="0" w:color="808080"/>
            </w:tcBorders>
            <w:shd w:val="clear" w:color="000000" w:fill="E0E0E0"/>
          </w:tcPr>
          <w:p w14:paraId="7384A05D" w14:textId="77777777" w:rsidR="00BA2CA4" w:rsidRPr="00BA2CA4" w:rsidRDefault="00BA2CA4" w:rsidP="00BA2CA4">
            <w:pPr>
              <w:jc w:val="right"/>
              <w:rPr>
                <w:snapToGrid w:val="0"/>
                <w:lang w:eastAsia="en-US"/>
              </w:rPr>
            </w:pPr>
            <w:r w:rsidRPr="00BA2CA4">
              <w:rPr>
                <w:rFonts w:cs="Arial"/>
                <w:snapToGrid w:val="0"/>
                <w:szCs w:val="22"/>
                <w:lang w:eastAsia="en-US"/>
              </w:rPr>
              <w:t>143,054</w:t>
            </w:r>
          </w:p>
        </w:tc>
      </w:tr>
      <w:tr w:rsidR="00BA2CA4" w:rsidRPr="00BA2CA4" w14:paraId="72CCC6E4" w14:textId="77777777" w:rsidTr="00BA2CA4">
        <w:tc>
          <w:tcPr>
            <w:tcW w:w="5495" w:type="dxa"/>
          </w:tcPr>
          <w:p w14:paraId="6FB19A59" w14:textId="77777777" w:rsidR="00BA2CA4" w:rsidRPr="00BA2CA4" w:rsidRDefault="00BA2CA4" w:rsidP="00BA2CA4">
            <w:pPr>
              <w:rPr>
                <w:snapToGrid w:val="0"/>
                <w:lang w:eastAsia="en-US"/>
              </w:rPr>
            </w:pPr>
            <w:r w:rsidRPr="00BA2CA4">
              <w:rPr>
                <w:snapToGrid w:val="0"/>
                <w:lang w:eastAsia="en-US"/>
              </w:rPr>
              <w:t xml:space="preserve">Scienceworks </w:t>
            </w:r>
          </w:p>
        </w:tc>
        <w:tc>
          <w:tcPr>
            <w:tcW w:w="1453" w:type="dxa"/>
            <w:tcBorders>
              <w:top w:val="single" w:sz="4" w:space="0" w:color="808080"/>
            </w:tcBorders>
            <w:shd w:val="clear" w:color="auto" w:fill="BFBFBF" w:themeFill="background1" w:themeFillShade="BF"/>
          </w:tcPr>
          <w:p w14:paraId="0B7B3F79" w14:textId="23185C2C" w:rsidR="00BA2CA4" w:rsidRPr="00BA2CA4" w:rsidRDefault="00D804FC" w:rsidP="00BA2CA4">
            <w:pPr>
              <w:jc w:val="right"/>
              <w:rPr>
                <w:snapToGrid w:val="0"/>
                <w:lang w:eastAsia="en-US"/>
              </w:rPr>
            </w:pPr>
            <w:r>
              <w:rPr>
                <w:snapToGrid w:val="0"/>
                <w:lang w:eastAsia="en-US"/>
              </w:rPr>
              <w:t>502,109</w:t>
            </w:r>
          </w:p>
        </w:tc>
        <w:tc>
          <w:tcPr>
            <w:tcW w:w="1453" w:type="dxa"/>
            <w:tcBorders>
              <w:top w:val="single" w:sz="4" w:space="0" w:color="808080"/>
            </w:tcBorders>
            <w:shd w:val="clear" w:color="000000" w:fill="E0E0E0"/>
          </w:tcPr>
          <w:p w14:paraId="123EB13E" w14:textId="77777777" w:rsidR="00BA2CA4" w:rsidRPr="00BA2CA4" w:rsidRDefault="00BA2CA4" w:rsidP="00BA2CA4">
            <w:pPr>
              <w:jc w:val="right"/>
              <w:rPr>
                <w:snapToGrid w:val="0"/>
                <w:lang w:eastAsia="en-US"/>
              </w:rPr>
            </w:pPr>
            <w:r w:rsidRPr="00BA2CA4">
              <w:rPr>
                <w:snapToGrid w:val="0"/>
                <w:lang w:eastAsia="en-US"/>
              </w:rPr>
              <w:t>486,938</w:t>
            </w:r>
          </w:p>
        </w:tc>
        <w:tc>
          <w:tcPr>
            <w:tcW w:w="1453" w:type="dxa"/>
            <w:tcBorders>
              <w:top w:val="single" w:sz="4" w:space="0" w:color="808080"/>
            </w:tcBorders>
            <w:shd w:val="clear" w:color="000000" w:fill="E0E0E0"/>
          </w:tcPr>
          <w:p w14:paraId="0A22586A" w14:textId="77777777" w:rsidR="00BA2CA4" w:rsidRPr="00BA2CA4" w:rsidRDefault="00BA2CA4" w:rsidP="00BA2CA4">
            <w:pPr>
              <w:jc w:val="right"/>
              <w:rPr>
                <w:rFonts w:cs="Arial"/>
                <w:snapToGrid w:val="0"/>
                <w:szCs w:val="22"/>
                <w:lang w:eastAsia="en-US"/>
              </w:rPr>
            </w:pPr>
            <w:r w:rsidRPr="00BA2CA4">
              <w:rPr>
                <w:snapToGrid w:val="0"/>
                <w:lang w:eastAsia="en-US"/>
              </w:rPr>
              <w:t>474,823</w:t>
            </w:r>
          </w:p>
        </w:tc>
        <w:tc>
          <w:tcPr>
            <w:tcW w:w="1453" w:type="dxa"/>
            <w:tcBorders>
              <w:top w:val="single" w:sz="4" w:space="0" w:color="808080"/>
            </w:tcBorders>
            <w:shd w:val="clear" w:color="000000" w:fill="E0E0E0"/>
          </w:tcPr>
          <w:p w14:paraId="62A69985"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448,210</w:t>
            </w:r>
          </w:p>
        </w:tc>
        <w:tc>
          <w:tcPr>
            <w:tcW w:w="1453" w:type="dxa"/>
            <w:tcBorders>
              <w:top w:val="single" w:sz="4" w:space="0" w:color="808080"/>
            </w:tcBorders>
            <w:shd w:val="clear" w:color="000000" w:fill="E0E0E0"/>
          </w:tcPr>
          <w:p w14:paraId="2C5C7A4E" w14:textId="77777777" w:rsidR="00BA2CA4" w:rsidRPr="00BA2CA4" w:rsidRDefault="00BA2CA4" w:rsidP="00BA2CA4">
            <w:pPr>
              <w:jc w:val="right"/>
              <w:rPr>
                <w:snapToGrid w:val="0"/>
                <w:lang w:eastAsia="en-US"/>
              </w:rPr>
            </w:pPr>
            <w:r w:rsidRPr="00BA2CA4">
              <w:rPr>
                <w:rFonts w:cs="Arial"/>
                <w:snapToGrid w:val="0"/>
                <w:szCs w:val="22"/>
                <w:lang w:eastAsia="en-US"/>
              </w:rPr>
              <w:t>482,305</w:t>
            </w:r>
          </w:p>
        </w:tc>
      </w:tr>
      <w:tr w:rsidR="00BA2CA4" w:rsidRPr="00BA2CA4" w14:paraId="1398CFC0" w14:textId="77777777" w:rsidTr="00BA2CA4">
        <w:tc>
          <w:tcPr>
            <w:tcW w:w="5495" w:type="dxa"/>
          </w:tcPr>
          <w:p w14:paraId="34F720C0" w14:textId="77777777" w:rsidR="00BA2CA4" w:rsidRPr="00BA2CA4" w:rsidRDefault="00BA2CA4" w:rsidP="00BA2CA4">
            <w:pPr>
              <w:rPr>
                <w:snapToGrid w:val="0"/>
                <w:lang w:eastAsia="en-US"/>
              </w:rPr>
            </w:pPr>
            <w:r w:rsidRPr="00BA2CA4">
              <w:rPr>
                <w:snapToGrid w:val="0"/>
                <w:lang w:eastAsia="en-US"/>
              </w:rPr>
              <w:t>Melbourne Museum</w:t>
            </w:r>
          </w:p>
        </w:tc>
        <w:tc>
          <w:tcPr>
            <w:tcW w:w="1453" w:type="dxa"/>
            <w:tcBorders>
              <w:top w:val="single" w:sz="4" w:space="0" w:color="808080"/>
            </w:tcBorders>
            <w:shd w:val="clear" w:color="auto" w:fill="BFBFBF" w:themeFill="background1" w:themeFillShade="BF"/>
          </w:tcPr>
          <w:p w14:paraId="07B02C69" w14:textId="03B2E0EE" w:rsidR="00BA2CA4" w:rsidRPr="00BA2CA4" w:rsidRDefault="00A619AC" w:rsidP="00BA2CA4">
            <w:pPr>
              <w:jc w:val="right"/>
              <w:rPr>
                <w:snapToGrid w:val="0"/>
                <w:lang w:eastAsia="en-US"/>
              </w:rPr>
            </w:pPr>
            <w:r>
              <w:rPr>
                <w:snapToGrid w:val="0"/>
                <w:lang w:eastAsia="en-US"/>
              </w:rPr>
              <w:t>991,132</w:t>
            </w:r>
          </w:p>
        </w:tc>
        <w:tc>
          <w:tcPr>
            <w:tcW w:w="1453" w:type="dxa"/>
            <w:tcBorders>
              <w:top w:val="single" w:sz="4" w:space="0" w:color="808080"/>
            </w:tcBorders>
            <w:shd w:val="clear" w:color="000000" w:fill="E0E0E0"/>
          </w:tcPr>
          <w:p w14:paraId="0CA476A3" w14:textId="77777777" w:rsidR="00BA2CA4" w:rsidRPr="00BA2CA4" w:rsidRDefault="00BA2CA4" w:rsidP="00BA2CA4">
            <w:pPr>
              <w:jc w:val="right"/>
              <w:rPr>
                <w:snapToGrid w:val="0"/>
                <w:lang w:eastAsia="en-US"/>
              </w:rPr>
            </w:pPr>
            <w:r w:rsidRPr="00BA2CA4">
              <w:rPr>
                <w:snapToGrid w:val="0"/>
                <w:lang w:eastAsia="en-US"/>
              </w:rPr>
              <w:t>828,379</w:t>
            </w:r>
          </w:p>
        </w:tc>
        <w:tc>
          <w:tcPr>
            <w:tcW w:w="1453" w:type="dxa"/>
            <w:tcBorders>
              <w:top w:val="single" w:sz="4" w:space="0" w:color="808080"/>
            </w:tcBorders>
            <w:shd w:val="clear" w:color="000000" w:fill="E0E0E0"/>
          </w:tcPr>
          <w:p w14:paraId="1C68116D" w14:textId="77777777" w:rsidR="00BA2CA4" w:rsidRPr="00BA2CA4" w:rsidRDefault="00BA2CA4" w:rsidP="00BA2CA4">
            <w:pPr>
              <w:jc w:val="right"/>
              <w:rPr>
                <w:rFonts w:cs="Arial"/>
                <w:snapToGrid w:val="0"/>
                <w:szCs w:val="22"/>
                <w:lang w:eastAsia="en-US"/>
              </w:rPr>
            </w:pPr>
            <w:r w:rsidRPr="00BA2CA4">
              <w:rPr>
                <w:snapToGrid w:val="0"/>
                <w:lang w:eastAsia="en-US"/>
              </w:rPr>
              <w:t>955,838</w:t>
            </w:r>
          </w:p>
        </w:tc>
        <w:tc>
          <w:tcPr>
            <w:tcW w:w="1453" w:type="dxa"/>
            <w:tcBorders>
              <w:top w:val="single" w:sz="4" w:space="0" w:color="808080"/>
            </w:tcBorders>
            <w:shd w:val="clear" w:color="000000" w:fill="E0E0E0"/>
          </w:tcPr>
          <w:p w14:paraId="5F713DA4"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802,949</w:t>
            </w:r>
          </w:p>
        </w:tc>
        <w:tc>
          <w:tcPr>
            <w:tcW w:w="1453" w:type="dxa"/>
            <w:tcBorders>
              <w:top w:val="single" w:sz="4" w:space="0" w:color="808080"/>
            </w:tcBorders>
            <w:shd w:val="clear" w:color="000000" w:fill="E0E0E0"/>
          </w:tcPr>
          <w:p w14:paraId="16569B84" w14:textId="77777777" w:rsidR="00BA2CA4" w:rsidRPr="00BA2CA4" w:rsidRDefault="00BA2CA4" w:rsidP="00BA2CA4">
            <w:pPr>
              <w:jc w:val="right"/>
              <w:rPr>
                <w:snapToGrid w:val="0"/>
                <w:lang w:eastAsia="en-US"/>
              </w:rPr>
            </w:pPr>
            <w:r w:rsidRPr="00BA2CA4">
              <w:rPr>
                <w:rFonts w:cs="Arial"/>
                <w:snapToGrid w:val="0"/>
                <w:szCs w:val="22"/>
                <w:lang w:eastAsia="en-US"/>
              </w:rPr>
              <w:t>1,099,546</w:t>
            </w:r>
          </w:p>
        </w:tc>
      </w:tr>
      <w:tr w:rsidR="00BA2CA4" w:rsidRPr="00BA2CA4" w14:paraId="44017C2F" w14:textId="77777777" w:rsidTr="00BA2CA4">
        <w:tc>
          <w:tcPr>
            <w:tcW w:w="5495" w:type="dxa"/>
          </w:tcPr>
          <w:p w14:paraId="6866C673" w14:textId="77777777" w:rsidR="00BA2CA4" w:rsidRPr="00BA2CA4" w:rsidRDefault="00BA2CA4" w:rsidP="00BA2CA4">
            <w:pPr>
              <w:rPr>
                <w:snapToGrid w:val="0"/>
                <w:lang w:eastAsia="en-US"/>
              </w:rPr>
            </w:pPr>
            <w:r w:rsidRPr="00BA2CA4">
              <w:rPr>
                <w:snapToGrid w:val="0"/>
                <w:lang w:eastAsia="en-US"/>
              </w:rPr>
              <w:t>IMAX</w:t>
            </w:r>
          </w:p>
        </w:tc>
        <w:tc>
          <w:tcPr>
            <w:tcW w:w="1453" w:type="dxa"/>
            <w:tcBorders>
              <w:top w:val="single" w:sz="4" w:space="0" w:color="808080"/>
            </w:tcBorders>
            <w:shd w:val="clear" w:color="auto" w:fill="BFBFBF" w:themeFill="background1" w:themeFillShade="BF"/>
          </w:tcPr>
          <w:p w14:paraId="49D8117A" w14:textId="416A7F39" w:rsidR="00BA2CA4" w:rsidRPr="00BA2CA4" w:rsidRDefault="00D804FC" w:rsidP="00BA2CA4">
            <w:pPr>
              <w:jc w:val="right"/>
              <w:rPr>
                <w:snapToGrid w:val="0"/>
                <w:lang w:eastAsia="en-US"/>
              </w:rPr>
            </w:pPr>
            <w:r>
              <w:rPr>
                <w:snapToGrid w:val="0"/>
                <w:lang w:eastAsia="en-US"/>
              </w:rPr>
              <w:t>258,271</w:t>
            </w:r>
          </w:p>
        </w:tc>
        <w:tc>
          <w:tcPr>
            <w:tcW w:w="1453" w:type="dxa"/>
            <w:tcBorders>
              <w:top w:val="single" w:sz="4" w:space="0" w:color="808080"/>
            </w:tcBorders>
            <w:shd w:val="clear" w:color="000000" w:fill="E0E0E0"/>
          </w:tcPr>
          <w:p w14:paraId="01235E26" w14:textId="77777777" w:rsidR="00BA2CA4" w:rsidRPr="00BA2CA4" w:rsidRDefault="00BA2CA4" w:rsidP="00BA2CA4">
            <w:pPr>
              <w:jc w:val="right"/>
              <w:rPr>
                <w:snapToGrid w:val="0"/>
                <w:lang w:eastAsia="en-US"/>
              </w:rPr>
            </w:pPr>
            <w:r w:rsidRPr="00BA2CA4">
              <w:rPr>
                <w:snapToGrid w:val="0"/>
                <w:lang w:eastAsia="en-US"/>
              </w:rPr>
              <w:t>252,446</w:t>
            </w:r>
          </w:p>
        </w:tc>
        <w:tc>
          <w:tcPr>
            <w:tcW w:w="1453" w:type="dxa"/>
            <w:tcBorders>
              <w:top w:val="single" w:sz="4" w:space="0" w:color="808080"/>
            </w:tcBorders>
            <w:shd w:val="clear" w:color="000000" w:fill="E0E0E0"/>
          </w:tcPr>
          <w:p w14:paraId="44DF8FB4" w14:textId="77777777" w:rsidR="00BA2CA4" w:rsidRPr="00BA2CA4" w:rsidRDefault="00BA2CA4" w:rsidP="00BA2CA4">
            <w:pPr>
              <w:jc w:val="right"/>
              <w:rPr>
                <w:rFonts w:cs="Arial"/>
                <w:snapToGrid w:val="0"/>
                <w:szCs w:val="22"/>
                <w:lang w:eastAsia="en-US"/>
              </w:rPr>
            </w:pPr>
            <w:r w:rsidRPr="00BA2CA4">
              <w:rPr>
                <w:snapToGrid w:val="0"/>
                <w:lang w:eastAsia="en-US"/>
              </w:rPr>
              <w:t>279,758</w:t>
            </w:r>
          </w:p>
        </w:tc>
        <w:tc>
          <w:tcPr>
            <w:tcW w:w="1453" w:type="dxa"/>
            <w:tcBorders>
              <w:top w:val="single" w:sz="4" w:space="0" w:color="808080"/>
            </w:tcBorders>
            <w:shd w:val="clear" w:color="000000" w:fill="E0E0E0"/>
          </w:tcPr>
          <w:p w14:paraId="4F98B333"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272,621</w:t>
            </w:r>
          </w:p>
        </w:tc>
        <w:tc>
          <w:tcPr>
            <w:tcW w:w="1453" w:type="dxa"/>
            <w:tcBorders>
              <w:top w:val="single" w:sz="4" w:space="0" w:color="808080"/>
            </w:tcBorders>
            <w:shd w:val="clear" w:color="000000" w:fill="E0E0E0"/>
          </w:tcPr>
          <w:p w14:paraId="301F836B" w14:textId="77777777" w:rsidR="00BA2CA4" w:rsidRPr="00BA2CA4" w:rsidRDefault="00BA2CA4" w:rsidP="00BA2CA4">
            <w:pPr>
              <w:jc w:val="right"/>
              <w:rPr>
                <w:snapToGrid w:val="0"/>
                <w:lang w:eastAsia="en-US"/>
              </w:rPr>
            </w:pPr>
            <w:r w:rsidRPr="00BA2CA4">
              <w:rPr>
                <w:rFonts w:cs="Arial"/>
                <w:snapToGrid w:val="0"/>
                <w:szCs w:val="22"/>
                <w:lang w:eastAsia="en-US"/>
              </w:rPr>
              <w:t>241,943</w:t>
            </w:r>
          </w:p>
        </w:tc>
      </w:tr>
      <w:bookmarkEnd w:id="1"/>
      <w:tr w:rsidR="00BA2CA4" w:rsidRPr="00BA2CA4" w14:paraId="10A39DCD" w14:textId="77777777" w:rsidTr="00BA2CA4">
        <w:tc>
          <w:tcPr>
            <w:tcW w:w="5495" w:type="dxa"/>
          </w:tcPr>
          <w:p w14:paraId="0805E886" w14:textId="77777777" w:rsidR="00BA2CA4" w:rsidRPr="00BA2CA4" w:rsidRDefault="00BA2CA4" w:rsidP="00BA2CA4">
            <w:pPr>
              <w:rPr>
                <w:b/>
                <w:snapToGrid w:val="0"/>
                <w:lang w:eastAsia="en-US"/>
              </w:rPr>
            </w:pPr>
            <w:r w:rsidRPr="00BA2CA4">
              <w:rPr>
                <w:b/>
                <w:snapToGrid w:val="0"/>
                <w:lang w:eastAsia="en-US"/>
              </w:rPr>
              <w:t>Total Ticketed Visitation</w:t>
            </w:r>
          </w:p>
        </w:tc>
        <w:tc>
          <w:tcPr>
            <w:tcW w:w="1453" w:type="dxa"/>
            <w:tcBorders>
              <w:top w:val="single" w:sz="4" w:space="0" w:color="808080"/>
            </w:tcBorders>
            <w:shd w:val="clear" w:color="auto" w:fill="BFBFBF" w:themeFill="background1" w:themeFillShade="BF"/>
          </w:tcPr>
          <w:p w14:paraId="65B6212A" w14:textId="1F248F44" w:rsidR="00BA2CA4" w:rsidRPr="00BA2CA4" w:rsidRDefault="00A619AC" w:rsidP="00BA2CA4">
            <w:pPr>
              <w:jc w:val="right"/>
              <w:rPr>
                <w:b/>
                <w:snapToGrid w:val="0"/>
                <w:lang w:eastAsia="en-US"/>
              </w:rPr>
            </w:pPr>
            <w:r>
              <w:rPr>
                <w:b/>
                <w:snapToGrid w:val="0"/>
                <w:lang w:eastAsia="en-US"/>
              </w:rPr>
              <w:t>1,867,536</w:t>
            </w:r>
          </w:p>
        </w:tc>
        <w:tc>
          <w:tcPr>
            <w:tcW w:w="1453" w:type="dxa"/>
            <w:tcBorders>
              <w:top w:val="single" w:sz="4" w:space="0" w:color="808080"/>
            </w:tcBorders>
            <w:shd w:val="clear" w:color="000000" w:fill="E0E0E0"/>
          </w:tcPr>
          <w:p w14:paraId="172322D9" w14:textId="77777777" w:rsidR="00BA2CA4" w:rsidRPr="00BA2CA4" w:rsidRDefault="00BA2CA4" w:rsidP="00BA2CA4">
            <w:pPr>
              <w:jc w:val="right"/>
              <w:rPr>
                <w:b/>
                <w:snapToGrid w:val="0"/>
                <w:lang w:eastAsia="en-US"/>
              </w:rPr>
            </w:pPr>
            <w:r w:rsidRPr="00BA2CA4">
              <w:rPr>
                <w:b/>
                <w:snapToGrid w:val="0"/>
                <w:lang w:eastAsia="en-US"/>
              </w:rPr>
              <w:t>1,690,425</w:t>
            </w:r>
          </w:p>
        </w:tc>
        <w:tc>
          <w:tcPr>
            <w:tcW w:w="1453" w:type="dxa"/>
            <w:tcBorders>
              <w:top w:val="single" w:sz="4" w:space="0" w:color="808080"/>
            </w:tcBorders>
            <w:shd w:val="clear" w:color="000000" w:fill="E0E0E0"/>
          </w:tcPr>
          <w:p w14:paraId="39FCA976" w14:textId="77777777" w:rsidR="00BA2CA4" w:rsidRPr="00BA2CA4" w:rsidRDefault="00BA2CA4" w:rsidP="00BA2CA4">
            <w:pPr>
              <w:jc w:val="right"/>
              <w:rPr>
                <w:rFonts w:cs="Arial"/>
                <w:b/>
                <w:snapToGrid w:val="0"/>
                <w:szCs w:val="22"/>
                <w:lang w:eastAsia="en-US"/>
              </w:rPr>
            </w:pPr>
            <w:r w:rsidRPr="00BA2CA4">
              <w:rPr>
                <w:b/>
                <w:snapToGrid w:val="0"/>
                <w:lang w:eastAsia="en-US"/>
              </w:rPr>
              <w:t>1,834,296</w:t>
            </w:r>
          </w:p>
        </w:tc>
        <w:tc>
          <w:tcPr>
            <w:tcW w:w="1453" w:type="dxa"/>
            <w:tcBorders>
              <w:top w:val="single" w:sz="4" w:space="0" w:color="808080"/>
            </w:tcBorders>
            <w:shd w:val="clear" w:color="000000" w:fill="E0E0E0"/>
          </w:tcPr>
          <w:p w14:paraId="2CFDEA69" w14:textId="77777777" w:rsidR="00BA2CA4" w:rsidRPr="00BA2CA4" w:rsidRDefault="00BA2CA4" w:rsidP="00BA2CA4">
            <w:pPr>
              <w:jc w:val="right"/>
              <w:rPr>
                <w:rFonts w:cs="Arial"/>
                <w:b/>
                <w:snapToGrid w:val="0"/>
                <w:szCs w:val="22"/>
                <w:lang w:eastAsia="en-US"/>
              </w:rPr>
            </w:pPr>
            <w:r w:rsidRPr="00BA2CA4">
              <w:rPr>
                <w:rFonts w:cs="Arial"/>
                <w:b/>
                <w:snapToGrid w:val="0"/>
                <w:szCs w:val="22"/>
                <w:lang w:eastAsia="en-US"/>
              </w:rPr>
              <w:t>1,656,663</w:t>
            </w:r>
          </w:p>
        </w:tc>
        <w:tc>
          <w:tcPr>
            <w:tcW w:w="1453" w:type="dxa"/>
            <w:tcBorders>
              <w:top w:val="single" w:sz="4" w:space="0" w:color="808080"/>
            </w:tcBorders>
            <w:shd w:val="clear" w:color="000000" w:fill="E0E0E0"/>
          </w:tcPr>
          <w:p w14:paraId="2416901E" w14:textId="77777777" w:rsidR="00BA2CA4" w:rsidRPr="00BA2CA4" w:rsidRDefault="00BA2CA4" w:rsidP="00BA2CA4">
            <w:pPr>
              <w:jc w:val="right"/>
              <w:rPr>
                <w:b/>
                <w:snapToGrid w:val="0"/>
                <w:lang w:eastAsia="en-US"/>
              </w:rPr>
            </w:pPr>
            <w:r w:rsidRPr="00BA2CA4">
              <w:rPr>
                <w:rFonts w:cs="Arial"/>
                <w:b/>
                <w:snapToGrid w:val="0"/>
                <w:szCs w:val="22"/>
                <w:lang w:eastAsia="en-US"/>
              </w:rPr>
              <w:t>1,966,848</w:t>
            </w:r>
          </w:p>
        </w:tc>
      </w:tr>
      <w:tr w:rsidR="00BA2CA4" w:rsidRPr="00BA2CA4" w14:paraId="16F1A074" w14:textId="77777777" w:rsidTr="00BA2CA4">
        <w:tc>
          <w:tcPr>
            <w:tcW w:w="5495" w:type="dxa"/>
          </w:tcPr>
          <w:p w14:paraId="6FE97F36" w14:textId="77777777" w:rsidR="00BA2CA4" w:rsidRPr="00BA2CA4" w:rsidRDefault="00BA2CA4" w:rsidP="00BA2CA4">
            <w:pPr>
              <w:rPr>
                <w:snapToGrid w:val="0"/>
                <w:lang w:eastAsia="en-US"/>
              </w:rPr>
            </w:pPr>
            <w:r w:rsidRPr="00BA2CA4">
              <w:rPr>
                <w:snapToGrid w:val="0"/>
                <w:lang w:eastAsia="en-US"/>
              </w:rPr>
              <w:t>Outreach Program</w:t>
            </w:r>
          </w:p>
        </w:tc>
        <w:tc>
          <w:tcPr>
            <w:tcW w:w="1453" w:type="dxa"/>
            <w:tcBorders>
              <w:top w:val="single" w:sz="4" w:space="0" w:color="808080"/>
            </w:tcBorders>
            <w:shd w:val="clear" w:color="auto" w:fill="BFBFBF" w:themeFill="background1" w:themeFillShade="BF"/>
          </w:tcPr>
          <w:p w14:paraId="6BC22E3B" w14:textId="0EC82410" w:rsidR="00BA2CA4" w:rsidRPr="00BA2CA4" w:rsidRDefault="00054676" w:rsidP="00BA2CA4">
            <w:pPr>
              <w:jc w:val="right"/>
              <w:rPr>
                <w:snapToGrid w:val="0"/>
                <w:lang w:eastAsia="en-US"/>
              </w:rPr>
            </w:pPr>
            <w:r>
              <w:rPr>
                <w:snapToGrid w:val="0"/>
                <w:lang w:eastAsia="en-US"/>
              </w:rPr>
              <w:t>440,450</w:t>
            </w:r>
          </w:p>
        </w:tc>
        <w:tc>
          <w:tcPr>
            <w:tcW w:w="1453" w:type="dxa"/>
            <w:tcBorders>
              <w:top w:val="single" w:sz="4" w:space="0" w:color="808080"/>
            </w:tcBorders>
            <w:shd w:val="clear" w:color="000000" w:fill="E0E0E0"/>
          </w:tcPr>
          <w:p w14:paraId="137471C4" w14:textId="77777777" w:rsidR="00BA2CA4" w:rsidRPr="00BA2CA4" w:rsidRDefault="00BA2CA4" w:rsidP="00BA2CA4">
            <w:pPr>
              <w:jc w:val="right"/>
              <w:rPr>
                <w:snapToGrid w:val="0"/>
                <w:lang w:eastAsia="en-US"/>
              </w:rPr>
            </w:pPr>
            <w:r w:rsidRPr="00BA2CA4">
              <w:rPr>
                <w:snapToGrid w:val="0"/>
                <w:lang w:eastAsia="en-US"/>
              </w:rPr>
              <w:t>135,881</w:t>
            </w:r>
          </w:p>
        </w:tc>
        <w:tc>
          <w:tcPr>
            <w:tcW w:w="1453" w:type="dxa"/>
            <w:tcBorders>
              <w:top w:val="single" w:sz="4" w:space="0" w:color="808080"/>
            </w:tcBorders>
            <w:shd w:val="clear" w:color="000000" w:fill="E0E0E0"/>
          </w:tcPr>
          <w:p w14:paraId="753D2811" w14:textId="77777777" w:rsidR="00BA2CA4" w:rsidRPr="00BA2CA4" w:rsidRDefault="00BA2CA4" w:rsidP="00BA2CA4">
            <w:pPr>
              <w:jc w:val="right"/>
              <w:rPr>
                <w:rFonts w:cs="Arial"/>
                <w:snapToGrid w:val="0"/>
                <w:szCs w:val="22"/>
                <w:lang w:eastAsia="en-US"/>
              </w:rPr>
            </w:pPr>
            <w:r w:rsidRPr="00BA2CA4">
              <w:t>112,049</w:t>
            </w:r>
          </w:p>
        </w:tc>
        <w:tc>
          <w:tcPr>
            <w:tcW w:w="1453" w:type="dxa"/>
            <w:tcBorders>
              <w:top w:val="single" w:sz="4" w:space="0" w:color="808080"/>
            </w:tcBorders>
            <w:shd w:val="clear" w:color="000000" w:fill="E0E0E0"/>
          </w:tcPr>
          <w:p w14:paraId="46371966" w14:textId="77777777" w:rsidR="00BA2CA4" w:rsidRPr="00BA2CA4" w:rsidRDefault="00BA2CA4" w:rsidP="00BA2CA4">
            <w:pPr>
              <w:jc w:val="right"/>
              <w:rPr>
                <w:rFonts w:cs="Arial"/>
                <w:snapToGrid w:val="0"/>
                <w:szCs w:val="22"/>
                <w:lang w:eastAsia="en-US"/>
              </w:rPr>
            </w:pPr>
            <w:r w:rsidRPr="00BA2CA4">
              <w:rPr>
                <w:rFonts w:cs="Arial"/>
                <w:snapToGrid w:val="0"/>
                <w:szCs w:val="22"/>
                <w:lang w:eastAsia="en-US"/>
              </w:rPr>
              <w:t>90,450</w:t>
            </w:r>
          </w:p>
        </w:tc>
        <w:tc>
          <w:tcPr>
            <w:tcW w:w="1453" w:type="dxa"/>
            <w:tcBorders>
              <w:top w:val="single" w:sz="4" w:space="0" w:color="808080"/>
            </w:tcBorders>
            <w:shd w:val="clear" w:color="000000" w:fill="E0E0E0"/>
          </w:tcPr>
          <w:p w14:paraId="4AD63665" w14:textId="77777777" w:rsidR="00BA2CA4" w:rsidRPr="00BA2CA4" w:rsidRDefault="00BA2CA4" w:rsidP="00BA2CA4">
            <w:pPr>
              <w:jc w:val="right"/>
              <w:rPr>
                <w:snapToGrid w:val="0"/>
                <w:lang w:eastAsia="en-US"/>
              </w:rPr>
            </w:pPr>
            <w:r w:rsidRPr="00BA2CA4">
              <w:rPr>
                <w:rFonts w:cs="Arial"/>
                <w:snapToGrid w:val="0"/>
                <w:szCs w:val="22"/>
                <w:lang w:eastAsia="en-US"/>
              </w:rPr>
              <w:t>104,036</w:t>
            </w:r>
          </w:p>
        </w:tc>
      </w:tr>
      <w:tr w:rsidR="00BA2CA4" w:rsidRPr="00BA2CA4" w14:paraId="004B0F70" w14:textId="77777777" w:rsidTr="00BA2CA4">
        <w:tc>
          <w:tcPr>
            <w:tcW w:w="5495" w:type="dxa"/>
          </w:tcPr>
          <w:p w14:paraId="4EA53ADC" w14:textId="77777777" w:rsidR="00BA2CA4" w:rsidRPr="00BA2CA4" w:rsidRDefault="00BA2CA4" w:rsidP="00BA2CA4">
            <w:pPr>
              <w:rPr>
                <w:snapToGrid w:val="0"/>
                <w:lang w:eastAsia="en-US"/>
              </w:rPr>
            </w:pPr>
            <w:r w:rsidRPr="00BA2CA4">
              <w:rPr>
                <w:snapToGrid w:val="0"/>
                <w:lang w:eastAsia="en-US"/>
              </w:rPr>
              <w:t>Website</w:t>
            </w:r>
          </w:p>
        </w:tc>
        <w:tc>
          <w:tcPr>
            <w:tcW w:w="1453" w:type="dxa"/>
            <w:tcBorders>
              <w:top w:val="single" w:sz="4" w:space="0" w:color="808080"/>
            </w:tcBorders>
            <w:shd w:val="clear" w:color="auto" w:fill="BFBFBF" w:themeFill="background1" w:themeFillShade="BF"/>
          </w:tcPr>
          <w:p w14:paraId="33CFF705" w14:textId="0CBEEB84" w:rsidR="00BA2CA4" w:rsidRPr="00BA2CA4" w:rsidRDefault="00A619AC" w:rsidP="00BA2CA4">
            <w:pPr>
              <w:jc w:val="right"/>
            </w:pPr>
            <w:r>
              <w:t>5,897,515</w:t>
            </w:r>
          </w:p>
        </w:tc>
        <w:tc>
          <w:tcPr>
            <w:tcW w:w="1453" w:type="dxa"/>
            <w:tcBorders>
              <w:top w:val="single" w:sz="4" w:space="0" w:color="808080"/>
            </w:tcBorders>
            <w:shd w:val="clear" w:color="000000" w:fill="E0E0E0"/>
          </w:tcPr>
          <w:p w14:paraId="4C444046" w14:textId="77777777" w:rsidR="00BA2CA4" w:rsidRPr="00BA2CA4" w:rsidRDefault="00BA2CA4" w:rsidP="00BA2CA4">
            <w:pPr>
              <w:jc w:val="right"/>
            </w:pPr>
            <w:r w:rsidRPr="00BA2CA4">
              <w:t>5,624,812</w:t>
            </w:r>
          </w:p>
        </w:tc>
        <w:tc>
          <w:tcPr>
            <w:tcW w:w="1453" w:type="dxa"/>
            <w:tcBorders>
              <w:top w:val="single" w:sz="4" w:space="0" w:color="808080"/>
            </w:tcBorders>
            <w:shd w:val="clear" w:color="000000" w:fill="E0E0E0"/>
          </w:tcPr>
          <w:p w14:paraId="7162A5E1" w14:textId="77777777" w:rsidR="00BA2CA4" w:rsidRPr="00BA2CA4" w:rsidRDefault="00BA2CA4" w:rsidP="00BA2CA4">
            <w:pPr>
              <w:jc w:val="right"/>
              <w:rPr>
                <w:rFonts w:cs="Arial"/>
                <w:szCs w:val="22"/>
              </w:rPr>
            </w:pPr>
            <w:r w:rsidRPr="00BA2CA4">
              <w:t>5,481,307</w:t>
            </w:r>
          </w:p>
        </w:tc>
        <w:tc>
          <w:tcPr>
            <w:tcW w:w="1453" w:type="dxa"/>
            <w:tcBorders>
              <w:top w:val="single" w:sz="4" w:space="0" w:color="808080"/>
            </w:tcBorders>
            <w:shd w:val="clear" w:color="000000" w:fill="E0E0E0"/>
          </w:tcPr>
          <w:p w14:paraId="70828A84" w14:textId="77777777" w:rsidR="00BA2CA4" w:rsidRPr="00BA2CA4" w:rsidRDefault="00BA2CA4" w:rsidP="00BA2CA4">
            <w:pPr>
              <w:jc w:val="right"/>
              <w:rPr>
                <w:rFonts w:cs="Arial"/>
                <w:szCs w:val="22"/>
              </w:rPr>
            </w:pPr>
            <w:r w:rsidRPr="00BA2CA4">
              <w:rPr>
                <w:rFonts w:cs="Arial"/>
                <w:szCs w:val="22"/>
              </w:rPr>
              <w:t>5,295,827</w:t>
            </w:r>
          </w:p>
        </w:tc>
        <w:tc>
          <w:tcPr>
            <w:tcW w:w="1453" w:type="dxa"/>
            <w:tcBorders>
              <w:top w:val="single" w:sz="4" w:space="0" w:color="808080"/>
            </w:tcBorders>
            <w:shd w:val="clear" w:color="000000" w:fill="E0E0E0"/>
          </w:tcPr>
          <w:p w14:paraId="5B08EBCD" w14:textId="77777777" w:rsidR="00BA2CA4" w:rsidRPr="00BA2CA4" w:rsidRDefault="00BA2CA4" w:rsidP="00BA2CA4">
            <w:pPr>
              <w:jc w:val="right"/>
            </w:pPr>
            <w:r w:rsidRPr="00BA2CA4">
              <w:rPr>
                <w:rFonts w:cs="Arial"/>
                <w:szCs w:val="22"/>
              </w:rPr>
              <w:t>4,651,649</w:t>
            </w:r>
          </w:p>
        </w:tc>
      </w:tr>
      <w:tr w:rsidR="00BA2CA4" w:rsidRPr="00BA2CA4" w14:paraId="4FCCBAE7" w14:textId="77777777" w:rsidTr="00BA2CA4">
        <w:tc>
          <w:tcPr>
            <w:tcW w:w="5495" w:type="dxa"/>
          </w:tcPr>
          <w:p w14:paraId="5A9BE7BE" w14:textId="77777777" w:rsidR="00BA2CA4" w:rsidRPr="00BA2CA4" w:rsidRDefault="00BA2CA4" w:rsidP="00BA2CA4">
            <w:pPr>
              <w:rPr>
                <w:b/>
                <w:snapToGrid w:val="0"/>
                <w:lang w:eastAsia="en-US"/>
              </w:rPr>
            </w:pPr>
            <w:r w:rsidRPr="00BA2CA4">
              <w:rPr>
                <w:b/>
                <w:snapToGrid w:val="0"/>
                <w:lang w:eastAsia="en-US"/>
              </w:rPr>
              <w:t>Total Off-site Visitation</w:t>
            </w:r>
          </w:p>
        </w:tc>
        <w:tc>
          <w:tcPr>
            <w:tcW w:w="1453" w:type="dxa"/>
            <w:tcBorders>
              <w:top w:val="single" w:sz="4" w:space="0" w:color="808080"/>
            </w:tcBorders>
            <w:shd w:val="clear" w:color="auto" w:fill="BFBFBF" w:themeFill="background1" w:themeFillShade="BF"/>
          </w:tcPr>
          <w:p w14:paraId="2A165CBC" w14:textId="2A5B7041" w:rsidR="00BA2CA4" w:rsidRPr="00BA2CA4" w:rsidRDefault="00B67617" w:rsidP="00BA2CA4">
            <w:pPr>
              <w:jc w:val="right"/>
              <w:rPr>
                <w:b/>
                <w:snapToGrid w:val="0"/>
                <w:lang w:eastAsia="en-US"/>
              </w:rPr>
            </w:pPr>
            <w:r>
              <w:rPr>
                <w:b/>
                <w:snapToGrid w:val="0"/>
                <w:lang w:eastAsia="en-US"/>
              </w:rPr>
              <w:t>6,337,965</w:t>
            </w:r>
          </w:p>
        </w:tc>
        <w:tc>
          <w:tcPr>
            <w:tcW w:w="1453" w:type="dxa"/>
            <w:tcBorders>
              <w:top w:val="single" w:sz="4" w:space="0" w:color="808080"/>
            </w:tcBorders>
            <w:shd w:val="clear" w:color="000000" w:fill="E0E0E0"/>
          </w:tcPr>
          <w:p w14:paraId="36F07210" w14:textId="77777777" w:rsidR="00BA2CA4" w:rsidRPr="00BA2CA4" w:rsidRDefault="00BA2CA4" w:rsidP="00BA2CA4">
            <w:pPr>
              <w:jc w:val="right"/>
              <w:rPr>
                <w:b/>
                <w:snapToGrid w:val="0"/>
                <w:lang w:eastAsia="en-US"/>
              </w:rPr>
            </w:pPr>
            <w:r w:rsidRPr="00BA2CA4">
              <w:rPr>
                <w:b/>
                <w:snapToGrid w:val="0"/>
                <w:lang w:eastAsia="en-US"/>
              </w:rPr>
              <w:t>5,760,693</w:t>
            </w:r>
          </w:p>
        </w:tc>
        <w:tc>
          <w:tcPr>
            <w:tcW w:w="1453" w:type="dxa"/>
            <w:tcBorders>
              <w:top w:val="single" w:sz="4" w:space="0" w:color="808080"/>
            </w:tcBorders>
            <w:shd w:val="clear" w:color="000000" w:fill="E0E0E0"/>
          </w:tcPr>
          <w:p w14:paraId="41549A84" w14:textId="77777777" w:rsidR="00BA2CA4" w:rsidRPr="00BA2CA4" w:rsidRDefault="00BA2CA4" w:rsidP="00BA2CA4">
            <w:pPr>
              <w:jc w:val="right"/>
              <w:rPr>
                <w:rFonts w:cs="Arial"/>
                <w:b/>
                <w:snapToGrid w:val="0"/>
                <w:szCs w:val="22"/>
                <w:lang w:eastAsia="en-US"/>
              </w:rPr>
            </w:pPr>
            <w:r w:rsidRPr="00BA2CA4">
              <w:rPr>
                <w:b/>
                <w:snapToGrid w:val="0"/>
                <w:lang w:eastAsia="en-US"/>
              </w:rPr>
              <w:t>5,593,356</w:t>
            </w:r>
          </w:p>
        </w:tc>
        <w:tc>
          <w:tcPr>
            <w:tcW w:w="1453" w:type="dxa"/>
            <w:tcBorders>
              <w:top w:val="single" w:sz="4" w:space="0" w:color="808080"/>
            </w:tcBorders>
            <w:shd w:val="clear" w:color="000000" w:fill="E0E0E0"/>
          </w:tcPr>
          <w:p w14:paraId="65B89776" w14:textId="77777777" w:rsidR="00BA2CA4" w:rsidRPr="00BA2CA4" w:rsidRDefault="00BA2CA4" w:rsidP="00BA2CA4">
            <w:pPr>
              <w:jc w:val="right"/>
              <w:rPr>
                <w:rFonts w:cs="Arial"/>
                <w:b/>
                <w:snapToGrid w:val="0"/>
                <w:szCs w:val="22"/>
                <w:lang w:eastAsia="en-US"/>
              </w:rPr>
            </w:pPr>
            <w:r w:rsidRPr="00BA2CA4">
              <w:rPr>
                <w:rFonts w:cs="Arial"/>
                <w:b/>
                <w:snapToGrid w:val="0"/>
                <w:szCs w:val="22"/>
                <w:lang w:eastAsia="en-US"/>
              </w:rPr>
              <w:t>5,386,277</w:t>
            </w:r>
          </w:p>
        </w:tc>
        <w:tc>
          <w:tcPr>
            <w:tcW w:w="1453" w:type="dxa"/>
            <w:tcBorders>
              <w:top w:val="single" w:sz="4" w:space="0" w:color="808080"/>
            </w:tcBorders>
            <w:shd w:val="clear" w:color="000000" w:fill="E0E0E0"/>
          </w:tcPr>
          <w:p w14:paraId="75977E14" w14:textId="77777777" w:rsidR="00BA2CA4" w:rsidRPr="00BA2CA4" w:rsidRDefault="00BA2CA4" w:rsidP="00BA2CA4">
            <w:pPr>
              <w:jc w:val="right"/>
              <w:rPr>
                <w:b/>
                <w:snapToGrid w:val="0"/>
                <w:lang w:eastAsia="en-US"/>
              </w:rPr>
            </w:pPr>
            <w:r w:rsidRPr="00BA2CA4">
              <w:rPr>
                <w:rFonts w:cs="Arial"/>
                <w:b/>
                <w:snapToGrid w:val="0"/>
                <w:szCs w:val="22"/>
                <w:lang w:eastAsia="en-US"/>
              </w:rPr>
              <w:t>4,755,685</w:t>
            </w:r>
          </w:p>
        </w:tc>
      </w:tr>
      <w:tr w:rsidR="00BA2CA4" w:rsidRPr="00BA2CA4" w14:paraId="36755924" w14:textId="77777777" w:rsidTr="00BA2CA4">
        <w:tc>
          <w:tcPr>
            <w:tcW w:w="5495" w:type="dxa"/>
            <w:tcBorders>
              <w:bottom w:val="single" w:sz="4" w:space="0" w:color="808080"/>
            </w:tcBorders>
          </w:tcPr>
          <w:p w14:paraId="7C2B10A6" w14:textId="77777777" w:rsidR="00BA2CA4" w:rsidRPr="00BA2CA4" w:rsidRDefault="00BA2CA4" w:rsidP="00BA2CA4">
            <w:pPr>
              <w:rPr>
                <w:snapToGrid w:val="0"/>
                <w:lang w:eastAsia="en-US"/>
              </w:rPr>
            </w:pPr>
            <w:r w:rsidRPr="00BA2CA4">
              <w:rPr>
                <w:snapToGrid w:val="0"/>
                <w:lang w:eastAsia="en-US"/>
              </w:rPr>
              <w:t xml:space="preserve">Royal Exhibition Building </w:t>
            </w:r>
          </w:p>
        </w:tc>
        <w:tc>
          <w:tcPr>
            <w:tcW w:w="1453" w:type="dxa"/>
            <w:tcBorders>
              <w:top w:val="single" w:sz="4" w:space="0" w:color="808080"/>
            </w:tcBorders>
            <w:shd w:val="clear" w:color="auto" w:fill="BFBFBF" w:themeFill="background1" w:themeFillShade="BF"/>
          </w:tcPr>
          <w:p w14:paraId="1B2A9D41" w14:textId="1938FA74" w:rsidR="00BA2CA4" w:rsidRPr="00BA2CA4" w:rsidRDefault="00573C15" w:rsidP="00BA2CA4">
            <w:pPr>
              <w:jc w:val="right"/>
            </w:pPr>
            <w:r>
              <w:t>5</w:t>
            </w:r>
            <w:r w:rsidR="003F77AA">
              <w:t>41</w:t>
            </w:r>
            <w:r w:rsidR="00FD558C">
              <w:t>,</w:t>
            </w:r>
            <w:r>
              <w:t>404</w:t>
            </w:r>
          </w:p>
        </w:tc>
        <w:tc>
          <w:tcPr>
            <w:tcW w:w="1453" w:type="dxa"/>
            <w:tcBorders>
              <w:top w:val="single" w:sz="4" w:space="0" w:color="808080"/>
            </w:tcBorders>
            <w:shd w:val="clear" w:color="000000" w:fill="E0E0E0"/>
          </w:tcPr>
          <w:p w14:paraId="4CDF7E49" w14:textId="77777777" w:rsidR="00BA2CA4" w:rsidRPr="00BA2CA4" w:rsidRDefault="00BA2CA4" w:rsidP="00BA2CA4">
            <w:pPr>
              <w:jc w:val="right"/>
            </w:pPr>
            <w:r w:rsidRPr="00BA2CA4">
              <w:t>660,962</w:t>
            </w:r>
          </w:p>
        </w:tc>
        <w:tc>
          <w:tcPr>
            <w:tcW w:w="1453" w:type="dxa"/>
            <w:tcBorders>
              <w:top w:val="single" w:sz="4" w:space="0" w:color="808080"/>
            </w:tcBorders>
            <w:shd w:val="clear" w:color="000000" w:fill="E0E0E0"/>
          </w:tcPr>
          <w:p w14:paraId="34FC8EC9" w14:textId="77777777" w:rsidR="00BA2CA4" w:rsidRPr="00BA2CA4" w:rsidRDefault="00BA2CA4" w:rsidP="00BA2CA4">
            <w:pPr>
              <w:jc w:val="right"/>
              <w:rPr>
                <w:rFonts w:cs="Arial"/>
                <w:szCs w:val="22"/>
              </w:rPr>
            </w:pPr>
            <w:r w:rsidRPr="00BA2CA4">
              <w:t>646,982</w:t>
            </w:r>
          </w:p>
        </w:tc>
        <w:tc>
          <w:tcPr>
            <w:tcW w:w="1453" w:type="dxa"/>
            <w:tcBorders>
              <w:top w:val="single" w:sz="4" w:space="0" w:color="808080"/>
            </w:tcBorders>
            <w:shd w:val="clear" w:color="000000" w:fill="E0E0E0"/>
          </w:tcPr>
          <w:p w14:paraId="57FE8DCF" w14:textId="77777777" w:rsidR="00BA2CA4" w:rsidRPr="00BA2CA4" w:rsidRDefault="00BA2CA4" w:rsidP="00BA2CA4">
            <w:pPr>
              <w:jc w:val="right"/>
              <w:rPr>
                <w:rFonts w:cs="Arial"/>
                <w:szCs w:val="22"/>
              </w:rPr>
            </w:pPr>
            <w:r w:rsidRPr="00BA2CA4">
              <w:rPr>
                <w:rFonts w:cs="Arial"/>
                <w:szCs w:val="22"/>
              </w:rPr>
              <w:t>658,384</w:t>
            </w:r>
          </w:p>
        </w:tc>
        <w:tc>
          <w:tcPr>
            <w:tcW w:w="1453" w:type="dxa"/>
            <w:tcBorders>
              <w:top w:val="single" w:sz="4" w:space="0" w:color="808080"/>
            </w:tcBorders>
            <w:shd w:val="clear" w:color="000000" w:fill="E0E0E0"/>
          </w:tcPr>
          <w:p w14:paraId="5B932167" w14:textId="77777777" w:rsidR="00BA2CA4" w:rsidRPr="00BA2CA4" w:rsidRDefault="00BA2CA4" w:rsidP="00BA2CA4">
            <w:pPr>
              <w:jc w:val="right"/>
            </w:pPr>
            <w:r w:rsidRPr="00BA2CA4">
              <w:rPr>
                <w:rFonts w:cs="Arial"/>
                <w:color w:val="000000"/>
                <w:szCs w:val="22"/>
              </w:rPr>
              <w:t>487,976</w:t>
            </w:r>
          </w:p>
        </w:tc>
      </w:tr>
      <w:tr w:rsidR="00BA2CA4" w:rsidRPr="00BA2CA4" w14:paraId="18AB8772" w14:textId="77777777" w:rsidTr="00BA2CA4">
        <w:tc>
          <w:tcPr>
            <w:tcW w:w="5495" w:type="dxa"/>
            <w:tcBorders>
              <w:top w:val="single" w:sz="4" w:space="0" w:color="808080"/>
              <w:bottom w:val="single" w:sz="4" w:space="0" w:color="808080"/>
              <w:right w:val="nil"/>
            </w:tcBorders>
          </w:tcPr>
          <w:p w14:paraId="4EE9830F" w14:textId="77777777" w:rsidR="00BA2CA4" w:rsidRPr="00BA2CA4" w:rsidRDefault="00BA2CA4" w:rsidP="00BA2CA4">
            <w:pPr>
              <w:rPr>
                <w:b/>
                <w:snapToGrid w:val="0"/>
                <w:lang w:eastAsia="en-US"/>
              </w:rPr>
            </w:pPr>
            <w:r w:rsidRPr="00BA2CA4">
              <w:rPr>
                <w:b/>
                <w:snapToGrid w:val="0"/>
                <w:lang w:eastAsia="en-US"/>
              </w:rPr>
              <w:t>Total Visitation</w:t>
            </w:r>
          </w:p>
        </w:tc>
        <w:tc>
          <w:tcPr>
            <w:tcW w:w="1453" w:type="dxa"/>
            <w:tcBorders>
              <w:top w:val="single" w:sz="4" w:space="0" w:color="808080"/>
              <w:bottom w:val="single" w:sz="4" w:space="0" w:color="808080"/>
            </w:tcBorders>
            <w:shd w:val="clear" w:color="auto" w:fill="BFBFBF" w:themeFill="background1" w:themeFillShade="BF"/>
          </w:tcPr>
          <w:p w14:paraId="6F55AD24" w14:textId="1C6EA716" w:rsidR="00BA2CA4" w:rsidRPr="00BA2CA4" w:rsidRDefault="00F3527B" w:rsidP="00BA2CA4">
            <w:pPr>
              <w:jc w:val="right"/>
              <w:rPr>
                <w:b/>
                <w:snapToGrid w:val="0"/>
                <w:lang w:eastAsia="en-US"/>
              </w:rPr>
            </w:pPr>
            <w:r>
              <w:rPr>
                <w:b/>
                <w:snapToGrid w:val="0"/>
                <w:lang w:eastAsia="en-US"/>
              </w:rPr>
              <w:t>8,746,905</w:t>
            </w:r>
          </w:p>
        </w:tc>
        <w:tc>
          <w:tcPr>
            <w:tcW w:w="1453" w:type="dxa"/>
            <w:tcBorders>
              <w:top w:val="single" w:sz="4" w:space="0" w:color="808080"/>
              <w:bottom w:val="single" w:sz="4" w:space="0" w:color="808080"/>
            </w:tcBorders>
            <w:shd w:val="clear" w:color="000000" w:fill="E0E0E0"/>
          </w:tcPr>
          <w:p w14:paraId="44E01DFD" w14:textId="77777777" w:rsidR="00BA2CA4" w:rsidRPr="00BA2CA4" w:rsidRDefault="00BA2CA4" w:rsidP="00BA2CA4">
            <w:pPr>
              <w:jc w:val="right"/>
              <w:rPr>
                <w:b/>
                <w:snapToGrid w:val="0"/>
                <w:lang w:eastAsia="en-US"/>
              </w:rPr>
            </w:pPr>
            <w:r w:rsidRPr="00BA2CA4">
              <w:rPr>
                <w:b/>
                <w:snapToGrid w:val="0"/>
                <w:lang w:eastAsia="en-US"/>
              </w:rPr>
              <w:t>8,112,080</w:t>
            </w:r>
          </w:p>
        </w:tc>
        <w:tc>
          <w:tcPr>
            <w:tcW w:w="1453" w:type="dxa"/>
            <w:tcBorders>
              <w:top w:val="single" w:sz="4" w:space="0" w:color="808080"/>
              <w:bottom w:val="single" w:sz="4" w:space="0" w:color="808080"/>
            </w:tcBorders>
            <w:shd w:val="clear" w:color="000000" w:fill="E0E0E0"/>
          </w:tcPr>
          <w:p w14:paraId="64EB3991" w14:textId="77777777" w:rsidR="00BA2CA4" w:rsidRPr="00BA2CA4" w:rsidRDefault="00BA2CA4" w:rsidP="00BA2CA4">
            <w:pPr>
              <w:jc w:val="right"/>
              <w:rPr>
                <w:rFonts w:cs="Arial"/>
                <w:b/>
                <w:snapToGrid w:val="0"/>
                <w:szCs w:val="22"/>
                <w:lang w:eastAsia="en-US"/>
              </w:rPr>
            </w:pPr>
            <w:r w:rsidRPr="00BA2CA4">
              <w:rPr>
                <w:b/>
                <w:snapToGrid w:val="0"/>
                <w:lang w:eastAsia="en-US"/>
              </w:rPr>
              <w:t>8,074,634</w:t>
            </w:r>
          </w:p>
        </w:tc>
        <w:tc>
          <w:tcPr>
            <w:tcW w:w="1453" w:type="dxa"/>
            <w:tcBorders>
              <w:top w:val="single" w:sz="4" w:space="0" w:color="808080"/>
              <w:bottom w:val="single" w:sz="4" w:space="0" w:color="808080"/>
            </w:tcBorders>
            <w:shd w:val="clear" w:color="000000" w:fill="E0E0E0"/>
          </w:tcPr>
          <w:p w14:paraId="2F0C5488" w14:textId="77777777" w:rsidR="00BA2CA4" w:rsidRPr="00BA2CA4" w:rsidRDefault="00BA2CA4" w:rsidP="00BA2CA4">
            <w:pPr>
              <w:jc w:val="right"/>
              <w:rPr>
                <w:rFonts w:cs="Arial"/>
                <w:b/>
                <w:snapToGrid w:val="0"/>
                <w:szCs w:val="22"/>
                <w:lang w:eastAsia="en-US"/>
              </w:rPr>
            </w:pPr>
            <w:r w:rsidRPr="00BA2CA4">
              <w:rPr>
                <w:rFonts w:cs="Arial"/>
                <w:b/>
                <w:snapToGrid w:val="0"/>
                <w:szCs w:val="22"/>
                <w:lang w:eastAsia="en-US"/>
              </w:rPr>
              <w:t>7,701,324</w:t>
            </w:r>
          </w:p>
        </w:tc>
        <w:tc>
          <w:tcPr>
            <w:tcW w:w="1453" w:type="dxa"/>
            <w:tcBorders>
              <w:top w:val="single" w:sz="4" w:space="0" w:color="808080"/>
              <w:bottom w:val="single" w:sz="4" w:space="0" w:color="808080"/>
            </w:tcBorders>
            <w:shd w:val="clear" w:color="000000" w:fill="E0E0E0"/>
          </w:tcPr>
          <w:p w14:paraId="0713AB9E" w14:textId="77777777" w:rsidR="00BA2CA4" w:rsidRPr="00BA2CA4" w:rsidRDefault="00BA2CA4" w:rsidP="00BA2CA4">
            <w:pPr>
              <w:jc w:val="right"/>
              <w:rPr>
                <w:b/>
                <w:snapToGrid w:val="0"/>
                <w:lang w:eastAsia="en-US"/>
              </w:rPr>
            </w:pPr>
            <w:r w:rsidRPr="00BA2CA4">
              <w:rPr>
                <w:rFonts w:cs="Arial"/>
                <w:b/>
                <w:snapToGrid w:val="0"/>
                <w:szCs w:val="22"/>
                <w:lang w:eastAsia="en-US"/>
              </w:rPr>
              <w:t>7,210,509</w:t>
            </w:r>
          </w:p>
        </w:tc>
      </w:tr>
    </w:tbl>
    <w:p w14:paraId="0777D8FD" w14:textId="77777777" w:rsidR="00BA2CA4" w:rsidRPr="00BA2CA4" w:rsidRDefault="00BA2CA4" w:rsidP="00BA2CA4">
      <w:pPr>
        <w:rPr>
          <w:rFonts w:cs="Arial"/>
          <w:sz w:val="16"/>
          <w:szCs w:val="16"/>
        </w:rPr>
      </w:pPr>
    </w:p>
    <w:p w14:paraId="1BCC1AB5" w14:textId="77777777" w:rsidR="00BA2CA4" w:rsidRPr="00BA2CA4" w:rsidRDefault="00BA2CA4" w:rsidP="00BA2CA4">
      <w:pPr>
        <w:rPr>
          <w:rFonts w:cs="Arial"/>
          <w:szCs w:val="22"/>
        </w:rPr>
      </w:pPr>
      <w:r w:rsidRPr="00BA2CA4">
        <w:rPr>
          <w:rFonts w:cs="Arial"/>
          <w:szCs w:val="22"/>
        </w:rPr>
        <w:t>Notes:</w:t>
      </w:r>
    </w:p>
    <w:p w14:paraId="3AEED453" w14:textId="77777777" w:rsidR="004E7764" w:rsidRDefault="004E7764" w:rsidP="004E7764">
      <w:pPr>
        <w:pStyle w:val="Default"/>
        <w:rPr>
          <w:rFonts w:ascii="Arial" w:hAnsi="Arial" w:cs="Arial"/>
          <w:sz w:val="22"/>
          <w:szCs w:val="22"/>
        </w:rPr>
      </w:pPr>
      <w:r>
        <w:rPr>
          <w:rFonts w:ascii="Arial" w:hAnsi="Arial" w:cs="Arial"/>
          <w:sz w:val="22"/>
          <w:szCs w:val="22"/>
        </w:rPr>
        <w:t xml:space="preserve">Melbourne Museum’s visitation is significantly influenced by the popularity of international touring hall exhibitions. Spikes in visitation over the last five years have been driven by </w:t>
      </w:r>
      <w:r>
        <w:rPr>
          <w:rFonts w:ascii="Arial" w:hAnsi="Arial" w:cs="Arial"/>
          <w:i/>
          <w:iCs/>
          <w:sz w:val="22"/>
          <w:szCs w:val="22"/>
        </w:rPr>
        <w:t xml:space="preserve">Tutankhamun and the Golden Age of the Pharaohs </w:t>
      </w:r>
      <w:r>
        <w:rPr>
          <w:rFonts w:ascii="Arial" w:hAnsi="Arial" w:cs="Arial"/>
          <w:sz w:val="22"/>
          <w:szCs w:val="22"/>
        </w:rPr>
        <w:t xml:space="preserve">(2011–12), </w:t>
      </w:r>
      <w:r>
        <w:rPr>
          <w:rFonts w:ascii="Arial" w:hAnsi="Arial" w:cs="Arial"/>
          <w:i/>
          <w:iCs/>
          <w:sz w:val="22"/>
          <w:szCs w:val="22"/>
        </w:rPr>
        <w:t>Designing 00</w:t>
      </w:r>
      <w:r w:rsidRPr="0092253A">
        <w:rPr>
          <w:rFonts w:ascii="Arial" w:hAnsi="Arial" w:cs="Arial"/>
          <w:i/>
          <w:iCs/>
          <w:color w:val="000000" w:themeColor="text1"/>
          <w:sz w:val="22"/>
          <w:szCs w:val="22"/>
        </w:rPr>
        <w:t>7</w:t>
      </w:r>
      <w:r w:rsidRPr="0092253A">
        <w:rPr>
          <w:rFonts w:ascii="Arial" w:hAnsi="Arial" w:cs="Arial"/>
          <w:i/>
          <w:color w:val="000000" w:themeColor="text1"/>
          <w:sz w:val="22"/>
          <w:szCs w:val="22"/>
        </w:rPr>
        <w:t xml:space="preserve">: Fifty Years of Bond Style </w:t>
      </w:r>
      <w:r w:rsidRPr="0092253A">
        <w:rPr>
          <w:rFonts w:ascii="Arial" w:hAnsi="Arial" w:cs="Arial"/>
          <w:color w:val="000000" w:themeColor="text1"/>
          <w:sz w:val="22"/>
          <w:szCs w:val="22"/>
        </w:rPr>
        <w:t xml:space="preserve">(2013–14) and </w:t>
      </w:r>
      <w:r w:rsidRPr="0092253A">
        <w:rPr>
          <w:rFonts w:ascii="Arial" w:hAnsi="Arial" w:cs="Arial"/>
          <w:i/>
          <w:iCs/>
          <w:color w:val="000000" w:themeColor="text1"/>
          <w:sz w:val="22"/>
          <w:szCs w:val="22"/>
        </w:rPr>
        <w:t>Jurassic World</w:t>
      </w:r>
      <w:r w:rsidRPr="0092253A">
        <w:rPr>
          <w:rFonts w:ascii="Arial" w:hAnsi="Arial" w:cs="Arial"/>
          <w:i/>
          <w:color w:val="000000" w:themeColor="text1"/>
          <w:sz w:val="22"/>
          <w:szCs w:val="22"/>
        </w:rPr>
        <w:t xml:space="preserve">: The Exhibition </w:t>
      </w:r>
      <w:r>
        <w:rPr>
          <w:rFonts w:ascii="Arial" w:hAnsi="Arial" w:cs="Arial"/>
          <w:sz w:val="22"/>
          <w:szCs w:val="22"/>
        </w:rPr>
        <w:t>(2015–16).</w:t>
      </w:r>
    </w:p>
    <w:p w14:paraId="764CB172" w14:textId="77777777" w:rsidR="004E7764" w:rsidRDefault="004E7764" w:rsidP="004E7764">
      <w:pPr>
        <w:rPr>
          <w:rFonts w:cs="Arial"/>
          <w:szCs w:val="22"/>
        </w:rPr>
      </w:pPr>
      <w:r w:rsidRPr="00BA2CA4">
        <w:rPr>
          <w:rFonts w:cs="Arial"/>
          <w:szCs w:val="22"/>
        </w:rPr>
        <w:t xml:space="preserve"> </w:t>
      </w:r>
    </w:p>
    <w:p w14:paraId="2D0D669B" w14:textId="77405653" w:rsidR="00204A35" w:rsidRDefault="00BA2CA4" w:rsidP="004E7764">
      <w:pPr>
        <w:rPr>
          <w:rFonts w:ascii="Calibri" w:hAnsi="Calibri"/>
          <w:szCs w:val="22"/>
        </w:rPr>
      </w:pPr>
      <w:r w:rsidRPr="00BA2CA4">
        <w:rPr>
          <w:rFonts w:cs="Arial"/>
          <w:szCs w:val="22"/>
        </w:rPr>
        <w:t xml:space="preserve">The Outreach Program figure includes participation in </w:t>
      </w:r>
      <w:r w:rsidR="001858B1">
        <w:rPr>
          <w:rFonts w:cs="Arial"/>
          <w:szCs w:val="22"/>
        </w:rPr>
        <w:t>the p</w:t>
      </w:r>
      <w:r w:rsidRPr="00BA2CA4">
        <w:rPr>
          <w:rFonts w:cs="Arial"/>
          <w:szCs w:val="22"/>
        </w:rPr>
        <w:t>rogram</w:t>
      </w:r>
      <w:r w:rsidR="001858B1">
        <w:rPr>
          <w:rFonts w:cs="Arial"/>
          <w:szCs w:val="22"/>
        </w:rPr>
        <w:t>’s</w:t>
      </w:r>
      <w:r w:rsidRPr="00BA2CA4">
        <w:rPr>
          <w:rFonts w:cs="Arial"/>
          <w:szCs w:val="22"/>
        </w:rPr>
        <w:t xml:space="preserve"> activities and attendances at Fede</w:t>
      </w:r>
      <w:r w:rsidR="00C1142C">
        <w:rPr>
          <w:rFonts w:cs="Arial"/>
          <w:szCs w:val="22"/>
        </w:rPr>
        <w:t>ration Bells performances</w:t>
      </w:r>
      <w:r w:rsidR="001858B1">
        <w:rPr>
          <w:rFonts w:cs="Arial"/>
          <w:szCs w:val="22"/>
        </w:rPr>
        <w:t>.</w:t>
      </w:r>
      <w:r w:rsidR="00204A35">
        <w:t xml:space="preserve"> Strong results in 2015–16 are attributed to performances held at the Queensland Art Gallery &amp; Gallery of Modern Art, which attracted more than 300,000 attendees.</w:t>
      </w:r>
    </w:p>
    <w:p w14:paraId="135275CA" w14:textId="77777777" w:rsidR="00C80C6C" w:rsidRDefault="00C80C6C" w:rsidP="00BA2CA4">
      <w:pPr>
        <w:rPr>
          <w:rFonts w:cs="Arial"/>
          <w:szCs w:val="22"/>
        </w:rPr>
      </w:pPr>
    </w:p>
    <w:p w14:paraId="5FFF0730" w14:textId="77777777" w:rsidR="00C81418" w:rsidRDefault="00C81418" w:rsidP="00C81418">
      <w:pPr>
        <w:rPr>
          <w:rFonts w:cs="Arial"/>
          <w:szCs w:val="22"/>
        </w:rPr>
      </w:pPr>
      <w:r>
        <w:rPr>
          <w:rFonts w:cs="Arial"/>
          <w:szCs w:val="22"/>
        </w:rPr>
        <w:t>Attendance at events at the Royal Exhibition Building was down compared to 2014–15 as a result of lower attendance at the Melbourne International Flower and Garden Show and f</w:t>
      </w:r>
      <w:r w:rsidRPr="003F77AA">
        <w:rPr>
          <w:rFonts w:cs="Arial"/>
          <w:szCs w:val="22"/>
        </w:rPr>
        <w:t>ewer events</w:t>
      </w:r>
      <w:r>
        <w:rPr>
          <w:rFonts w:cs="Arial"/>
          <w:szCs w:val="22"/>
        </w:rPr>
        <w:t xml:space="preserve"> overall</w:t>
      </w:r>
      <w:r w:rsidRPr="003F77AA">
        <w:rPr>
          <w:rFonts w:cs="Arial"/>
          <w:szCs w:val="22"/>
        </w:rPr>
        <w:t xml:space="preserve">, </w:t>
      </w:r>
      <w:r>
        <w:rPr>
          <w:rFonts w:cs="Arial"/>
          <w:szCs w:val="22"/>
        </w:rPr>
        <w:t>due to the late c</w:t>
      </w:r>
      <w:r w:rsidRPr="003F77AA">
        <w:rPr>
          <w:rFonts w:cs="Arial"/>
          <w:szCs w:val="22"/>
        </w:rPr>
        <w:t xml:space="preserve">ancellation </w:t>
      </w:r>
      <w:r>
        <w:rPr>
          <w:rFonts w:cs="Arial"/>
          <w:szCs w:val="22"/>
        </w:rPr>
        <w:t xml:space="preserve">of some </w:t>
      </w:r>
      <w:r w:rsidRPr="003F77AA">
        <w:rPr>
          <w:rFonts w:cs="Arial"/>
          <w:szCs w:val="22"/>
        </w:rPr>
        <w:t>new events</w:t>
      </w:r>
      <w:r>
        <w:rPr>
          <w:rFonts w:cs="Arial"/>
          <w:szCs w:val="22"/>
        </w:rPr>
        <w:t xml:space="preserve">. </w:t>
      </w:r>
    </w:p>
    <w:p w14:paraId="02C725FE" w14:textId="5DB9915E" w:rsidR="00DD7596" w:rsidRDefault="00DD7596">
      <w:pPr>
        <w:spacing w:after="200" w:line="276" w:lineRule="auto"/>
        <w:rPr>
          <w:rFonts w:cs="Arial"/>
          <w:szCs w:val="22"/>
        </w:rPr>
      </w:pPr>
      <w:r>
        <w:rPr>
          <w:rFonts w:cs="Arial"/>
          <w:szCs w:val="22"/>
        </w:rPr>
        <w:br w:type="page"/>
      </w:r>
    </w:p>
    <w:p w14:paraId="330AB50A" w14:textId="77777777" w:rsidR="00165A1A" w:rsidRPr="00BA2CA4" w:rsidRDefault="00165A1A" w:rsidP="00BA2CA4">
      <w:pPr>
        <w:rPr>
          <w:rFonts w:cs="Arial"/>
          <w:szCs w:val="22"/>
        </w:rPr>
      </w:pPr>
    </w:p>
    <w:p w14:paraId="4E3FCCD7" w14:textId="77777777" w:rsidR="00BA2CA4" w:rsidRPr="000720D0" w:rsidRDefault="00BA2CA4" w:rsidP="00A00892">
      <w:pPr>
        <w:pStyle w:val="Heading3"/>
      </w:pPr>
      <w:r w:rsidRPr="000720D0">
        <w:t xml:space="preserve">Environmental Performance </w:t>
      </w:r>
    </w:p>
    <w:tbl>
      <w:tblPr>
        <w:tblW w:w="12760" w:type="dxa"/>
        <w:tblBorders>
          <w:bottom w:val="single" w:sz="4" w:space="0" w:color="808080"/>
          <w:insideH w:val="single" w:sz="4" w:space="0" w:color="808080"/>
        </w:tblBorders>
        <w:tblLayout w:type="fixed"/>
        <w:tblLook w:val="0000" w:firstRow="0" w:lastRow="0" w:firstColumn="0" w:lastColumn="0" w:noHBand="0" w:noVBand="0"/>
        <w:tblCaption w:val="Environmental Performance"/>
        <w:tblDescription w:val="Table shows Environmental Performance results for 2013–13 and previous 4 financial years."/>
      </w:tblPr>
      <w:tblGrid>
        <w:gridCol w:w="5495"/>
        <w:gridCol w:w="1453"/>
        <w:gridCol w:w="1453"/>
        <w:gridCol w:w="1453"/>
        <w:gridCol w:w="1453"/>
        <w:gridCol w:w="1453"/>
      </w:tblGrid>
      <w:tr w:rsidR="00BA2CA4" w:rsidRPr="00BA2CA4" w14:paraId="2BD50150" w14:textId="77777777" w:rsidTr="00BA2CA4">
        <w:tc>
          <w:tcPr>
            <w:tcW w:w="5495" w:type="dxa"/>
          </w:tcPr>
          <w:p w14:paraId="00A23CF0" w14:textId="77777777" w:rsidR="00BA2CA4" w:rsidRPr="00BA2CA4" w:rsidRDefault="00BA2CA4" w:rsidP="00BA2CA4">
            <w:pPr>
              <w:keepNext/>
              <w:jc w:val="right"/>
              <w:outlineLvl w:val="3"/>
            </w:pPr>
          </w:p>
        </w:tc>
        <w:tc>
          <w:tcPr>
            <w:tcW w:w="1453" w:type="dxa"/>
            <w:shd w:val="clear" w:color="auto" w:fill="BFBFBF" w:themeFill="background1" w:themeFillShade="BF"/>
          </w:tcPr>
          <w:p w14:paraId="6B08631B" w14:textId="2FB702D7" w:rsidR="00BA2CA4" w:rsidRPr="00BA2CA4" w:rsidRDefault="00BA2CA4" w:rsidP="00BA2CA4">
            <w:pPr>
              <w:jc w:val="right"/>
              <w:rPr>
                <w:b/>
              </w:rPr>
            </w:pPr>
            <w:r w:rsidRPr="00BA2CA4">
              <w:rPr>
                <w:b/>
              </w:rPr>
              <w:t>2015</w:t>
            </w:r>
            <w:r w:rsidR="00944749">
              <w:rPr>
                <w:rFonts w:cs="Arial"/>
                <w:b/>
              </w:rPr>
              <w:t>–</w:t>
            </w:r>
            <w:r w:rsidRPr="00BA2CA4">
              <w:rPr>
                <w:b/>
              </w:rPr>
              <w:t>16</w:t>
            </w:r>
          </w:p>
        </w:tc>
        <w:tc>
          <w:tcPr>
            <w:tcW w:w="1453" w:type="dxa"/>
            <w:shd w:val="clear" w:color="000000" w:fill="E0E0E0"/>
          </w:tcPr>
          <w:p w14:paraId="3BCEEB2F" w14:textId="77777777" w:rsidR="00BA2CA4" w:rsidRPr="00BA2CA4" w:rsidRDefault="00BA2CA4" w:rsidP="00BA2CA4">
            <w:pPr>
              <w:jc w:val="right"/>
              <w:rPr>
                <w:b/>
              </w:rPr>
            </w:pPr>
            <w:r w:rsidRPr="00BA2CA4">
              <w:rPr>
                <w:b/>
              </w:rPr>
              <w:t>2014–15</w:t>
            </w:r>
          </w:p>
        </w:tc>
        <w:tc>
          <w:tcPr>
            <w:tcW w:w="1453" w:type="dxa"/>
            <w:shd w:val="clear" w:color="000000" w:fill="E0E0E0"/>
          </w:tcPr>
          <w:p w14:paraId="0C215081" w14:textId="77777777" w:rsidR="00BA2CA4" w:rsidRPr="00BA2CA4" w:rsidRDefault="00BA2CA4" w:rsidP="00BA2CA4">
            <w:pPr>
              <w:jc w:val="right"/>
              <w:rPr>
                <w:b/>
              </w:rPr>
            </w:pPr>
            <w:r w:rsidRPr="00BA2CA4">
              <w:rPr>
                <w:b/>
              </w:rPr>
              <w:t>2013–14</w:t>
            </w:r>
          </w:p>
        </w:tc>
        <w:tc>
          <w:tcPr>
            <w:tcW w:w="1453" w:type="dxa"/>
            <w:shd w:val="clear" w:color="000000" w:fill="E0E0E0"/>
          </w:tcPr>
          <w:p w14:paraId="751A23F3" w14:textId="77777777" w:rsidR="00BA2CA4" w:rsidRPr="00BA2CA4" w:rsidRDefault="00BA2CA4" w:rsidP="00BA2CA4">
            <w:pPr>
              <w:jc w:val="right"/>
              <w:rPr>
                <w:b/>
              </w:rPr>
            </w:pPr>
            <w:r w:rsidRPr="00BA2CA4">
              <w:rPr>
                <w:b/>
              </w:rPr>
              <w:t>2012–13</w:t>
            </w:r>
          </w:p>
        </w:tc>
        <w:tc>
          <w:tcPr>
            <w:tcW w:w="1453" w:type="dxa"/>
            <w:shd w:val="clear" w:color="000000" w:fill="E0E0E0"/>
          </w:tcPr>
          <w:p w14:paraId="06E21F3C" w14:textId="77777777" w:rsidR="00BA2CA4" w:rsidRPr="00BA2CA4" w:rsidRDefault="00BA2CA4" w:rsidP="00BA2CA4">
            <w:pPr>
              <w:jc w:val="right"/>
              <w:rPr>
                <w:b/>
              </w:rPr>
            </w:pPr>
            <w:r w:rsidRPr="00BA2CA4">
              <w:rPr>
                <w:b/>
              </w:rPr>
              <w:t>2011–12</w:t>
            </w:r>
          </w:p>
        </w:tc>
      </w:tr>
      <w:tr w:rsidR="00BA2CA4" w:rsidRPr="00BA2CA4" w14:paraId="75B7C3A8" w14:textId="77777777" w:rsidTr="00BA2CA4">
        <w:tc>
          <w:tcPr>
            <w:tcW w:w="5495" w:type="dxa"/>
          </w:tcPr>
          <w:p w14:paraId="25A01C9A" w14:textId="77777777" w:rsidR="00BA2CA4" w:rsidRPr="003F6CE1" w:rsidRDefault="00BA2CA4" w:rsidP="00BA2CA4">
            <w:pPr>
              <w:rPr>
                <w:b/>
                <w:snapToGrid w:val="0"/>
                <w:lang w:eastAsia="en-US"/>
              </w:rPr>
            </w:pPr>
            <w:r w:rsidRPr="003F6CE1">
              <w:rPr>
                <w:b/>
                <w:snapToGrid w:val="0"/>
                <w:lang w:eastAsia="en-US"/>
              </w:rPr>
              <w:t>Energy</w:t>
            </w:r>
          </w:p>
        </w:tc>
        <w:tc>
          <w:tcPr>
            <w:tcW w:w="1453" w:type="dxa"/>
            <w:shd w:val="clear" w:color="auto" w:fill="BFBFBF" w:themeFill="background1" w:themeFillShade="BF"/>
          </w:tcPr>
          <w:p w14:paraId="0A75FED0" w14:textId="77777777" w:rsidR="00BA2CA4" w:rsidRPr="00BA2CA4" w:rsidRDefault="00BA2CA4" w:rsidP="00BA2CA4">
            <w:pPr>
              <w:jc w:val="right"/>
              <w:rPr>
                <w:b/>
                <w:snapToGrid w:val="0"/>
                <w:lang w:eastAsia="en-US"/>
              </w:rPr>
            </w:pPr>
          </w:p>
        </w:tc>
        <w:tc>
          <w:tcPr>
            <w:tcW w:w="1453" w:type="dxa"/>
            <w:shd w:val="clear" w:color="000000" w:fill="E0E0E0"/>
          </w:tcPr>
          <w:p w14:paraId="6BBD343F" w14:textId="77777777" w:rsidR="00BA2CA4" w:rsidRPr="00BA2CA4" w:rsidRDefault="00BA2CA4" w:rsidP="00BA2CA4">
            <w:pPr>
              <w:jc w:val="right"/>
              <w:rPr>
                <w:b/>
                <w:snapToGrid w:val="0"/>
                <w:lang w:eastAsia="en-US"/>
              </w:rPr>
            </w:pPr>
          </w:p>
        </w:tc>
        <w:tc>
          <w:tcPr>
            <w:tcW w:w="1453" w:type="dxa"/>
            <w:shd w:val="clear" w:color="000000" w:fill="E0E0E0"/>
          </w:tcPr>
          <w:p w14:paraId="548A480D" w14:textId="77777777" w:rsidR="00BA2CA4" w:rsidRPr="00BA2CA4" w:rsidRDefault="00BA2CA4" w:rsidP="00BA2CA4">
            <w:pPr>
              <w:jc w:val="right"/>
              <w:rPr>
                <w:b/>
                <w:snapToGrid w:val="0"/>
                <w:lang w:eastAsia="en-US"/>
              </w:rPr>
            </w:pPr>
          </w:p>
        </w:tc>
        <w:tc>
          <w:tcPr>
            <w:tcW w:w="1453" w:type="dxa"/>
            <w:shd w:val="clear" w:color="000000" w:fill="E0E0E0"/>
          </w:tcPr>
          <w:p w14:paraId="57FAFB9B" w14:textId="77777777" w:rsidR="00BA2CA4" w:rsidRPr="00BA2CA4" w:rsidRDefault="00BA2CA4" w:rsidP="00BA2CA4">
            <w:pPr>
              <w:jc w:val="right"/>
              <w:rPr>
                <w:b/>
                <w:snapToGrid w:val="0"/>
                <w:lang w:eastAsia="en-US"/>
              </w:rPr>
            </w:pPr>
          </w:p>
        </w:tc>
        <w:tc>
          <w:tcPr>
            <w:tcW w:w="1453" w:type="dxa"/>
            <w:shd w:val="clear" w:color="000000" w:fill="E0E0E0"/>
          </w:tcPr>
          <w:p w14:paraId="52933DD4" w14:textId="77777777" w:rsidR="00BA2CA4" w:rsidRPr="00BA2CA4" w:rsidRDefault="00BA2CA4" w:rsidP="00BA2CA4">
            <w:pPr>
              <w:jc w:val="right"/>
              <w:rPr>
                <w:b/>
                <w:snapToGrid w:val="0"/>
                <w:lang w:eastAsia="en-US"/>
              </w:rPr>
            </w:pPr>
          </w:p>
        </w:tc>
      </w:tr>
      <w:tr w:rsidR="00BA2CA4" w:rsidRPr="00BA2CA4" w14:paraId="4CD54361" w14:textId="77777777" w:rsidTr="00BA2CA4">
        <w:tc>
          <w:tcPr>
            <w:tcW w:w="5495" w:type="dxa"/>
            <w:vAlign w:val="bottom"/>
          </w:tcPr>
          <w:p w14:paraId="25D9F57A" w14:textId="77777777" w:rsidR="00BA2CA4" w:rsidRPr="003F6CE1" w:rsidRDefault="00BA2CA4" w:rsidP="00BA2CA4">
            <w:r w:rsidRPr="003F6CE1">
              <w:t>Total Energy Consumption (gigajoules)</w:t>
            </w:r>
          </w:p>
        </w:tc>
        <w:tc>
          <w:tcPr>
            <w:tcW w:w="1453" w:type="dxa"/>
            <w:shd w:val="clear" w:color="auto" w:fill="BFBFBF" w:themeFill="background1" w:themeFillShade="BF"/>
          </w:tcPr>
          <w:p w14:paraId="35AAFD19" w14:textId="1CF45107" w:rsidR="00BA2CA4" w:rsidRPr="00BA2CA4" w:rsidRDefault="004A1342" w:rsidP="00BA2CA4">
            <w:pPr>
              <w:jc w:val="right"/>
            </w:pPr>
            <w:r>
              <w:t>130,181</w:t>
            </w:r>
          </w:p>
        </w:tc>
        <w:tc>
          <w:tcPr>
            <w:tcW w:w="1453" w:type="dxa"/>
            <w:shd w:val="clear" w:color="000000" w:fill="E0E0E0"/>
          </w:tcPr>
          <w:p w14:paraId="7BBC6F43" w14:textId="77777777" w:rsidR="00BA2CA4" w:rsidRPr="00BA2CA4" w:rsidRDefault="00BA2CA4" w:rsidP="00BA2CA4">
            <w:pPr>
              <w:jc w:val="right"/>
            </w:pPr>
            <w:r w:rsidRPr="00BA2CA4">
              <w:t>151,747</w:t>
            </w:r>
          </w:p>
        </w:tc>
        <w:tc>
          <w:tcPr>
            <w:tcW w:w="1453" w:type="dxa"/>
            <w:shd w:val="clear" w:color="000000" w:fill="E0E0E0"/>
          </w:tcPr>
          <w:p w14:paraId="07054C9D" w14:textId="77777777" w:rsidR="00BA2CA4" w:rsidRPr="00BA2CA4" w:rsidRDefault="00BA2CA4" w:rsidP="00BA2CA4">
            <w:pPr>
              <w:jc w:val="right"/>
              <w:rPr>
                <w:rFonts w:cs="Arial"/>
                <w:szCs w:val="22"/>
              </w:rPr>
            </w:pPr>
            <w:r w:rsidRPr="00BA2CA4">
              <w:t>141,774</w:t>
            </w:r>
          </w:p>
        </w:tc>
        <w:tc>
          <w:tcPr>
            <w:tcW w:w="1453" w:type="dxa"/>
            <w:shd w:val="clear" w:color="000000" w:fill="E0E0E0"/>
          </w:tcPr>
          <w:p w14:paraId="7158CC78" w14:textId="77777777" w:rsidR="00BA2CA4" w:rsidRPr="00BA2CA4" w:rsidRDefault="00BA2CA4" w:rsidP="00BA2CA4">
            <w:pPr>
              <w:jc w:val="right"/>
              <w:rPr>
                <w:rFonts w:cs="Arial"/>
                <w:szCs w:val="22"/>
              </w:rPr>
            </w:pPr>
            <w:r w:rsidRPr="00BA2CA4">
              <w:rPr>
                <w:rFonts w:cs="Arial"/>
                <w:szCs w:val="22"/>
              </w:rPr>
              <w:t>133,593</w:t>
            </w:r>
          </w:p>
        </w:tc>
        <w:tc>
          <w:tcPr>
            <w:tcW w:w="1453" w:type="dxa"/>
            <w:shd w:val="clear" w:color="000000" w:fill="E0E0E0"/>
          </w:tcPr>
          <w:p w14:paraId="76A90297" w14:textId="77777777" w:rsidR="00BA2CA4" w:rsidRPr="00BA2CA4" w:rsidRDefault="00BA2CA4" w:rsidP="00BA2CA4">
            <w:pPr>
              <w:jc w:val="right"/>
            </w:pPr>
            <w:r w:rsidRPr="00BA2CA4">
              <w:rPr>
                <w:rFonts w:cs="Arial"/>
                <w:szCs w:val="22"/>
              </w:rPr>
              <w:t>142,372</w:t>
            </w:r>
          </w:p>
        </w:tc>
      </w:tr>
      <w:tr w:rsidR="00BA2CA4" w:rsidRPr="00BA2CA4" w14:paraId="40C59317" w14:textId="77777777" w:rsidTr="00BA2CA4">
        <w:tc>
          <w:tcPr>
            <w:tcW w:w="5495" w:type="dxa"/>
            <w:vAlign w:val="bottom"/>
          </w:tcPr>
          <w:p w14:paraId="2C86C911" w14:textId="1BF1DE9D" w:rsidR="00BA2CA4" w:rsidRPr="003F6CE1" w:rsidRDefault="00BA2CA4" w:rsidP="00BA2CA4">
            <w:r w:rsidRPr="003F6CE1">
              <w:t xml:space="preserve">Greenhouse </w:t>
            </w:r>
            <w:r w:rsidR="0020116B" w:rsidRPr="003F6CE1">
              <w:t>E</w:t>
            </w:r>
            <w:r w:rsidRPr="003F6CE1">
              <w:t xml:space="preserve">missions </w:t>
            </w:r>
            <w:r w:rsidR="0020116B" w:rsidRPr="003F6CE1">
              <w:t>A</w:t>
            </w:r>
            <w:r w:rsidRPr="003F6CE1">
              <w:t xml:space="preserve">ssociated with </w:t>
            </w:r>
            <w:r w:rsidR="0020116B" w:rsidRPr="003F6CE1">
              <w:t>E</w:t>
            </w:r>
            <w:r w:rsidRPr="003F6CE1">
              <w:t xml:space="preserve">nergy </w:t>
            </w:r>
            <w:r w:rsidR="0020116B" w:rsidRPr="003F6CE1">
              <w:t>U</w:t>
            </w:r>
            <w:r w:rsidRPr="003F6CE1">
              <w:t>se (tonnes — CO</w:t>
            </w:r>
            <w:r w:rsidRPr="003F6CE1">
              <w:rPr>
                <w:vertAlign w:val="subscript"/>
              </w:rPr>
              <w:t>2</w:t>
            </w:r>
            <w:r w:rsidRPr="003F6CE1">
              <w:t>)</w:t>
            </w:r>
          </w:p>
        </w:tc>
        <w:tc>
          <w:tcPr>
            <w:tcW w:w="1453" w:type="dxa"/>
            <w:shd w:val="clear" w:color="auto" w:fill="BFBFBF" w:themeFill="background1" w:themeFillShade="BF"/>
          </w:tcPr>
          <w:p w14:paraId="12FCC980" w14:textId="77777777" w:rsidR="004A1342" w:rsidRDefault="004A1342" w:rsidP="00BA2CA4">
            <w:pPr>
              <w:jc w:val="right"/>
            </w:pPr>
          </w:p>
          <w:p w14:paraId="49DC4912" w14:textId="1CC5A140" w:rsidR="00BA2CA4" w:rsidRPr="00BA2CA4" w:rsidRDefault="004A1342" w:rsidP="00BA2CA4">
            <w:pPr>
              <w:jc w:val="right"/>
            </w:pPr>
            <w:r>
              <w:t>21,698</w:t>
            </w:r>
          </w:p>
        </w:tc>
        <w:tc>
          <w:tcPr>
            <w:tcW w:w="1453" w:type="dxa"/>
            <w:shd w:val="clear" w:color="000000" w:fill="E0E0E0"/>
            <w:vAlign w:val="bottom"/>
          </w:tcPr>
          <w:p w14:paraId="22EC24B6" w14:textId="77777777" w:rsidR="00BA2CA4" w:rsidRPr="00BA2CA4" w:rsidRDefault="00BA2CA4" w:rsidP="00BA2CA4">
            <w:pPr>
              <w:jc w:val="right"/>
            </w:pPr>
            <w:r w:rsidRPr="00BA2CA4">
              <w:t>25,107</w:t>
            </w:r>
          </w:p>
        </w:tc>
        <w:tc>
          <w:tcPr>
            <w:tcW w:w="1453" w:type="dxa"/>
            <w:shd w:val="clear" w:color="000000" w:fill="E0E0E0"/>
            <w:vAlign w:val="bottom"/>
          </w:tcPr>
          <w:p w14:paraId="5849268B" w14:textId="77777777" w:rsidR="00BA2CA4" w:rsidRPr="00BA2CA4" w:rsidRDefault="00BA2CA4" w:rsidP="00BA2CA4">
            <w:pPr>
              <w:jc w:val="right"/>
              <w:rPr>
                <w:rFonts w:cs="Arial"/>
                <w:szCs w:val="22"/>
              </w:rPr>
            </w:pPr>
            <w:r w:rsidRPr="00BA2CA4">
              <w:t>21,167</w:t>
            </w:r>
          </w:p>
        </w:tc>
        <w:tc>
          <w:tcPr>
            <w:tcW w:w="1453" w:type="dxa"/>
            <w:shd w:val="clear" w:color="000000" w:fill="E0E0E0"/>
            <w:vAlign w:val="bottom"/>
          </w:tcPr>
          <w:p w14:paraId="095886D4" w14:textId="77777777" w:rsidR="00BA2CA4" w:rsidRPr="00BA2CA4" w:rsidRDefault="00BA2CA4" w:rsidP="00BA2CA4">
            <w:pPr>
              <w:jc w:val="right"/>
              <w:rPr>
                <w:rFonts w:cs="Arial"/>
                <w:szCs w:val="22"/>
              </w:rPr>
            </w:pPr>
            <w:r w:rsidRPr="00BA2CA4">
              <w:rPr>
                <w:rFonts w:cs="Arial"/>
                <w:szCs w:val="22"/>
              </w:rPr>
              <w:t>20,784</w:t>
            </w:r>
          </w:p>
        </w:tc>
        <w:tc>
          <w:tcPr>
            <w:tcW w:w="1453" w:type="dxa"/>
            <w:shd w:val="clear" w:color="000000" w:fill="E0E0E0"/>
            <w:vAlign w:val="bottom"/>
          </w:tcPr>
          <w:p w14:paraId="24392ECF" w14:textId="77777777" w:rsidR="00BA2CA4" w:rsidRPr="00BA2CA4" w:rsidRDefault="00BA2CA4" w:rsidP="00BA2CA4">
            <w:pPr>
              <w:jc w:val="right"/>
            </w:pPr>
            <w:r w:rsidRPr="00BA2CA4">
              <w:rPr>
                <w:rFonts w:cs="Arial"/>
                <w:szCs w:val="22"/>
              </w:rPr>
              <w:t>21,582</w:t>
            </w:r>
          </w:p>
        </w:tc>
      </w:tr>
      <w:tr w:rsidR="00BA2CA4" w:rsidRPr="00BA2CA4" w14:paraId="3C177C5B" w14:textId="77777777" w:rsidTr="00BA2CA4">
        <w:tc>
          <w:tcPr>
            <w:tcW w:w="5495" w:type="dxa"/>
            <w:vAlign w:val="bottom"/>
          </w:tcPr>
          <w:p w14:paraId="76A8B5AA" w14:textId="77777777" w:rsidR="00BA2CA4" w:rsidRPr="003F6CE1" w:rsidRDefault="00BA2CA4" w:rsidP="00BA2CA4">
            <w:r w:rsidRPr="003F6CE1">
              <w:t xml:space="preserve">Green Power Purchased </w:t>
            </w:r>
          </w:p>
          <w:p w14:paraId="414E3292" w14:textId="72BCB7B6" w:rsidR="00BA2CA4" w:rsidRPr="003F6CE1" w:rsidRDefault="0020116B" w:rsidP="0020116B">
            <w:r w:rsidRPr="003F6CE1">
              <w:rPr>
                <w:rFonts w:cs="Arial"/>
                <w:szCs w:val="22"/>
              </w:rPr>
              <w:t>%</w:t>
            </w:r>
            <w:r w:rsidRPr="003F6CE1">
              <w:t xml:space="preserve"> </w:t>
            </w:r>
            <w:r w:rsidR="00BA2CA4" w:rsidRPr="003F6CE1">
              <w:t xml:space="preserve">of </w:t>
            </w:r>
            <w:r w:rsidR="00A52229" w:rsidRPr="003F6CE1">
              <w:t>T</w:t>
            </w:r>
            <w:r w:rsidR="00BA2CA4" w:rsidRPr="003F6CE1">
              <w:t xml:space="preserve">otal </w:t>
            </w:r>
            <w:r w:rsidR="00A52229" w:rsidRPr="003F6CE1">
              <w:t>E</w:t>
            </w:r>
            <w:r w:rsidR="00BA2CA4" w:rsidRPr="003F6CE1">
              <w:t xml:space="preserve">lectricity </w:t>
            </w:r>
            <w:r w:rsidR="00A52229" w:rsidRPr="003F6CE1">
              <w:t>C</w:t>
            </w:r>
            <w:r w:rsidR="00BA2CA4" w:rsidRPr="003F6CE1">
              <w:t>onsumption</w:t>
            </w:r>
          </w:p>
        </w:tc>
        <w:tc>
          <w:tcPr>
            <w:tcW w:w="1453" w:type="dxa"/>
            <w:shd w:val="clear" w:color="auto" w:fill="BFBFBF" w:themeFill="background1" w:themeFillShade="BF"/>
          </w:tcPr>
          <w:p w14:paraId="64C7E76B" w14:textId="77777777" w:rsidR="00BA2CA4" w:rsidRDefault="00BA2CA4" w:rsidP="00BA2CA4">
            <w:pPr>
              <w:jc w:val="right"/>
            </w:pPr>
          </w:p>
          <w:p w14:paraId="6FF6CF99" w14:textId="51E28B43" w:rsidR="004A1342" w:rsidRPr="00BA2CA4" w:rsidRDefault="004A1342" w:rsidP="00BA2CA4">
            <w:pPr>
              <w:jc w:val="right"/>
            </w:pPr>
            <w:r>
              <w:t>26%</w:t>
            </w:r>
          </w:p>
        </w:tc>
        <w:tc>
          <w:tcPr>
            <w:tcW w:w="1453" w:type="dxa"/>
            <w:shd w:val="clear" w:color="000000" w:fill="E0E0E0"/>
            <w:vAlign w:val="bottom"/>
          </w:tcPr>
          <w:p w14:paraId="6A870223" w14:textId="77777777" w:rsidR="00BA2CA4" w:rsidRPr="00BA2CA4" w:rsidRDefault="00BA2CA4" w:rsidP="00BA2CA4">
            <w:pPr>
              <w:jc w:val="right"/>
            </w:pPr>
            <w:r w:rsidRPr="00BA2CA4">
              <w:t>26%</w:t>
            </w:r>
          </w:p>
        </w:tc>
        <w:tc>
          <w:tcPr>
            <w:tcW w:w="1453" w:type="dxa"/>
            <w:shd w:val="clear" w:color="000000" w:fill="E0E0E0"/>
            <w:vAlign w:val="bottom"/>
          </w:tcPr>
          <w:p w14:paraId="5869E5BC" w14:textId="77777777" w:rsidR="00BA2CA4" w:rsidRPr="00BA2CA4" w:rsidRDefault="00BA2CA4" w:rsidP="00BA2CA4">
            <w:pPr>
              <w:jc w:val="right"/>
              <w:rPr>
                <w:rFonts w:cs="Arial"/>
                <w:szCs w:val="22"/>
              </w:rPr>
            </w:pPr>
            <w:r w:rsidRPr="00BA2CA4">
              <w:t>26%</w:t>
            </w:r>
          </w:p>
        </w:tc>
        <w:tc>
          <w:tcPr>
            <w:tcW w:w="1453" w:type="dxa"/>
            <w:shd w:val="clear" w:color="000000" w:fill="E0E0E0"/>
            <w:vAlign w:val="bottom"/>
          </w:tcPr>
          <w:p w14:paraId="719F4226" w14:textId="77777777" w:rsidR="00BA2CA4" w:rsidRPr="00BA2CA4" w:rsidRDefault="00BA2CA4" w:rsidP="00BA2CA4">
            <w:pPr>
              <w:jc w:val="right"/>
              <w:rPr>
                <w:rFonts w:cs="Arial"/>
                <w:szCs w:val="22"/>
              </w:rPr>
            </w:pPr>
            <w:r w:rsidRPr="00BA2CA4">
              <w:rPr>
                <w:rFonts w:cs="Arial"/>
                <w:szCs w:val="22"/>
              </w:rPr>
              <w:t>26%</w:t>
            </w:r>
          </w:p>
        </w:tc>
        <w:tc>
          <w:tcPr>
            <w:tcW w:w="1453" w:type="dxa"/>
            <w:shd w:val="clear" w:color="000000" w:fill="E0E0E0"/>
            <w:vAlign w:val="bottom"/>
          </w:tcPr>
          <w:p w14:paraId="05B99861" w14:textId="77777777" w:rsidR="00BA2CA4" w:rsidRPr="00BA2CA4" w:rsidRDefault="00BA2CA4" w:rsidP="00BA2CA4">
            <w:pPr>
              <w:jc w:val="right"/>
            </w:pPr>
            <w:r w:rsidRPr="00BA2CA4">
              <w:rPr>
                <w:rFonts w:cs="Arial"/>
                <w:szCs w:val="22"/>
              </w:rPr>
              <w:t>26%</w:t>
            </w:r>
          </w:p>
        </w:tc>
      </w:tr>
      <w:tr w:rsidR="00BA2CA4" w:rsidRPr="00BA2CA4" w14:paraId="0FD3B10A" w14:textId="77777777" w:rsidTr="00BA2CA4">
        <w:tc>
          <w:tcPr>
            <w:tcW w:w="5495" w:type="dxa"/>
          </w:tcPr>
          <w:p w14:paraId="6C0A94F5" w14:textId="77777777" w:rsidR="00BA2CA4" w:rsidRPr="003F6CE1" w:rsidRDefault="00BA2CA4" w:rsidP="00BA2CA4">
            <w:pPr>
              <w:rPr>
                <w:b/>
                <w:snapToGrid w:val="0"/>
                <w:lang w:eastAsia="en-US"/>
              </w:rPr>
            </w:pPr>
            <w:r w:rsidRPr="003F6CE1">
              <w:rPr>
                <w:b/>
                <w:snapToGrid w:val="0"/>
                <w:lang w:eastAsia="en-US"/>
              </w:rPr>
              <w:t>Waste</w:t>
            </w:r>
          </w:p>
        </w:tc>
        <w:tc>
          <w:tcPr>
            <w:tcW w:w="1453" w:type="dxa"/>
            <w:shd w:val="clear" w:color="auto" w:fill="BFBFBF" w:themeFill="background1" w:themeFillShade="BF"/>
          </w:tcPr>
          <w:p w14:paraId="6D017C67" w14:textId="77777777" w:rsidR="00BA2CA4" w:rsidRPr="00BA2CA4" w:rsidRDefault="00BA2CA4" w:rsidP="00BA2CA4">
            <w:pPr>
              <w:jc w:val="right"/>
            </w:pPr>
          </w:p>
        </w:tc>
        <w:tc>
          <w:tcPr>
            <w:tcW w:w="1453" w:type="dxa"/>
            <w:shd w:val="clear" w:color="000000" w:fill="E0E0E0"/>
          </w:tcPr>
          <w:p w14:paraId="6D0E6FEE" w14:textId="77777777" w:rsidR="00BA2CA4" w:rsidRPr="00BA2CA4" w:rsidRDefault="00BA2CA4" w:rsidP="00BA2CA4">
            <w:pPr>
              <w:jc w:val="right"/>
              <w:rPr>
                <w:b/>
              </w:rPr>
            </w:pPr>
          </w:p>
        </w:tc>
        <w:tc>
          <w:tcPr>
            <w:tcW w:w="1453" w:type="dxa"/>
            <w:shd w:val="clear" w:color="000000" w:fill="E0E0E0"/>
          </w:tcPr>
          <w:p w14:paraId="5DE8E8AF" w14:textId="77777777" w:rsidR="00BA2CA4" w:rsidRPr="00BA2CA4" w:rsidRDefault="00BA2CA4" w:rsidP="00BA2CA4">
            <w:pPr>
              <w:jc w:val="right"/>
              <w:rPr>
                <w:rFonts w:cs="Arial"/>
                <w:szCs w:val="22"/>
              </w:rPr>
            </w:pPr>
          </w:p>
        </w:tc>
        <w:tc>
          <w:tcPr>
            <w:tcW w:w="1453" w:type="dxa"/>
            <w:shd w:val="clear" w:color="000000" w:fill="E0E0E0"/>
          </w:tcPr>
          <w:p w14:paraId="4B3358B7" w14:textId="77777777" w:rsidR="00BA2CA4" w:rsidRPr="00BA2CA4" w:rsidRDefault="00BA2CA4" w:rsidP="00BA2CA4">
            <w:pPr>
              <w:jc w:val="right"/>
              <w:rPr>
                <w:rFonts w:cs="Arial"/>
                <w:szCs w:val="22"/>
              </w:rPr>
            </w:pPr>
          </w:p>
        </w:tc>
        <w:tc>
          <w:tcPr>
            <w:tcW w:w="1453" w:type="dxa"/>
            <w:shd w:val="clear" w:color="000000" w:fill="E0E0E0"/>
          </w:tcPr>
          <w:p w14:paraId="0BDF47D7" w14:textId="77777777" w:rsidR="00BA2CA4" w:rsidRPr="00BA2CA4" w:rsidRDefault="00BA2CA4" w:rsidP="00BA2CA4">
            <w:pPr>
              <w:jc w:val="right"/>
            </w:pPr>
          </w:p>
        </w:tc>
      </w:tr>
      <w:tr w:rsidR="00BA2CA4" w:rsidRPr="00BA2CA4" w14:paraId="709E2664" w14:textId="77777777" w:rsidTr="00BA2CA4">
        <w:tc>
          <w:tcPr>
            <w:tcW w:w="5495" w:type="dxa"/>
            <w:vAlign w:val="bottom"/>
          </w:tcPr>
          <w:p w14:paraId="473B8D5F" w14:textId="4CE0C058" w:rsidR="00BA2CA4" w:rsidRPr="003F6CE1" w:rsidRDefault="00A52229" w:rsidP="00BA2CA4">
            <w:r w:rsidRPr="003F6CE1">
              <w:t xml:space="preserve">% </w:t>
            </w:r>
            <w:r w:rsidR="00BA2CA4" w:rsidRPr="003F6CE1">
              <w:t>of Total Waste Recycled</w:t>
            </w:r>
          </w:p>
        </w:tc>
        <w:tc>
          <w:tcPr>
            <w:tcW w:w="1453" w:type="dxa"/>
            <w:shd w:val="clear" w:color="auto" w:fill="BFBFBF" w:themeFill="background1" w:themeFillShade="BF"/>
          </w:tcPr>
          <w:p w14:paraId="52AB4CF4" w14:textId="797B64BC" w:rsidR="00BA2CA4" w:rsidRPr="00BA2CA4" w:rsidRDefault="004A1342" w:rsidP="00BA2CA4">
            <w:pPr>
              <w:jc w:val="right"/>
              <w:rPr>
                <w:snapToGrid w:val="0"/>
                <w:lang w:eastAsia="en-US"/>
              </w:rPr>
            </w:pPr>
            <w:r>
              <w:rPr>
                <w:snapToGrid w:val="0"/>
                <w:lang w:eastAsia="en-US"/>
              </w:rPr>
              <w:t>55%</w:t>
            </w:r>
          </w:p>
        </w:tc>
        <w:tc>
          <w:tcPr>
            <w:tcW w:w="1453" w:type="dxa"/>
            <w:shd w:val="clear" w:color="000000" w:fill="E0E0E0"/>
          </w:tcPr>
          <w:p w14:paraId="10B40582" w14:textId="77777777" w:rsidR="00BA2CA4" w:rsidRPr="00BA2CA4" w:rsidRDefault="00BA2CA4" w:rsidP="00BA2CA4">
            <w:pPr>
              <w:jc w:val="right"/>
            </w:pPr>
            <w:r w:rsidRPr="00BA2CA4">
              <w:t>53%</w:t>
            </w:r>
          </w:p>
        </w:tc>
        <w:tc>
          <w:tcPr>
            <w:tcW w:w="1453" w:type="dxa"/>
            <w:shd w:val="clear" w:color="000000" w:fill="E0E0E0"/>
          </w:tcPr>
          <w:p w14:paraId="65441009" w14:textId="39ECFE8C" w:rsidR="00BA2CA4" w:rsidRPr="00BA2CA4" w:rsidRDefault="00BA2CA4" w:rsidP="00652968">
            <w:pPr>
              <w:jc w:val="right"/>
              <w:rPr>
                <w:rFonts w:cs="Arial"/>
                <w:snapToGrid w:val="0"/>
                <w:szCs w:val="22"/>
                <w:lang w:eastAsia="en-US"/>
              </w:rPr>
            </w:pPr>
            <w:r w:rsidRPr="00BA2CA4">
              <w:t>44%</w:t>
            </w:r>
          </w:p>
        </w:tc>
        <w:tc>
          <w:tcPr>
            <w:tcW w:w="1453" w:type="dxa"/>
            <w:shd w:val="clear" w:color="000000" w:fill="E0E0E0"/>
          </w:tcPr>
          <w:p w14:paraId="7F2811DE" w14:textId="53EE027F" w:rsidR="00BA2CA4" w:rsidRPr="00BA2CA4" w:rsidRDefault="00BA2CA4" w:rsidP="00652968">
            <w:pPr>
              <w:jc w:val="right"/>
              <w:rPr>
                <w:rFonts w:cs="Arial"/>
                <w:snapToGrid w:val="0"/>
                <w:szCs w:val="22"/>
                <w:lang w:eastAsia="en-US"/>
              </w:rPr>
            </w:pPr>
            <w:r w:rsidRPr="00BA2CA4">
              <w:rPr>
                <w:rFonts w:cs="Arial"/>
                <w:snapToGrid w:val="0"/>
                <w:szCs w:val="22"/>
                <w:lang w:eastAsia="en-US"/>
              </w:rPr>
              <w:t>6</w:t>
            </w:r>
            <w:r w:rsidR="00652968">
              <w:rPr>
                <w:rFonts w:cs="Arial"/>
                <w:snapToGrid w:val="0"/>
                <w:szCs w:val="22"/>
                <w:lang w:eastAsia="en-US"/>
              </w:rPr>
              <w:t>9</w:t>
            </w:r>
            <w:r w:rsidRPr="00BA2CA4">
              <w:rPr>
                <w:rFonts w:cs="Arial"/>
                <w:snapToGrid w:val="0"/>
                <w:szCs w:val="22"/>
                <w:lang w:eastAsia="en-US"/>
              </w:rPr>
              <w:t>%</w:t>
            </w:r>
          </w:p>
        </w:tc>
        <w:tc>
          <w:tcPr>
            <w:tcW w:w="1453" w:type="dxa"/>
            <w:shd w:val="clear" w:color="000000" w:fill="E0E0E0"/>
          </w:tcPr>
          <w:p w14:paraId="3F42615E" w14:textId="6CE2A078" w:rsidR="00BA2CA4" w:rsidRPr="00BA2CA4" w:rsidRDefault="00BA2CA4" w:rsidP="00652968">
            <w:pPr>
              <w:jc w:val="right"/>
              <w:rPr>
                <w:snapToGrid w:val="0"/>
                <w:lang w:eastAsia="en-US"/>
              </w:rPr>
            </w:pPr>
            <w:r w:rsidRPr="00BA2CA4">
              <w:rPr>
                <w:rFonts w:cs="Arial"/>
                <w:szCs w:val="22"/>
              </w:rPr>
              <w:t>55%</w:t>
            </w:r>
          </w:p>
        </w:tc>
      </w:tr>
      <w:tr w:rsidR="00BA2CA4" w:rsidRPr="00BA2CA4" w14:paraId="3455DD1C" w14:textId="77777777" w:rsidTr="00BA2CA4">
        <w:tc>
          <w:tcPr>
            <w:tcW w:w="5495" w:type="dxa"/>
            <w:vAlign w:val="bottom"/>
          </w:tcPr>
          <w:p w14:paraId="7E33C2F6" w14:textId="77777777" w:rsidR="00BA2CA4" w:rsidRPr="003F6CE1" w:rsidRDefault="00BA2CA4" w:rsidP="00BA2CA4">
            <w:pPr>
              <w:rPr>
                <w:b/>
              </w:rPr>
            </w:pPr>
            <w:r w:rsidRPr="003F6CE1">
              <w:rPr>
                <w:b/>
              </w:rPr>
              <w:t>Water</w:t>
            </w:r>
          </w:p>
        </w:tc>
        <w:tc>
          <w:tcPr>
            <w:tcW w:w="1453" w:type="dxa"/>
            <w:shd w:val="clear" w:color="auto" w:fill="BFBFBF" w:themeFill="background1" w:themeFillShade="BF"/>
          </w:tcPr>
          <w:p w14:paraId="22CB424B" w14:textId="77777777" w:rsidR="00BA2CA4" w:rsidRPr="00BA2CA4" w:rsidRDefault="00BA2CA4" w:rsidP="00BA2CA4">
            <w:pPr>
              <w:jc w:val="right"/>
            </w:pPr>
          </w:p>
        </w:tc>
        <w:tc>
          <w:tcPr>
            <w:tcW w:w="1453" w:type="dxa"/>
            <w:shd w:val="clear" w:color="000000" w:fill="E0E0E0"/>
          </w:tcPr>
          <w:p w14:paraId="6ABAF283" w14:textId="77777777" w:rsidR="00BA2CA4" w:rsidRPr="00BA2CA4" w:rsidRDefault="00BA2CA4" w:rsidP="00BA2CA4">
            <w:pPr>
              <w:jc w:val="right"/>
              <w:rPr>
                <w:b/>
                <w:snapToGrid w:val="0"/>
                <w:lang w:eastAsia="en-US"/>
              </w:rPr>
            </w:pPr>
          </w:p>
        </w:tc>
        <w:tc>
          <w:tcPr>
            <w:tcW w:w="1453" w:type="dxa"/>
            <w:shd w:val="clear" w:color="000000" w:fill="E0E0E0"/>
          </w:tcPr>
          <w:p w14:paraId="20F67F6E" w14:textId="77777777" w:rsidR="00BA2CA4" w:rsidRPr="00BA2CA4" w:rsidRDefault="00BA2CA4" w:rsidP="00BA2CA4">
            <w:pPr>
              <w:jc w:val="right"/>
              <w:rPr>
                <w:rFonts w:cs="Arial"/>
                <w:szCs w:val="22"/>
              </w:rPr>
            </w:pPr>
          </w:p>
        </w:tc>
        <w:tc>
          <w:tcPr>
            <w:tcW w:w="1453" w:type="dxa"/>
            <w:shd w:val="clear" w:color="000000" w:fill="E0E0E0"/>
          </w:tcPr>
          <w:p w14:paraId="2B8371C2" w14:textId="77777777" w:rsidR="00BA2CA4" w:rsidRPr="00BA2CA4" w:rsidRDefault="00BA2CA4" w:rsidP="00BA2CA4">
            <w:pPr>
              <w:jc w:val="right"/>
              <w:rPr>
                <w:rFonts w:cs="Arial"/>
                <w:szCs w:val="22"/>
              </w:rPr>
            </w:pPr>
          </w:p>
        </w:tc>
        <w:tc>
          <w:tcPr>
            <w:tcW w:w="1453" w:type="dxa"/>
            <w:shd w:val="clear" w:color="000000" w:fill="E0E0E0"/>
          </w:tcPr>
          <w:p w14:paraId="6CAFEE4C" w14:textId="77777777" w:rsidR="00BA2CA4" w:rsidRPr="00BA2CA4" w:rsidRDefault="00BA2CA4" w:rsidP="00BA2CA4">
            <w:pPr>
              <w:jc w:val="right"/>
            </w:pPr>
          </w:p>
        </w:tc>
      </w:tr>
      <w:tr w:rsidR="00BA2CA4" w:rsidRPr="00BA2CA4" w14:paraId="3CF8B43D" w14:textId="77777777" w:rsidTr="00BA2CA4">
        <w:tc>
          <w:tcPr>
            <w:tcW w:w="5495" w:type="dxa"/>
            <w:vAlign w:val="bottom"/>
          </w:tcPr>
          <w:p w14:paraId="5D104C9E" w14:textId="77777777" w:rsidR="00BA2CA4" w:rsidRPr="003F6CE1" w:rsidRDefault="00BA2CA4" w:rsidP="00BA2CA4">
            <w:r w:rsidRPr="003F6CE1">
              <w:t>Water Consumption (kilolitres)</w:t>
            </w:r>
          </w:p>
        </w:tc>
        <w:tc>
          <w:tcPr>
            <w:tcW w:w="1453" w:type="dxa"/>
            <w:shd w:val="clear" w:color="auto" w:fill="BFBFBF" w:themeFill="background1" w:themeFillShade="BF"/>
          </w:tcPr>
          <w:p w14:paraId="5558343F" w14:textId="0DD489DE" w:rsidR="00BA2CA4" w:rsidRPr="00BA2CA4" w:rsidRDefault="004A1342" w:rsidP="00BA2CA4">
            <w:pPr>
              <w:jc w:val="right"/>
            </w:pPr>
            <w:r>
              <w:t>93,130</w:t>
            </w:r>
          </w:p>
        </w:tc>
        <w:tc>
          <w:tcPr>
            <w:tcW w:w="1453" w:type="dxa"/>
            <w:shd w:val="clear" w:color="000000" w:fill="E0E0E0"/>
          </w:tcPr>
          <w:p w14:paraId="33D92F7A" w14:textId="77777777" w:rsidR="00BA2CA4" w:rsidRPr="00BA2CA4" w:rsidRDefault="00BA2CA4" w:rsidP="00BA2CA4">
            <w:pPr>
              <w:jc w:val="right"/>
            </w:pPr>
            <w:r w:rsidRPr="00BA2CA4">
              <w:t>79,852</w:t>
            </w:r>
          </w:p>
        </w:tc>
        <w:tc>
          <w:tcPr>
            <w:tcW w:w="1453" w:type="dxa"/>
            <w:shd w:val="clear" w:color="000000" w:fill="E0E0E0"/>
          </w:tcPr>
          <w:p w14:paraId="2DFF25F3" w14:textId="77777777" w:rsidR="00BA2CA4" w:rsidRPr="00BA2CA4" w:rsidRDefault="00BA2CA4" w:rsidP="00BA2CA4">
            <w:pPr>
              <w:jc w:val="right"/>
              <w:rPr>
                <w:rFonts w:cs="Arial"/>
                <w:szCs w:val="22"/>
              </w:rPr>
            </w:pPr>
            <w:r w:rsidRPr="00BA2CA4">
              <w:t>77,284</w:t>
            </w:r>
          </w:p>
        </w:tc>
        <w:tc>
          <w:tcPr>
            <w:tcW w:w="1453" w:type="dxa"/>
            <w:shd w:val="clear" w:color="000000" w:fill="E0E0E0"/>
          </w:tcPr>
          <w:p w14:paraId="305FB1D2" w14:textId="77777777" w:rsidR="00BA2CA4" w:rsidRPr="00BA2CA4" w:rsidRDefault="00BA2CA4" w:rsidP="00BA2CA4">
            <w:pPr>
              <w:jc w:val="right"/>
              <w:rPr>
                <w:rFonts w:cs="Arial"/>
                <w:szCs w:val="22"/>
              </w:rPr>
            </w:pPr>
            <w:r w:rsidRPr="00BA2CA4">
              <w:rPr>
                <w:rFonts w:cs="Arial"/>
                <w:szCs w:val="22"/>
              </w:rPr>
              <w:t>63,397</w:t>
            </w:r>
          </w:p>
        </w:tc>
        <w:tc>
          <w:tcPr>
            <w:tcW w:w="1453" w:type="dxa"/>
            <w:shd w:val="clear" w:color="000000" w:fill="E0E0E0"/>
          </w:tcPr>
          <w:p w14:paraId="62359742" w14:textId="77777777" w:rsidR="00BA2CA4" w:rsidRPr="00BA2CA4" w:rsidRDefault="00BA2CA4" w:rsidP="00BA2CA4">
            <w:pPr>
              <w:jc w:val="right"/>
            </w:pPr>
            <w:r w:rsidRPr="00BA2CA4">
              <w:rPr>
                <w:rFonts w:cs="Arial"/>
                <w:szCs w:val="22"/>
              </w:rPr>
              <w:t>70,808</w:t>
            </w:r>
          </w:p>
        </w:tc>
      </w:tr>
    </w:tbl>
    <w:p w14:paraId="2C276C44" w14:textId="77777777" w:rsidR="00BA2CA4" w:rsidRPr="00BA2CA4" w:rsidRDefault="00BA2CA4" w:rsidP="00BA2CA4">
      <w:pPr>
        <w:rPr>
          <w:rFonts w:cs="Arial"/>
          <w:sz w:val="16"/>
          <w:szCs w:val="16"/>
        </w:rPr>
      </w:pPr>
    </w:p>
    <w:p w14:paraId="7F7139F3" w14:textId="77777777" w:rsidR="00BA2CA4" w:rsidRPr="00BA2CA4" w:rsidRDefault="00BA2CA4" w:rsidP="00BA2CA4">
      <w:r w:rsidRPr="00BA2CA4">
        <w:rPr>
          <w:rFonts w:cs="Arial"/>
          <w:szCs w:val="22"/>
        </w:rPr>
        <w:t>Notes:</w:t>
      </w:r>
    </w:p>
    <w:p w14:paraId="159AEB6D" w14:textId="4DDBD359" w:rsidR="00B13D91" w:rsidRPr="00B13D91" w:rsidRDefault="00B549A3" w:rsidP="00B13D91">
      <w:pPr>
        <w:rPr>
          <w:rFonts w:ascii="Calibri" w:hAnsi="Calibri"/>
          <w:szCs w:val="22"/>
        </w:rPr>
      </w:pPr>
      <w:r>
        <w:t>Reduced</w:t>
      </w:r>
      <w:r w:rsidR="00B13D91" w:rsidRPr="00B13D91">
        <w:t xml:space="preserve"> </w:t>
      </w:r>
      <w:r w:rsidR="00FD558C">
        <w:t>energy consumption</w:t>
      </w:r>
      <w:r w:rsidR="00B13D91" w:rsidRPr="00B13D91">
        <w:t xml:space="preserve"> is due to efficiency upgrades occurring across all Museum Victoria sites. These include </w:t>
      </w:r>
      <w:r w:rsidR="00FD558C">
        <w:t xml:space="preserve">the installation of </w:t>
      </w:r>
      <w:r w:rsidR="00B13D91" w:rsidRPr="00B13D91">
        <w:t>energy</w:t>
      </w:r>
      <w:r w:rsidR="00FD558C">
        <w:t>-</w:t>
      </w:r>
      <w:r w:rsidR="00B13D91" w:rsidRPr="00B13D91">
        <w:t xml:space="preserve">efficient exhibition lighting and </w:t>
      </w:r>
      <w:r w:rsidR="00FD558C">
        <w:t xml:space="preserve">improvements associated with </w:t>
      </w:r>
      <w:r w:rsidR="00B13D91" w:rsidRPr="00B13D91">
        <w:t xml:space="preserve">the </w:t>
      </w:r>
      <w:r w:rsidR="004211A0">
        <w:t>E</w:t>
      </w:r>
      <w:r w:rsidR="00B13D91" w:rsidRPr="00B13D91">
        <w:t xml:space="preserve">nergy </w:t>
      </w:r>
      <w:r w:rsidR="004211A0">
        <w:t>M</w:t>
      </w:r>
      <w:r w:rsidR="00B13D91" w:rsidRPr="00B13D91">
        <w:t xml:space="preserve">anagement </w:t>
      </w:r>
      <w:r w:rsidR="004211A0">
        <w:t>P</w:t>
      </w:r>
      <w:r w:rsidR="00B13D91" w:rsidRPr="00B13D91">
        <w:t>rogram.</w:t>
      </w:r>
    </w:p>
    <w:p w14:paraId="73467B67" w14:textId="77777777" w:rsidR="00B13D91" w:rsidRPr="00B13D91" w:rsidRDefault="00B13D91" w:rsidP="00B13D91"/>
    <w:p w14:paraId="01591188" w14:textId="1BF085F9" w:rsidR="00BA2CA4" w:rsidRPr="0092253A" w:rsidRDefault="00FD558C" w:rsidP="00BA2CA4">
      <w:pPr>
        <w:rPr>
          <w:rFonts w:ascii="Calibri" w:hAnsi="Calibri"/>
          <w:szCs w:val="22"/>
        </w:rPr>
      </w:pPr>
      <w:r>
        <w:t>The i</w:t>
      </w:r>
      <w:r w:rsidR="00B13D91" w:rsidRPr="00B13D91">
        <w:t>ncrease</w:t>
      </w:r>
      <w:r>
        <w:t xml:space="preserve"> in</w:t>
      </w:r>
      <w:r w:rsidR="00B13D91" w:rsidRPr="00B13D91">
        <w:t xml:space="preserve"> water usage is due to a water leak </w:t>
      </w:r>
      <w:r>
        <w:t>at</w:t>
      </w:r>
      <w:r w:rsidRPr="00B13D91">
        <w:t xml:space="preserve"> </w:t>
      </w:r>
      <w:r w:rsidR="00B13D91" w:rsidRPr="00B13D91">
        <w:t xml:space="preserve">Melbourne Museum </w:t>
      </w:r>
      <w:r>
        <w:t>that</w:t>
      </w:r>
      <w:r w:rsidRPr="00B13D91">
        <w:t xml:space="preserve"> </w:t>
      </w:r>
      <w:r w:rsidR="00B13D91" w:rsidRPr="00B13D91">
        <w:t>went undiagnosed</w:t>
      </w:r>
      <w:r>
        <w:t xml:space="preserve"> for a period of time,</w:t>
      </w:r>
      <w:r w:rsidR="00B13D91" w:rsidRPr="00B13D91">
        <w:t xml:space="preserve"> due to difficulty </w:t>
      </w:r>
      <w:r w:rsidR="00484A85">
        <w:t xml:space="preserve">in </w:t>
      </w:r>
      <w:r w:rsidR="00B13D91" w:rsidRPr="00B13D91">
        <w:t>accessing its location</w:t>
      </w:r>
      <w:r w:rsidR="00724F96">
        <w:t>.</w:t>
      </w:r>
      <w:r w:rsidR="00FB6481">
        <w:t xml:space="preserve"> </w:t>
      </w:r>
      <w:r w:rsidR="00724F96">
        <w:t xml:space="preserve">The leak </w:t>
      </w:r>
      <w:r w:rsidR="00261104">
        <w:t>was r</w:t>
      </w:r>
      <w:r w:rsidR="00FB6481">
        <w:t>epaired in</w:t>
      </w:r>
      <w:r w:rsidR="00776B0A">
        <w:t xml:space="preserve"> </w:t>
      </w:r>
      <w:r w:rsidR="00414DC7">
        <w:t xml:space="preserve">January 2016.  </w:t>
      </w:r>
    </w:p>
    <w:p w14:paraId="4224F024" w14:textId="661DC967" w:rsidR="00936284" w:rsidRPr="00467D5B" w:rsidRDefault="00936284" w:rsidP="00467D5B">
      <w:pPr>
        <w:rPr>
          <w:b/>
          <w:sz w:val="36"/>
        </w:rPr>
        <w:sectPr w:rsidR="00936284" w:rsidRPr="00467D5B" w:rsidSect="00936284">
          <w:pgSz w:w="16838" w:h="11906" w:orient="landscape"/>
          <w:pgMar w:top="1797" w:right="1440" w:bottom="1797" w:left="1440" w:header="720" w:footer="720" w:gutter="0"/>
          <w:cols w:space="720"/>
          <w:docGrid w:linePitch="360"/>
        </w:sectPr>
      </w:pPr>
    </w:p>
    <w:p w14:paraId="657CD5F1" w14:textId="2F8FFE8B" w:rsidR="00BA2CA4" w:rsidRPr="00BA2CA4" w:rsidRDefault="00BA2CA4" w:rsidP="00521C8E">
      <w:pPr>
        <w:pStyle w:val="Heading2"/>
      </w:pPr>
      <w:r w:rsidRPr="00BA2CA4">
        <w:lastRenderedPageBreak/>
        <w:t xml:space="preserve">Statement </w:t>
      </w:r>
      <w:r w:rsidRPr="00521C8E">
        <w:t>of</w:t>
      </w:r>
      <w:r w:rsidRPr="00BA2CA4">
        <w:t xml:space="preserve"> Purpose</w:t>
      </w:r>
    </w:p>
    <w:p w14:paraId="0917E95A" w14:textId="2E5E8D22" w:rsidR="00BA2CA4" w:rsidRDefault="00BA2CA4" w:rsidP="00BA2CA4">
      <w:r w:rsidRPr="00BA2CA4">
        <w:t>As a cherished cultural organisation, we engage in contemporary issues of relevance, interest and public benefit. Both within and beyond our museums, we encourage participation in the diversity of experiences we offer. We develop and use our knowledge, collections and expertise to build connections with and between individuals and communities to enhance understa</w:t>
      </w:r>
      <w:r w:rsidR="00521C8E">
        <w:t>nding and a sense of belonging.</w:t>
      </w:r>
    </w:p>
    <w:p w14:paraId="271FDF5E" w14:textId="77777777" w:rsidR="004F207A" w:rsidRPr="00BA2CA4" w:rsidRDefault="004F207A" w:rsidP="00BA2CA4"/>
    <w:p w14:paraId="755FC61C" w14:textId="77777777" w:rsidR="00BA2CA4" w:rsidRPr="00BA2CA4" w:rsidRDefault="00BA2CA4" w:rsidP="00521C8E">
      <w:pPr>
        <w:pStyle w:val="Heading2"/>
      </w:pPr>
      <w:r w:rsidRPr="00BA2CA4">
        <w:t xml:space="preserve">Vision </w:t>
      </w:r>
    </w:p>
    <w:p w14:paraId="12B880A9" w14:textId="27C7F299" w:rsidR="00BA2CA4" w:rsidRDefault="00BA2CA4" w:rsidP="00BA2CA4">
      <w:r w:rsidRPr="00BA2CA4">
        <w:t>Museum Victoria: Leading museums that delight, inspire, connect and en</w:t>
      </w:r>
      <w:r w:rsidR="00521C8E">
        <w:t>rich</w:t>
      </w:r>
    </w:p>
    <w:p w14:paraId="0CC8DB3D" w14:textId="77777777" w:rsidR="004F207A" w:rsidRPr="00521C8E" w:rsidRDefault="004F207A" w:rsidP="00BA2CA4"/>
    <w:p w14:paraId="4B2C9ACD" w14:textId="77777777" w:rsidR="00BA2CA4" w:rsidRPr="00BA2CA4" w:rsidRDefault="00BA2CA4" w:rsidP="00521C8E">
      <w:pPr>
        <w:pStyle w:val="Heading2"/>
      </w:pPr>
      <w:r w:rsidRPr="00BA2CA4">
        <w:t>Strategic Directions</w:t>
      </w:r>
    </w:p>
    <w:p w14:paraId="093B8849" w14:textId="77777777" w:rsidR="00BA2CA4" w:rsidRPr="00BA2CA4" w:rsidRDefault="00BA2CA4" w:rsidP="00521C8E">
      <w:pPr>
        <w:pStyle w:val="Heading3"/>
      </w:pPr>
      <w:r w:rsidRPr="00BA2CA4">
        <w:t>Deepening Connections</w:t>
      </w:r>
    </w:p>
    <w:p w14:paraId="649ACA54" w14:textId="77777777" w:rsidR="000B6248" w:rsidRDefault="00BA2CA4" w:rsidP="00BA2CA4">
      <w:r w:rsidRPr="00BA2CA4">
        <w:t xml:space="preserve">The way that visitors interact is changing. Many people wish to become more active participants in their cultural experiences; to personalise, communicate and share with others. Museums hold a unique place in the community, in our ability to engage people in critical ideas and issues through new ways of communicating and connecting. </w:t>
      </w:r>
    </w:p>
    <w:p w14:paraId="4BE81BE1" w14:textId="2150DC79" w:rsidR="00BA2CA4" w:rsidRPr="00BA2CA4" w:rsidRDefault="00BA2CA4" w:rsidP="00BA2CA4">
      <w:r w:rsidRPr="00BA2CA4">
        <w:t>To achieve this, Museum Victoria will work towards the following outcomes:</w:t>
      </w:r>
    </w:p>
    <w:p w14:paraId="22826BE5" w14:textId="2F336EE0" w:rsidR="00BA2CA4" w:rsidRPr="00BA2CA4" w:rsidRDefault="00BA2CA4" w:rsidP="00BA2CA4">
      <w:pPr>
        <w:numPr>
          <w:ilvl w:val="0"/>
          <w:numId w:val="1"/>
        </w:numPr>
        <w:ind w:left="426" w:hanging="426"/>
      </w:pPr>
      <w:r w:rsidRPr="00BA2CA4">
        <w:t>Visitors are able to easily tailor their own museum experiences</w:t>
      </w:r>
    </w:p>
    <w:p w14:paraId="0071EBEA" w14:textId="63314D0E" w:rsidR="00BA2CA4" w:rsidRPr="00BA2CA4" w:rsidRDefault="00BA2CA4" w:rsidP="00BA2CA4">
      <w:pPr>
        <w:numPr>
          <w:ilvl w:val="0"/>
          <w:numId w:val="1"/>
        </w:numPr>
        <w:ind w:left="426" w:hanging="426"/>
      </w:pPr>
      <w:r w:rsidRPr="00BA2CA4">
        <w:t>People co-create physical and digital experiences with the museum</w:t>
      </w:r>
    </w:p>
    <w:p w14:paraId="2D741A92" w14:textId="75660F70" w:rsidR="00BA2CA4" w:rsidRPr="00BA2CA4" w:rsidRDefault="00BA2CA4" w:rsidP="00BA2CA4">
      <w:pPr>
        <w:numPr>
          <w:ilvl w:val="0"/>
          <w:numId w:val="1"/>
        </w:numPr>
        <w:ind w:left="426" w:hanging="426"/>
      </w:pPr>
      <w:r w:rsidRPr="00BA2CA4">
        <w:t>The community trusts Museum Victoria as a source of information on contemporary issues</w:t>
      </w:r>
    </w:p>
    <w:p w14:paraId="66FFC7BE" w14:textId="58FBC443" w:rsidR="00BA2CA4" w:rsidRDefault="00BA2CA4" w:rsidP="00BA2CA4">
      <w:pPr>
        <w:numPr>
          <w:ilvl w:val="0"/>
          <w:numId w:val="1"/>
        </w:numPr>
        <w:ind w:left="426" w:hanging="426"/>
      </w:pPr>
      <w:r w:rsidRPr="00BA2CA4">
        <w:t>Our experiences and resources are widely known and frequently used for education purposes.</w:t>
      </w:r>
    </w:p>
    <w:p w14:paraId="108F6E95" w14:textId="77777777" w:rsidR="004F207A" w:rsidRPr="00521C8E" w:rsidRDefault="004F207A" w:rsidP="004F207A"/>
    <w:p w14:paraId="7D9EC100" w14:textId="77777777" w:rsidR="00BA2CA4" w:rsidRPr="00BA2CA4" w:rsidRDefault="00BA2CA4" w:rsidP="00521C8E">
      <w:pPr>
        <w:pStyle w:val="Heading3"/>
      </w:pPr>
      <w:r w:rsidRPr="00BA2CA4">
        <w:t>Investing in Knowledge, Expertise and Collections</w:t>
      </w:r>
    </w:p>
    <w:p w14:paraId="3626CD46" w14:textId="77777777" w:rsidR="000B6248" w:rsidRDefault="00BA2CA4" w:rsidP="00BA2CA4">
      <w:r w:rsidRPr="00BA2CA4">
        <w:t xml:space="preserve">The major questions about the world that museums seek to answer are complex. Collections provide a sound basis for enquiry, but these questions cannot be understood through a single lens. 21st-century museums bring together multiple disciplines, perspectives and understandings to develop a range of expertise that delivers value to the community. </w:t>
      </w:r>
    </w:p>
    <w:p w14:paraId="4E5F1C4D" w14:textId="099DBC91" w:rsidR="00BA2CA4" w:rsidRPr="00BA2CA4" w:rsidRDefault="00BA2CA4" w:rsidP="00BA2CA4">
      <w:r w:rsidRPr="00BA2CA4">
        <w:t>To achieve this, Museum Victoria will work towards the following outcomes:</w:t>
      </w:r>
    </w:p>
    <w:p w14:paraId="31CDA731" w14:textId="676B3778" w:rsidR="00BA2CA4" w:rsidRPr="00BA2CA4" w:rsidRDefault="00BA2CA4" w:rsidP="00BA2CA4">
      <w:pPr>
        <w:numPr>
          <w:ilvl w:val="0"/>
          <w:numId w:val="2"/>
        </w:numPr>
        <w:ind w:left="426" w:hanging="426"/>
      </w:pPr>
      <w:r w:rsidRPr="00BA2CA4">
        <w:t>Interdisciplinary and collaborative projects generate new knowledge</w:t>
      </w:r>
    </w:p>
    <w:p w14:paraId="3993C7E3" w14:textId="173BD322" w:rsidR="00BA2CA4" w:rsidRPr="00BA2CA4" w:rsidRDefault="00BA2CA4" w:rsidP="00BA2CA4">
      <w:pPr>
        <w:numPr>
          <w:ilvl w:val="0"/>
          <w:numId w:val="2"/>
        </w:numPr>
        <w:ind w:left="426" w:hanging="426"/>
      </w:pPr>
      <w:r w:rsidRPr="00BA2CA4">
        <w:t>Our collection care practices lead and respond to museum sector standards</w:t>
      </w:r>
    </w:p>
    <w:p w14:paraId="34FD49ED" w14:textId="1E850AB9" w:rsidR="00BA2CA4" w:rsidRDefault="00BA2CA4" w:rsidP="00BA2CA4">
      <w:pPr>
        <w:numPr>
          <w:ilvl w:val="0"/>
          <w:numId w:val="2"/>
        </w:numPr>
        <w:ind w:left="426" w:hanging="426"/>
      </w:pPr>
      <w:r w:rsidRPr="00BA2CA4">
        <w:t>All staff know and promote the significance of the collection.</w:t>
      </w:r>
    </w:p>
    <w:p w14:paraId="6991FF2D" w14:textId="77777777" w:rsidR="004F207A" w:rsidRPr="00521C8E" w:rsidRDefault="004F207A" w:rsidP="004F207A"/>
    <w:p w14:paraId="7409E2A2" w14:textId="77777777" w:rsidR="00BA2CA4" w:rsidRPr="00BA2CA4" w:rsidRDefault="00BA2CA4" w:rsidP="00521C8E">
      <w:pPr>
        <w:pStyle w:val="Heading3"/>
      </w:pPr>
      <w:r w:rsidRPr="00BA2CA4">
        <w:t>Digital Transformation</w:t>
      </w:r>
    </w:p>
    <w:p w14:paraId="0357BAC1" w14:textId="77777777" w:rsidR="000B6248" w:rsidRDefault="00BA2CA4" w:rsidP="00BA2CA4">
      <w:r w:rsidRPr="00BA2CA4">
        <w:t xml:space="preserve">Keeping up with the continually shifting digital environment requires organisations to be forward-looking and agile. This presents both a challenge and opportunity for museums, which must reposition themselves to operate effectively in the digital age. At its heart, this means changes in the way that people think, work and interact. </w:t>
      </w:r>
    </w:p>
    <w:p w14:paraId="3A486361" w14:textId="57A43ACE" w:rsidR="00BA2CA4" w:rsidRPr="00BA2CA4" w:rsidRDefault="00BA2CA4" w:rsidP="00BA2CA4">
      <w:r w:rsidRPr="00BA2CA4">
        <w:t>To achieve this, Museum Victoria will work towards the following outcomes:</w:t>
      </w:r>
    </w:p>
    <w:p w14:paraId="061943E7" w14:textId="6D1F7F57" w:rsidR="00BA2CA4" w:rsidRPr="00BA2CA4" w:rsidRDefault="00BA2CA4" w:rsidP="00BA2CA4">
      <w:pPr>
        <w:numPr>
          <w:ilvl w:val="0"/>
          <w:numId w:val="3"/>
        </w:numPr>
        <w:ind w:left="426" w:hanging="426"/>
      </w:pPr>
      <w:r w:rsidRPr="00BA2CA4">
        <w:t>Staff incorporate digital systems into their daily work</w:t>
      </w:r>
    </w:p>
    <w:p w14:paraId="124EA939" w14:textId="6C650B16" w:rsidR="00BA2CA4" w:rsidRPr="00BA2CA4" w:rsidRDefault="00BA2CA4" w:rsidP="00BA2CA4">
      <w:pPr>
        <w:numPr>
          <w:ilvl w:val="0"/>
          <w:numId w:val="3"/>
        </w:numPr>
        <w:ind w:left="426" w:hanging="426"/>
      </w:pPr>
      <w:r w:rsidRPr="00BA2CA4">
        <w:t>Our digital systems and platforms enable flexible content generation</w:t>
      </w:r>
    </w:p>
    <w:p w14:paraId="214AE1F9" w14:textId="183797CE" w:rsidR="00BA2CA4" w:rsidRPr="00521C8E" w:rsidRDefault="00BA2CA4" w:rsidP="00BA2CA4">
      <w:pPr>
        <w:numPr>
          <w:ilvl w:val="0"/>
          <w:numId w:val="3"/>
        </w:numPr>
        <w:ind w:left="426" w:hanging="426"/>
      </w:pPr>
      <w:r w:rsidRPr="00BA2CA4">
        <w:t>Our digital infrastructure meets our business needs.</w:t>
      </w:r>
    </w:p>
    <w:p w14:paraId="50CBDFCD" w14:textId="77777777" w:rsidR="00BA2CA4" w:rsidRPr="00BA2CA4" w:rsidRDefault="00BA2CA4" w:rsidP="00BA2CA4">
      <w:pPr>
        <w:spacing w:after="200" w:line="276" w:lineRule="auto"/>
        <w:rPr>
          <w:b/>
          <w:sz w:val="32"/>
        </w:rPr>
      </w:pPr>
      <w:r w:rsidRPr="00BA2CA4">
        <w:br w:type="page"/>
      </w:r>
    </w:p>
    <w:p w14:paraId="3855AD37" w14:textId="77777777" w:rsidR="00BA2CA4" w:rsidRPr="007B4A5B" w:rsidRDefault="00BA2CA4" w:rsidP="007B4A5B">
      <w:pPr>
        <w:pStyle w:val="Heading3"/>
      </w:pPr>
      <w:r w:rsidRPr="007B4A5B">
        <w:lastRenderedPageBreak/>
        <w:t>Organisational Resilience</w:t>
      </w:r>
    </w:p>
    <w:p w14:paraId="5270CF9F" w14:textId="77777777" w:rsidR="000B6248" w:rsidRDefault="00BA2CA4" w:rsidP="00BA2CA4">
      <w:r w:rsidRPr="00BA2CA4">
        <w:t xml:space="preserve">Museums aim to engage, entertain, move and inspire people. All staff and volunteers contribute to this goal. In responding to the changing economic and social environment, it is important that people work collaboratively towards a common purpose and find creative ways to use resources more effectively, to deliver the best possible value for the public. </w:t>
      </w:r>
    </w:p>
    <w:p w14:paraId="49E2E67B" w14:textId="4CD9D7FC" w:rsidR="00BA2CA4" w:rsidRPr="00BA2CA4" w:rsidRDefault="00BA2CA4" w:rsidP="00BA2CA4">
      <w:pPr>
        <w:rPr>
          <w:b/>
        </w:rPr>
      </w:pPr>
      <w:r w:rsidRPr="00BA2CA4">
        <w:t>To achieve this, Museum Victoria will work towards the following outcomes:</w:t>
      </w:r>
    </w:p>
    <w:p w14:paraId="20B0CBCF" w14:textId="7B674D24" w:rsidR="00BA2CA4" w:rsidRPr="00BA2CA4" w:rsidRDefault="00BA2CA4" w:rsidP="00BA2CA4">
      <w:pPr>
        <w:numPr>
          <w:ilvl w:val="0"/>
          <w:numId w:val="4"/>
        </w:numPr>
        <w:ind w:left="426" w:hanging="426"/>
      </w:pPr>
      <w:r w:rsidRPr="00BA2CA4">
        <w:t xml:space="preserve">Staff are able to identify how their work contributes to the networked organisation </w:t>
      </w:r>
    </w:p>
    <w:p w14:paraId="398796D9" w14:textId="45074B8C" w:rsidR="00BA2CA4" w:rsidRPr="00BA2CA4" w:rsidRDefault="00BA2CA4" w:rsidP="00BA2CA4">
      <w:pPr>
        <w:numPr>
          <w:ilvl w:val="0"/>
          <w:numId w:val="4"/>
        </w:numPr>
        <w:ind w:left="426" w:hanging="426"/>
      </w:pPr>
      <w:r w:rsidRPr="00BA2CA4">
        <w:t>Museum Victoria has an active safety culture</w:t>
      </w:r>
    </w:p>
    <w:p w14:paraId="21B2C3B9" w14:textId="43EA223C" w:rsidR="00BA2CA4" w:rsidRPr="00BA2CA4" w:rsidRDefault="00BA2CA4" w:rsidP="00BA2CA4">
      <w:pPr>
        <w:numPr>
          <w:ilvl w:val="0"/>
          <w:numId w:val="4"/>
        </w:numPr>
        <w:ind w:left="426" w:hanging="426"/>
      </w:pPr>
      <w:r w:rsidRPr="00BA2CA4">
        <w:t>Our diverse revenue streams produce an increasing return</w:t>
      </w:r>
    </w:p>
    <w:p w14:paraId="620B4F38" w14:textId="0830329D" w:rsidR="00BA2CA4" w:rsidRPr="00BA2CA4" w:rsidRDefault="00BA2CA4" w:rsidP="00BA2CA4">
      <w:pPr>
        <w:numPr>
          <w:ilvl w:val="0"/>
          <w:numId w:val="4"/>
        </w:numPr>
        <w:ind w:left="426" w:hanging="426"/>
      </w:pPr>
      <w:r w:rsidRPr="00BA2CA4">
        <w:t>Our business processes are integrated and easy to use</w:t>
      </w:r>
    </w:p>
    <w:p w14:paraId="62919770" w14:textId="465AE5BF" w:rsidR="00BA2CA4" w:rsidRDefault="00BA2CA4" w:rsidP="00BA2CA4">
      <w:pPr>
        <w:numPr>
          <w:ilvl w:val="0"/>
          <w:numId w:val="4"/>
        </w:numPr>
        <w:ind w:left="426" w:hanging="426"/>
      </w:pPr>
      <w:r w:rsidRPr="00BA2CA4">
        <w:t>Staff are accountable for the sound stewardship of Museum Victoria resources.</w:t>
      </w:r>
    </w:p>
    <w:p w14:paraId="714B70B0" w14:textId="77777777" w:rsidR="007B4A5B" w:rsidRPr="00521C8E" w:rsidRDefault="007B4A5B" w:rsidP="007B4A5B"/>
    <w:p w14:paraId="066B853F" w14:textId="77777777" w:rsidR="00BA2CA4" w:rsidRPr="00BA2CA4" w:rsidRDefault="00BA2CA4" w:rsidP="00521C8E">
      <w:pPr>
        <w:pStyle w:val="Heading3"/>
      </w:pPr>
      <w:r w:rsidRPr="00BA2CA4">
        <w:t>Building Victoria’s Cultural Capital</w:t>
      </w:r>
    </w:p>
    <w:p w14:paraId="5C3FB47D" w14:textId="77777777" w:rsidR="000B6248" w:rsidRDefault="00BA2CA4" w:rsidP="00BA2CA4">
      <w:bookmarkStart w:id="2" w:name="_Toc128373095"/>
      <w:r w:rsidRPr="00BA2CA4">
        <w:t xml:space="preserve">Victoria’s cultural sector underpins the strength of the economy by generating jobs, supporting creative industries and attracting tourists from interstate and overseas. However, simply maintaining the current state of the sector is not enough. New opportunities must be exploited to ensure Victoria upholds its position as Australia’s arts and cultural capital. </w:t>
      </w:r>
    </w:p>
    <w:p w14:paraId="65E38864" w14:textId="12FC065D" w:rsidR="00BA2CA4" w:rsidRPr="00BA2CA4" w:rsidRDefault="00BA2CA4" w:rsidP="00BA2CA4">
      <w:r w:rsidRPr="00BA2CA4">
        <w:t>To achieve this, Museum Victoria will work towards the following outcomes:</w:t>
      </w:r>
    </w:p>
    <w:p w14:paraId="64F4619B" w14:textId="3C126A35" w:rsidR="00BA2CA4" w:rsidRPr="00BA2CA4" w:rsidRDefault="00BA2CA4" w:rsidP="00BA2CA4">
      <w:pPr>
        <w:numPr>
          <w:ilvl w:val="0"/>
          <w:numId w:val="5"/>
        </w:numPr>
        <w:ind w:left="426" w:hanging="426"/>
      </w:pPr>
      <w:r w:rsidRPr="00BA2CA4">
        <w:t>The Scienceworks precinct is developed to build understanding and skills in science and technology that support economic growth in Victoria</w:t>
      </w:r>
    </w:p>
    <w:p w14:paraId="0E516C20" w14:textId="29813D6F" w:rsidR="00BA2CA4" w:rsidRPr="00BA2CA4" w:rsidRDefault="00BA2CA4" w:rsidP="00BA2CA4">
      <w:pPr>
        <w:numPr>
          <w:ilvl w:val="0"/>
          <w:numId w:val="5"/>
        </w:numPr>
        <w:ind w:left="426" w:hanging="426"/>
      </w:pPr>
      <w:r w:rsidRPr="00BA2CA4">
        <w:t>A greater exchange of people, expertise, products and services takes place with Asian scientific and cultural institutions</w:t>
      </w:r>
    </w:p>
    <w:p w14:paraId="64ADC1EB" w14:textId="5E1E9E6B" w:rsidR="00BA2CA4" w:rsidRPr="00BA2CA4" w:rsidRDefault="00BA2CA4" w:rsidP="00BA2CA4">
      <w:pPr>
        <w:numPr>
          <w:ilvl w:val="0"/>
          <w:numId w:val="5"/>
        </w:numPr>
        <w:ind w:left="426" w:hanging="426"/>
      </w:pPr>
      <w:r w:rsidRPr="00BA2CA4">
        <w:t>The unique scientific and heritage record of the State Collection is developed and preserved for future generations</w:t>
      </w:r>
    </w:p>
    <w:p w14:paraId="78F53A58" w14:textId="57B05991" w:rsidR="00BA2CA4" w:rsidRPr="00BA2CA4" w:rsidRDefault="00BA2CA4" w:rsidP="00BA2CA4">
      <w:pPr>
        <w:numPr>
          <w:ilvl w:val="0"/>
          <w:numId w:val="5"/>
        </w:numPr>
        <w:ind w:left="426" w:hanging="426"/>
      </w:pPr>
      <w:r w:rsidRPr="00BA2CA4">
        <w:t>The Melbourne Museum precinct</w:t>
      </w:r>
      <w:r w:rsidRPr="00BA2CA4">
        <w:softHyphen/>
        <w:t xml:space="preserve"> – incorporating the Royal Exhibition Building and Bunjilaka – is widely recognised as an exceptional cultural destination</w:t>
      </w:r>
    </w:p>
    <w:p w14:paraId="72CC4A56" w14:textId="6355D234" w:rsidR="00BA2CA4" w:rsidRPr="001A0ADF" w:rsidRDefault="00BA2CA4" w:rsidP="00BA2CA4">
      <w:pPr>
        <w:numPr>
          <w:ilvl w:val="0"/>
          <w:numId w:val="5"/>
        </w:numPr>
        <w:ind w:left="426" w:hanging="426"/>
        <w:rPr>
          <w:rFonts w:cs="Arial"/>
          <w:szCs w:val="22"/>
        </w:rPr>
      </w:pPr>
      <w:r w:rsidRPr="00BA2CA4">
        <w:t>The Immigration Museum is recognised as a leader in building intercultural understanding in the Victorian community.</w:t>
      </w:r>
      <w:bookmarkEnd w:id="2"/>
    </w:p>
    <w:p w14:paraId="6E6DF3BF" w14:textId="77777777" w:rsidR="001A0ADF" w:rsidRDefault="001A0ADF" w:rsidP="001A0ADF"/>
    <w:p w14:paraId="0B2CE4F2" w14:textId="6A6039FA" w:rsidR="001A0ADF" w:rsidRPr="00521C8E" w:rsidRDefault="001A0ADF" w:rsidP="001A0ADF">
      <w:pPr>
        <w:rPr>
          <w:rFonts w:cs="Arial"/>
          <w:szCs w:val="22"/>
        </w:rPr>
      </w:pPr>
      <w:r w:rsidRPr="001A0ADF">
        <w:rPr>
          <w:rFonts w:cs="Arial"/>
          <w:szCs w:val="22"/>
        </w:rPr>
        <w:t>A report on our key initiatives and projects under each strategic direction is presented in the following pages</w:t>
      </w:r>
    </w:p>
    <w:p w14:paraId="610B2655" w14:textId="3AAFB1A4" w:rsidR="00521C8E" w:rsidRPr="006928E8" w:rsidRDefault="00521C8E" w:rsidP="006928E8">
      <w:pPr>
        <w:spacing w:after="200" w:line="276" w:lineRule="auto"/>
      </w:pPr>
      <w:r>
        <w:br w:type="page"/>
      </w:r>
    </w:p>
    <w:p w14:paraId="762F13BC" w14:textId="77777777" w:rsidR="007B4A5B" w:rsidRDefault="00BA2CA4" w:rsidP="00727740">
      <w:pPr>
        <w:keepNext/>
        <w:spacing w:after="120"/>
        <w:outlineLvl w:val="1"/>
        <w:rPr>
          <w:b/>
          <w:sz w:val="36"/>
        </w:rPr>
      </w:pPr>
      <w:r w:rsidRPr="00521C8E">
        <w:rPr>
          <w:rStyle w:val="Heading2Char"/>
        </w:rPr>
        <w:lastRenderedPageBreak/>
        <w:t>Strategic Direction 1</w:t>
      </w:r>
      <w:r w:rsidRPr="00BA2CA4">
        <w:rPr>
          <w:b/>
          <w:sz w:val="36"/>
        </w:rPr>
        <w:t>:</w:t>
      </w:r>
    </w:p>
    <w:p w14:paraId="6783FB2F" w14:textId="327A13E5" w:rsidR="006928E8" w:rsidRDefault="00BA2CA4" w:rsidP="00727740">
      <w:pPr>
        <w:keepNext/>
        <w:spacing w:after="120"/>
        <w:outlineLvl w:val="1"/>
        <w:rPr>
          <w:rStyle w:val="Heading2Char"/>
        </w:rPr>
      </w:pPr>
      <w:r w:rsidRPr="00521C8E">
        <w:rPr>
          <w:rStyle w:val="Heading2Char"/>
        </w:rPr>
        <w:t>Deepening Connections</w:t>
      </w:r>
    </w:p>
    <w:p w14:paraId="520C3834" w14:textId="77777777" w:rsidR="009E51A8" w:rsidRPr="00727740" w:rsidRDefault="009E51A8" w:rsidP="0094180C"/>
    <w:p w14:paraId="3B618072" w14:textId="77777777" w:rsidR="00BA2CA4" w:rsidRPr="00BA2CA4" w:rsidRDefault="00BA2CA4" w:rsidP="00521C8E">
      <w:pPr>
        <w:pStyle w:val="Heading3"/>
      </w:pPr>
      <w:r w:rsidRPr="00BA2CA4">
        <w:t>Tailoring Museum Experiences</w:t>
      </w:r>
    </w:p>
    <w:p w14:paraId="26897AF2" w14:textId="3E3B85BD" w:rsidR="00BA2CA4" w:rsidRPr="00BA2CA4" w:rsidRDefault="00BA2CA4" w:rsidP="00BA2CA4">
      <w:r w:rsidRPr="00BA2CA4">
        <w:t xml:space="preserve">An important project to refresh Museum Victoria’s decade-old suite of brands was completed in September. Leading international agency Interbrand </w:t>
      </w:r>
      <w:r w:rsidR="00DF4B13">
        <w:rPr>
          <w:rFonts w:cs="Arial"/>
          <w:color w:val="000000" w:themeColor="text1"/>
          <w:szCs w:val="22"/>
        </w:rPr>
        <w:t>worked with</w:t>
      </w:r>
      <w:r w:rsidR="00DF4B13" w:rsidRPr="006138EA">
        <w:rPr>
          <w:rFonts w:cs="Arial"/>
          <w:color w:val="000000" w:themeColor="text1"/>
          <w:szCs w:val="22"/>
        </w:rPr>
        <w:t xml:space="preserve"> staff from across Museum Victoria </w:t>
      </w:r>
      <w:r w:rsidR="00DF4B13" w:rsidRPr="00E05DA6">
        <w:t>to develop</w:t>
      </w:r>
      <w:r w:rsidR="00DF4B13">
        <w:t xml:space="preserve"> new</w:t>
      </w:r>
      <w:r w:rsidR="00DF4B13" w:rsidRPr="00E05DA6">
        <w:t xml:space="preserve"> brand positions </w:t>
      </w:r>
      <w:r w:rsidR="00DF4B13">
        <w:t>that are</w:t>
      </w:r>
      <w:r w:rsidR="00DF4B13" w:rsidRPr="00E05DA6">
        <w:t xml:space="preserve"> guid</w:t>
      </w:r>
      <w:r w:rsidR="00DF4B13">
        <w:t>ing</w:t>
      </w:r>
      <w:r w:rsidR="00DF4B13" w:rsidRPr="00E05DA6">
        <w:t xml:space="preserve"> the </w:t>
      </w:r>
      <w:r w:rsidR="00DF4B13">
        <w:t>creation</w:t>
      </w:r>
      <w:r w:rsidR="00DF4B13" w:rsidRPr="00E05DA6">
        <w:t xml:space="preserve"> of </w:t>
      </w:r>
      <w:r w:rsidR="00DF4B13">
        <w:t xml:space="preserve">outstanding </w:t>
      </w:r>
      <w:r w:rsidR="00DF4B13" w:rsidRPr="00E05DA6">
        <w:t>museum experiences</w:t>
      </w:r>
      <w:r w:rsidR="00DF4B13">
        <w:t xml:space="preserve"> </w:t>
      </w:r>
      <w:r w:rsidR="00DF4B13" w:rsidRPr="00E05DA6">
        <w:t>for current and future audiences, allowing us to maximise our unique offer</w:t>
      </w:r>
      <w:r w:rsidR="00DF4B13">
        <w:t xml:space="preserve"> and</w:t>
      </w:r>
      <w:r w:rsidR="00DF4B13" w:rsidRPr="00E05DA6">
        <w:t xml:space="preserve"> capabilities.</w:t>
      </w:r>
    </w:p>
    <w:p w14:paraId="033E4E1D" w14:textId="77777777" w:rsidR="00BA2CA4" w:rsidRPr="00BA2CA4" w:rsidRDefault="00BA2CA4" w:rsidP="006928E8"/>
    <w:p w14:paraId="0CEE9E53" w14:textId="6EAA6656" w:rsidR="00BA2CA4" w:rsidRPr="00BA2CA4" w:rsidRDefault="00BA2CA4" w:rsidP="00BA2CA4">
      <w:r w:rsidRPr="00BA2CA4">
        <w:t>The Museum Members program delivered a range of enhancements</w:t>
      </w:r>
      <w:r w:rsidR="0053517C">
        <w:t>,</w:t>
      </w:r>
      <w:r w:rsidRPr="00BA2CA4">
        <w:t xml:space="preserve"> with the goal of increasing memberships and renewals. </w:t>
      </w:r>
      <w:r w:rsidR="008D5955">
        <w:t>F</w:t>
      </w:r>
      <w:r w:rsidRPr="00BA2CA4">
        <w:t xml:space="preserve">eatures of the </w:t>
      </w:r>
      <w:r w:rsidR="008D5955">
        <w:t xml:space="preserve">refreshed </w:t>
      </w:r>
      <w:r w:rsidRPr="00BA2CA4">
        <w:t>program include a new</w:t>
      </w:r>
      <w:r w:rsidR="0053517C">
        <w:t>-</w:t>
      </w:r>
      <w:r w:rsidRPr="00BA2CA4">
        <w:t xml:space="preserve">look membership card and welcome pack, and </w:t>
      </w:r>
      <w:r w:rsidRPr="00BA2CA4">
        <w:rPr>
          <w:i/>
        </w:rPr>
        <w:t>Discover</w:t>
      </w:r>
      <w:r w:rsidRPr="00BA2CA4">
        <w:t xml:space="preserve">, a quarterly publication that reveals stories from behind the scenes at </w:t>
      </w:r>
      <w:r w:rsidR="0071076F">
        <w:t>the m</w:t>
      </w:r>
      <w:r w:rsidRPr="00BA2CA4">
        <w:t>useum.</w:t>
      </w:r>
      <w:r w:rsidR="00903D8A">
        <w:t xml:space="preserve"> In</w:t>
      </w:r>
      <w:r w:rsidRPr="00BA2CA4">
        <w:t xml:space="preserve"> 2015–16</w:t>
      </w:r>
      <w:r w:rsidR="0078098E">
        <w:t>,</w:t>
      </w:r>
      <w:r w:rsidRPr="00BA2CA4">
        <w:t xml:space="preserve"> </w:t>
      </w:r>
      <w:r w:rsidR="00903D8A">
        <w:t>a</w:t>
      </w:r>
      <w:r w:rsidR="00903D8A" w:rsidRPr="00BA2CA4">
        <w:t xml:space="preserve"> </w:t>
      </w:r>
      <w:r w:rsidRPr="00BA2CA4">
        <w:t xml:space="preserve">very strong overall result </w:t>
      </w:r>
      <w:r w:rsidR="008D5955">
        <w:t>for the membership program</w:t>
      </w:r>
      <w:r w:rsidR="00903D8A">
        <w:t xml:space="preserve"> was achieved</w:t>
      </w:r>
      <w:r w:rsidR="008D5955">
        <w:t xml:space="preserve">, </w:t>
      </w:r>
      <w:r w:rsidRPr="00BA2CA4">
        <w:t xml:space="preserve">with </w:t>
      </w:r>
      <w:r w:rsidR="00575FC2">
        <w:t>16,295</w:t>
      </w:r>
      <w:r w:rsidR="00B25D36">
        <w:t xml:space="preserve"> </w:t>
      </w:r>
      <w:r w:rsidRPr="00BA2CA4">
        <w:t>members and high visitation across all museums.</w:t>
      </w:r>
    </w:p>
    <w:p w14:paraId="2E58F942" w14:textId="77777777" w:rsidR="00BA2CA4" w:rsidRPr="00BA2CA4" w:rsidRDefault="00BA2CA4" w:rsidP="00BA2CA4">
      <w:pPr>
        <w:rPr>
          <w:rFonts w:cs="Arial"/>
        </w:rPr>
      </w:pPr>
    </w:p>
    <w:p w14:paraId="0DD5219B" w14:textId="282CB2D8" w:rsidR="00BA2CA4" w:rsidRDefault="00BA2CA4" w:rsidP="00451BC0">
      <w:pPr>
        <w:rPr>
          <w:rFonts w:cs="Arial"/>
        </w:rPr>
      </w:pPr>
      <w:r w:rsidRPr="00BA2CA4">
        <w:rPr>
          <w:rFonts w:cs="Arial"/>
        </w:rPr>
        <w:t xml:space="preserve">Due to the success of the Immigration Museum’s </w:t>
      </w:r>
      <w:r w:rsidR="00EA66B8">
        <w:rPr>
          <w:rFonts w:cs="Arial"/>
        </w:rPr>
        <w:t>m</w:t>
      </w:r>
      <w:r w:rsidRPr="00BA2CA4">
        <w:rPr>
          <w:rFonts w:cs="Arial"/>
        </w:rPr>
        <w:t xml:space="preserve">ultilingual tour guide, it has been expanded </w:t>
      </w:r>
      <w:r w:rsidR="00903D8A">
        <w:rPr>
          <w:rFonts w:cs="Arial"/>
        </w:rPr>
        <w:t xml:space="preserve">to </w:t>
      </w:r>
      <w:r w:rsidRPr="00BA2CA4">
        <w:rPr>
          <w:rFonts w:cs="Arial"/>
        </w:rPr>
        <w:t xml:space="preserve">include </w:t>
      </w:r>
      <w:r w:rsidRPr="000720D0">
        <w:rPr>
          <w:rFonts w:cs="Arial"/>
        </w:rPr>
        <w:t>nine</w:t>
      </w:r>
      <w:r w:rsidRPr="00BA2CA4">
        <w:rPr>
          <w:rFonts w:cs="Arial"/>
        </w:rPr>
        <w:t xml:space="preserve"> languages. This breadth of languages </w:t>
      </w:r>
      <w:r w:rsidR="00EA66B8">
        <w:rPr>
          <w:rFonts w:cs="Arial"/>
        </w:rPr>
        <w:t>aims to serve</w:t>
      </w:r>
      <w:r w:rsidRPr="00BA2CA4">
        <w:rPr>
          <w:rFonts w:cs="Arial"/>
        </w:rPr>
        <w:t xml:space="preserve"> both local and touris</w:t>
      </w:r>
      <w:r w:rsidR="00E14893">
        <w:rPr>
          <w:rFonts w:cs="Arial"/>
        </w:rPr>
        <w:t>t</w:t>
      </w:r>
      <w:r w:rsidRPr="00BA2CA4">
        <w:rPr>
          <w:rFonts w:cs="Arial"/>
        </w:rPr>
        <w:t xml:space="preserve"> audiences</w:t>
      </w:r>
      <w:r w:rsidR="00EA66B8">
        <w:rPr>
          <w:rFonts w:cs="Arial"/>
        </w:rPr>
        <w:t>.</w:t>
      </w:r>
    </w:p>
    <w:p w14:paraId="0D2CB853" w14:textId="77777777" w:rsidR="00521C8E" w:rsidRPr="00521C8E" w:rsidRDefault="00521C8E" w:rsidP="00451BC0">
      <w:pPr>
        <w:rPr>
          <w:rFonts w:cs="Arial"/>
        </w:rPr>
      </w:pPr>
    </w:p>
    <w:p w14:paraId="3EEAEC3F" w14:textId="2FF35EE7" w:rsidR="00BA2CA4" w:rsidRPr="00BA2CA4" w:rsidRDefault="00E14893" w:rsidP="00451BC0">
      <w:pPr>
        <w:rPr>
          <w:rFonts w:eastAsiaTheme="minorHAnsi" w:cs="Arial"/>
          <w:szCs w:val="22"/>
          <w:lang w:eastAsia="en-US"/>
        </w:rPr>
      </w:pPr>
      <w:r>
        <w:rPr>
          <w:rFonts w:cs="Arial"/>
        </w:rPr>
        <w:t>Several</w:t>
      </w:r>
      <w:r w:rsidR="00BA2CA4" w:rsidRPr="00BA2CA4">
        <w:rPr>
          <w:rFonts w:cs="Arial"/>
        </w:rPr>
        <w:t xml:space="preserve"> Melbourne Planetarium after</w:t>
      </w:r>
      <w:r w:rsidR="00C77140">
        <w:rPr>
          <w:rFonts w:cs="Arial"/>
        </w:rPr>
        <w:t>-</w:t>
      </w:r>
      <w:r w:rsidR="00BA2CA4" w:rsidRPr="00BA2CA4">
        <w:rPr>
          <w:rFonts w:cs="Arial"/>
        </w:rPr>
        <w:t xml:space="preserve">hours programs were piloted </w:t>
      </w:r>
      <w:r w:rsidR="00C77140">
        <w:rPr>
          <w:rFonts w:cs="Arial"/>
        </w:rPr>
        <w:t>during the year, including</w:t>
      </w:r>
      <w:r w:rsidR="00C77140">
        <w:rPr>
          <w:rFonts w:eastAsiaTheme="minorHAnsi" w:cs="Arial"/>
          <w:szCs w:val="22"/>
          <w:lang w:eastAsia="en-US"/>
        </w:rPr>
        <w:t xml:space="preserve"> </w:t>
      </w:r>
      <w:r w:rsidR="00BA2CA4" w:rsidRPr="00BA2CA4">
        <w:rPr>
          <w:rFonts w:eastAsiaTheme="minorHAnsi" w:cs="Arial"/>
          <w:szCs w:val="22"/>
          <w:lang w:eastAsia="en-US"/>
        </w:rPr>
        <w:t>Yuri’s Night Space Party</w:t>
      </w:r>
      <w:r w:rsidR="00C77140">
        <w:rPr>
          <w:rFonts w:eastAsiaTheme="minorHAnsi" w:cs="Arial"/>
          <w:szCs w:val="22"/>
          <w:lang w:eastAsia="en-US"/>
        </w:rPr>
        <w:t xml:space="preserve">, which </w:t>
      </w:r>
      <w:r w:rsidR="00BA2CA4" w:rsidRPr="00BA2CA4">
        <w:rPr>
          <w:rFonts w:eastAsiaTheme="minorHAnsi" w:cs="Arial"/>
          <w:szCs w:val="22"/>
          <w:lang w:eastAsia="en-US"/>
        </w:rPr>
        <w:t>mark</w:t>
      </w:r>
      <w:r w:rsidR="00C77140">
        <w:rPr>
          <w:rFonts w:eastAsiaTheme="minorHAnsi" w:cs="Arial"/>
          <w:szCs w:val="22"/>
          <w:lang w:eastAsia="en-US"/>
        </w:rPr>
        <w:t>ed</w:t>
      </w:r>
      <w:r w:rsidR="00BA2CA4" w:rsidRPr="00BA2CA4">
        <w:rPr>
          <w:rFonts w:eastAsiaTheme="minorHAnsi" w:cs="Arial"/>
          <w:szCs w:val="22"/>
          <w:lang w:eastAsia="en-US"/>
        </w:rPr>
        <w:t xml:space="preserve"> the anniversary of Yuri Gagarin</w:t>
      </w:r>
      <w:r w:rsidR="00C77140">
        <w:rPr>
          <w:rFonts w:eastAsiaTheme="minorHAnsi" w:cs="Arial"/>
          <w:szCs w:val="22"/>
          <w:lang w:eastAsia="en-US"/>
        </w:rPr>
        <w:t xml:space="preserve">’s trip into space; the </w:t>
      </w:r>
      <w:r w:rsidR="00BA2CA4" w:rsidRPr="00BA2CA4">
        <w:rPr>
          <w:rFonts w:eastAsiaTheme="minorHAnsi" w:cs="Arial"/>
          <w:szCs w:val="22"/>
          <w:lang w:eastAsia="en-US"/>
        </w:rPr>
        <w:t>Astronomy and Light Festival</w:t>
      </w:r>
      <w:r w:rsidR="00C77140">
        <w:rPr>
          <w:rFonts w:eastAsiaTheme="minorHAnsi" w:cs="Arial"/>
          <w:szCs w:val="22"/>
          <w:lang w:eastAsia="en-US"/>
        </w:rPr>
        <w:t>, a</w:t>
      </w:r>
      <w:r w:rsidR="00BA2CA4" w:rsidRPr="00BA2CA4">
        <w:rPr>
          <w:rFonts w:eastAsiaTheme="minorHAnsi" w:cs="Arial"/>
          <w:szCs w:val="22"/>
          <w:lang w:eastAsia="en-US"/>
        </w:rPr>
        <w:t xml:space="preserve"> celebration of the International Year of Light and National Science Week</w:t>
      </w:r>
      <w:r w:rsidR="00C77140">
        <w:rPr>
          <w:rFonts w:eastAsiaTheme="minorHAnsi" w:cs="Arial"/>
          <w:szCs w:val="22"/>
          <w:lang w:eastAsia="en-US"/>
        </w:rPr>
        <w:t xml:space="preserve">; </w:t>
      </w:r>
      <w:r w:rsidR="00BA2CA4" w:rsidRPr="00BA2CA4">
        <w:rPr>
          <w:rFonts w:eastAsiaTheme="minorHAnsi" w:cs="Arial"/>
          <w:szCs w:val="22"/>
          <w:lang w:eastAsia="en-US"/>
        </w:rPr>
        <w:t>Valentine’s Day Under the Stars</w:t>
      </w:r>
      <w:r w:rsidR="00C77140">
        <w:rPr>
          <w:rFonts w:eastAsiaTheme="minorHAnsi" w:cs="Arial"/>
          <w:szCs w:val="22"/>
          <w:lang w:eastAsia="en-US"/>
        </w:rPr>
        <w:t xml:space="preserve">, </w:t>
      </w:r>
      <w:r w:rsidR="00BA2CA4" w:rsidRPr="00BA2CA4">
        <w:rPr>
          <w:rFonts w:eastAsiaTheme="minorHAnsi" w:cs="Arial"/>
          <w:szCs w:val="22"/>
          <w:lang w:eastAsia="en-US"/>
        </w:rPr>
        <w:t xml:space="preserve">a full weekend of sessions </w:t>
      </w:r>
      <w:r>
        <w:rPr>
          <w:rFonts w:eastAsiaTheme="minorHAnsi" w:cs="Arial"/>
          <w:szCs w:val="22"/>
          <w:lang w:eastAsia="en-US"/>
        </w:rPr>
        <w:t>in which</w:t>
      </w:r>
      <w:r w:rsidRPr="00BA2CA4">
        <w:rPr>
          <w:rFonts w:eastAsiaTheme="minorHAnsi" w:cs="Arial"/>
          <w:szCs w:val="22"/>
          <w:lang w:eastAsia="en-US"/>
        </w:rPr>
        <w:t xml:space="preserve"> </w:t>
      </w:r>
      <w:r w:rsidR="00BA2CA4" w:rsidRPr="00BA2CA4">
        <w:rPr>
          <w:rFonts w:eastAsiaTheme="minorHAnsi" w:cs="Arial"/>
          <w:szCs w:val="22"/>
          <w:lang w:eastAsia="en-US"/>
        </w:rPr>
        <w:t xml:space="preserve">couples were treated to a romantic Planetarium show, </w:t>
      </w:r>
      <w:r>
        <w:rPr>
          <w:rFonts w:eastAsiaTheme="minorHAnsi" w:cs="Arial"/>
          <w:szCs w:val="22"/>
          <w:lang w:eastAsia="en-US"/>
        </w:rPr>
        <w:t xml:space="preserve">with </w:t>
      </w:r>
      <w:r w:rsidR="00BA2CA4" w:rsidRPr="00BA2CA4">
        <w:rPr>
          <w:rFonts w:eastAsiaTheme="minorHAnsi" w:cs="Arial"/>
          <w:szCs w:val="22"/>
          <w:lang w:eastAsia="en-US"/>
        </w:rPr>
        <w:t>wine, cheese and telescope viewings</w:t>
      </w:r>
      <w:r w:rsidR="00C77140">
        <w:rPr>
          <w:rFonts w:eastAsiaTheme="minorHAnsi" w:cs="Arial"/>
          <w:szCs w:val="22"/>
          <w:lang w:eastAsia="en-US"/>
        </w:rPr>
        <w:t xml:space="preserve">; and the </w:t>
      </w:r>
      <w:r w:rsidR="00BA2CA4" w:rsidRPr="00BA2CA4">
        <w:rPr>
          <w:rFonts w:eastAsiaTheme="minorHAnsi" w:cs="Arial"/>
          <w:szCs w:val="22"/>
          <w:lang w:eastAsia="en-US"/>
        </w:rPr>
        <w:t>Environmental Film Festival Australia</w:t>
      </w:r>
      <w:r w:rsidR="00B5063F">
        <w:rPr>
          <w:rFonts w:eastAsiaTheme="minorHAnsi" w:cs="Arial"/>
          <w:szCs w:val="22"/>
          <w:lang w:eastAsia="en-US"/>
        </w:rPr>
        <w:t>, which aims</w:t>
      </w:r>
      <w:r w:rsidR="00BA2CA4" w:rsidRPr="00BA2CA4">
        <w:rPr>
          <w:rFonts w:eastAsiaTheme="minorHAnsi" w:cs="Arial"/>
          <w:szCs w:val="22"/>
          <w:lang w:eastAsia="en-US"/>
        </w:rPr>
        <w:t xml:space="preserve"> to advance understanding of environmental issues. </w:t>
      </w:r>
    </w:p>
    <w:p w14:paraId="5575FE68" w14:textId="77777777" w:rsidR="00BA2CA4" w:rsidRPr="00BA2CA4" w:rsidRDefault="00BA2CA4" w:rsidP="00BA2CA4">
      <w:pPr>
        <w:rPr>
          <w:rFonts w:cs="Arial"/>
        </w:rPr>
      </w:pPr>
    </w:p>
    <w:p w14:paraId="42737F44" w14:textId="441789C4" w:rsidR="00BA2CA4" w:rsidRPr="00BA2CA4" w:rsidRDefault="00BA2CA4" w:rsidP="00BA2CA4">
      <w:pPr>
        <w:rPr>
          <w:rFonts w:cs="Arial"/>
        </w:rPr>
      </w:pPr>
      <w:r w:rsidRPr="00BA2CA4">
        <w:rPr>
          <w:rFonts w:cs="Arial"/>
        </w:rPr>
        <w:t xml:space="preserve">The Museum Victoria Outreach Program delivered </w:t>
      </w:r>
      <w:r w:rsidR="008755F4">
        <w:rPr>
          <w:rFonts w:cs="Arial"/>
        </w:rPr>
        <w:t xml:space="preserve">923 </w:t>
      </w:r>
      <w:r w:rsidRPr="00BA2CA4">
        <w:rPr>
          <w:rFonts w:cs="Arial"/>
        </w:rPr>
        <w:t xml:space="preserve">presentations and </w:t>
      </w:r>
      <w:r w:rsidR="008755F4">
        <w:rPr>
          <w:rFonts w:cs="Arial"/>
        </w:rPr>
        <w:t xml:space="preserve">323 </w:t>
      </w:r>
      <w:r w:rsidRPr="00BA2CA4">
        <w:rPr>
          <w:rFonts w:cs="Arial"/>
        </w:rPr>
        <w:t xml:space="preserve">loan kits to </w:t>
      </w:r>
      <w:r w:rsidR="008755F4">
        <w:rPr>
          <w:rFonts w:cs="Arial"/>
        </w:rPr>
        <w:t xml:space="preserve">46,859 </w:t>
      </w:r>
      <w:r w:rsidRPr="00BA2CA4">
        <w:rPr>
          <w:rFonts w:cs="Arial"/>
        </w:rPr>
        <w:t xml:space="preserve">people during </w:t>
      </w:r>
      <w:r w:rsidR="00EC3C5D">
        <w:rPr>
          <w:rFonts w:cs="Arial"/>
        </w:rPr>
        <w:t>the year</w:t>
      </w:r>
      <w:r w:rsidRPr="00BA2CA4">
        <w:rPr>
          <w:rFonts w:cs="Arial"/>
        </w:rPr>
        <w:t>. A new regional partnership</w:t>
      </w:r>
      <w:r w:rsidR="00EC3C5D">
        <w:rPr>
          <w:rFonts w:cs="Arial"/>
        </w:rPr>
        <w:t xml:space="preserve"> was established</w:t>
      </w:r>
      <w:r w:rsidRPr="00BA2CA4">
        <w:rPr>
          <w:rFonts w:cs="Arial"/>
        </w:rPr>
        <w:t xml:space="preserve"> with the Tarra Festival in Yarram (South Gippsland)</w:t>
      </w:r>
      <w:r w:rsidR="00EC3C5D">
        <w:rPr>
          <w:rFonts w:cs="Arial"/>
        </w:rPr>
        <w:t xml:space="preserve"> and o</w:t>
      </w:r>
      <w:r w:rsidRPr="00BA2CA4">
        <w:rPr>
          <w:rFonts w:cs="Arial"/>
        </w:rPr>
        <w:t>verall</w:t>
      </w:r>
      <w:r w:rsidR="00EC3C5D">
        <w:rPr>
          <w:rFonts w:cs="Arial"/>
        </w:rPr>
        <w:t xml:space="preserve"> </w:t>
      </w:r>
      <w:r w:rsidRPr="00BA2CA4">
        <w:rPr>
          <w:rFonts w:cs="Arial"/>
        </w:rPr>
        <w:t xml:space="preserve">regional festival engagement </w:t>
      </w:r>
      <w:r w:rsidR="00EC3C5D">
        <w:rPr>
          <w:rFonts w:cs="Arial"/>
        </w:rPr>
        <w:t xml:space="preserve">for the year </w:t>
      </w:r>
      <w:r w:rsidRPr="00BA2CA4">
        <w:rPr>
          <w:rFonts w:cs="Arial"/>
        </w:rPr>
        <w:t>is estimated at 49,</w:t>
      </w:r>
      <w:r w:rsidR="008755F4">
        <w:rPr>
          <w:rFonts w:cs="Arial"/>
        </w:rPr>
        <w:t>345</w:t>
      </w:r>
      <w:r w:rsidRPr="00BA2CA4">
        <w:rPr>
          <w:rFonts w:cs="Arial"/>
        </w:rPr>
        <w:t>.</w:t>
      </w:r>
    </w:p>
    <w:p w14:paraId="63E62633" w14:textId="77777777" w:rsidR="00BA2CA4" w:rsidRPr="00BA2CA4" w:rsidRDefault="00BA2CA4" w:rsidP="006928E8">
      <w:pPr>
        <w:contextualSpacing/>
        <w:rPr>
          <w:rFonts w:eastAsiaTheme="minorHAnsi" w:cs="Arial"/>
          <w:szCs w:val="22"/>
          <w:lang w:eastAsia="en-US"/>
        </w:rPr>
      </w:pPr>
    </w:p>
    <w:p w14:paraId="0F544BD8" w14:textId="231471E2" w:rsidR="00BA2CA4" w:rsidRPr="00BA2CA4" w:rsidRDefault="00BA2CA4" w:rsidP="00BA2CA4">
      <w:pPr>
        <w:rPr>
          <w:rFonts w:cs="Arial"/>
        </w:rPr>
      </w:pPr>
      <w:r w:rsidRPr="00BA2CA4">
        <w:rPr>
          <w:rFonts w:cs="Arial"/>
        </w:rPr>
        <w:t>The Reminiscing Kit for aged</w:t>
      </w:r>
      <w:r w:rsidR="00EC346F">
        <w:rPr>
          <w:rFonts w:cs="Arial"/>
        </w:rPr>
        <w:t>-</w:t>
      </w:r>
      <w:r w:rsidRPr="00BA2CA4">
        <w:rPr>
          <w:rFonts w:cs="Arial"/>
        </w:rPr>
        <w:t>care facilities ha</w:t>
      </w:r>
      <w:r w:rsidR="00EC346F">
        <w:rPr>
          <w:rFonts w:cs="Arial"/>
        </w:rPr>
        <w:t>s</w:t>
      </w:r>
      <w:r w:rsidRPr="00BA2CA4">
        <w:rPr>
          <w:rFonts w:cs="Arial"/>
        </w:rPr>
        <w:t xml:space="preserve"> been updated to include </w:t>
      </w:r>
      <w:r w:rsidR="00EC346F">
        <w:rPr>
          <w:rFonts w:cs="Arial"/>
        </w:rPr>
        <w:t xml:space="preserve">content relating to the </w:t>
      </w:r>
      <w:r w:rsidRPr="00BA2CA4">
        <w:rPr>
          <w:rFonts w:cs="Arial"/>
        </w:rPr>
        <w:t>1950s</w:t>
      </w:r>
      <w:r w:rsidR="00F4504C">
        <w:rPr>
          <w:rFonts w:cs="Arial"/>
        </w:rPr>
        <w:t>,</w:t>
      </w:r>
      <w:r w:rsidRPr="00BA2CA4">
        <w:rPr>
          <w:rFonts w:cs="Arial"/>
        </w:rPr>
        <w:t xml:space="preserve"> reflect</w:t>
      </w:r>
      <w:r w:rsidR="00F4504C">
        <w:rPr>
          <w:rFonts w:cs="Arial"/>
        </w:rPr>
        <w:t>ing</w:t>
      </w:r>
      <w:r w:rsidRPr="00BA2CA4">
        <w:rPr>
          <w:rFonts w:cs="Arial"/>
        </w:rPr>
        <w:t xml:space="preserve"> the ag</w:t>
      </w:r>
      <w:r w:rsidR="00BD5146">
        <w:rPr>
          <w:rFonts w:cs="Arial"/>
        </w:rPr>
        <w:t>e</w:t>
      </w:r>
      <w:r w:rsidRPr="00BA2CA4">
        <w:rPr>
          <w:rFonts w:cs="Arial"/>
        </w:rPr>
        <w:t>ing population in care facilities. Due to</w:t>
      </w:r>
      <w:r w:rsidR="00EC3C5D">
        <w:rPr>
          <w:rFonts w:cs="Arial"/>
        </w:rPr>
        <w:t xml:space="preserve"> increasing</w:t>
      </w:r>
      <w:r w:rsidRPr="00BA2CA4">
        <w:rPr>
          <w:rFonts w:cs="Arial"/>
        </w:rPr>
        <w:t xml:space="preserve"> demand</w:t>
      </w:r>
      <w:r w:rsidR="00EC3C5D">
        <w:rPr>
          <w:rFonts w:cs="Arial"/>
        </w:rPr>
        <w:t>,</w:t>
      </w:r>
      <w:r w:rsidRPr="00BA2CA4">
        <w:rPr>
          <w:rFonts w:cs="Arial"/>
        </w:rPr>
        <w:t xml:space="preserve"> two new </w:t>
      </w:r>
      <w:r w:rsidR="00EC3C5D">
        <w:rPr>
          <w:rFonts w:cs="Arial"/>
        </w:rPr>
        <w:t>k</w:t>
      </w:r>
      <w:r w:rsidRPr="00BA2CA4">
        <w:rPr>
          <w:rFonts w:cs="Arial"/>
        </w:rPr>
        <w:t>its were launched in January</w:t>
      </w:r>
      <w:r w:rsidR="00EC3C5D">
        <w:rPr>
          <w:rFonts w:cs="Arial"/>
        </w:rPr>
        <w:t xml:space="preserve">: </w:t>
      </w:r>
      <w:r w:rsidRPr="000256D7">
        <w:rPr>
          <w:rFonts w:cs="Arial"/>
        </w:rPr>
        <w:t>Track and Field</w:t>
      </w:r>
      <w:r w:rsidR="00EC346F" w:rsidRPr="000256D7">
        <w:rPr>
          <w:rFonts w:cs="Arial"/>
        </w:rPr>
        <w:t>,</w:t>
      </w:r>
      <w:r w:rsidRPr="00BA2CA4">
        <w:rPr>
          <w:rFonts w:cs="Arial"/>
        </w:rPr>
        <w:t xml:space="preserve"> and </w:t>
      </w:r>
      <w:r w:rsidRPr="000256D7">
        <w:rPr>
          <w:rFonts w:cs="Arial"/>
        </w:rPr>
        <w:t xml:space="preserve">Rock </w:t>
      </w:r>
      <w:r w:rsidR="00EC346F" w:rsidRPr="00483AA1">
        <w:rPr>
          <w:rFonts w:cs="Arial"/>
        </w:rPr>
        <w:t>’</w:t>
      </w:r>
      <w:r w:rsidRPr="00483AA1">
        <w:rPr>
          <w:rFonts w:cs="Arial"/>
        </w:rPr>
        <w:t>n’ Roll</w:t>
      </w:r>
      <w:r w:rsidRPr="00BA2CA4">
        <w:rPr>
          <w:rFonts w:cs="Arial"/>
        </w:rPr>
        <w:t>.</w:t>
      </w:r>
    </w:p>
    <w:p w14:paraId="2FEE64BA" w14:textId="77777777" w:rsidR="00BA2CA4" w:rsidRPr="00BA2CA4" w:rsidRDefault="00BA2CA4" w:rsidP="006928E8">
      <w:pPr>
        <w:contextualSpacing/>
        <w:rPr>
          <w:rFonts w:eastAsiaTheme="minorHAnsi" w:cs="Arial"/>
          <w:szCs w:val="22"/>
          <w:lang w:eastAsia="en-US"/>
        </w:rPr>
      </w:pPr>
    </w:p>
    <w:p w14:paraId="679B0371" w14:textId="737FA05B" w:rsidR="00BA2CA4" w:rsidRPr="00BA2CA4" w:rsidRDefault="001B4B21" w:rsidP="00BA2CA4">
      <w:pPr>
        <w:rPr>
          <w:rFonts w:cs="Arial"/>
        </w:rPr>
      </w:pPr>
      <w:r w:rsidRPr="001B4B21">
        <w:rPr>
          <w:rFonts w:cs="Arial"/>
        </w:rPr>
        <w:t>In August, Little Kids’ Day In</w:t>
      </w:r>
      <w:r w:rsidRPr="00451BC0">
        <w:rPr>
          <w:rFonts w:cs="Arial"/>
        </w:rPr>
        <w:t>, presented at Scienceworks in</w:t>
      </w:r>
      <w:r w:rsidR="00BA2CA4" w:rsidRPr="00451BC0">
        <w:rPr>
          <w:rFonts w:cs="Arial"/>
        </w:rPr>
        <w:t xml:space="preserve"> partnership with Playgroup Victoria</w:t>
      </w:r>
      <w:r w:rsidRPr="00451BC0">
        <w:rPr>
          <w:rFonts w:cs="Arial"/>
        </w:rPr>
        <w:t>,</w:t>
      </w:r>
      <w:r w:rsidR="00BA2CA4" w:rsidRPr="00451BC0">
        <w:rPr>
          <w:rFonts w:cs="Arial"/>
        </w:rPr>
        <w:t xml:space="preserve"> achieve</w:t>
      </w:r>
      <w:r w:rsidRPr="00451BC0">
        <w:rPr>
          <w:rFonts w:cs="Arial"/>
        </w:rPr>
        <w:t>d</w:t>
      </w:r>
      <w:r w:rsidR="00BA2CA4" w:rsidRPr="00451BC0">
        <w:rPr>
          <w:rFonts w:cs="Arial"/>
        </w:rPr>
        <w:t xml:space="preserve"> the record for Biggest Playgroup in Australia (Australian Book of Records), with 425 children being logged in one hour.</w:t>
      </w:r>
      <w:r w:rsidR="00BA2CA4" w:rsidRPr="00BA2CA4">
        <w:rPr>
          <w:rFonts w:cs="Arial"/>
        </w:rPr>
        <w:t xml:space="preserve"> </w:t>
      </w:r>
    </w:p>
    <w:p w14:paraId="40DFF804" w14:textId="77777777" w:rsidR="00BA2CA4" w:rsidRPr="00BA2CA4" w:rsidRDefault="00BA2CA4" w:rsidP="006928E8">
      <w:pPr>
        <w:contextualSpacing/>
        <w:rPr>
          <w:rFonts w:eastAsiaTheme="minorHAnsi" w:cs="Arial"/>
          <w:szCs w:val="22"/>
          <w:lang w:eastAsia="en-US"/>
        </w:rPr>
      </w:pPr>
    </w:p>
    <w:p w14:paraId="6B3A95DB" w14:textId="70AFC4A7" w:rsidR="00BA2CA4" w:rsidRPr="00BA2CA4" w:rsidRDefault="00BA2CA4" w:rsidP="00BA2CA4">
      <w:pPr>
        <w:rPr>
          <w:rFonts w:cs="Arial"/>
          <w:color w:val="000000"/>
        </w:rPr>
      </w:pPr>
      <w:r w:rsidRPr="00BA2CA4">
        <w:rPr>
          <w:rFonts w:cs="Arial"/>
          <w:color w:val="000000"/>
        </w:rPr>
        <w:t xml:space="preserve">The Discovery Centres at Melbourne Museum and the Immigration Museum together managed </w:t>
      </w:r>
      <w:r w:rsidR="00B25D36" w:rsidRPr="00B25D36">
        <w:rPr>
          <w:rFonts w:cs="Arial"/>
          <w:color w:val="000000"/>
        </w:rPr>
        <w:t>7</w:t>
      </w:r>
      <w:r w:rsidR="00B25D36" w:rsidRPr="000837B5">
        <w:rPr>
          <w:rFonts w:cs="Arial"/>
          <w:color w:val="000000"/>
        </w:rPr>
        <w:t>559</w:t>
      </w:r>
      <w:r w:rsidR="00B25D36" w:rsidRPr="00BA2CA4">
        <w:rPr>
          <w:rFonts w:cs="Arial"/>
          <w:color w:val="000000"/>
        </w:rPr>
        <w:t xml:space="preserve"> </w:t>
      </w:r>
      <w:r w:rsidRPr="00BA2CA4">
        <w:rPr>
          <w:rFonts w:cs="Arial"/>
          <w:color w:val="000000"/>
        </w:rPr>
        <w:t xml:space="preserve">public enquiries and website moderations </w:t>
      </w:r>
      <w:r w:rsidR="005A0736">
        <w:rPr>
          <w:rFonts w:cs="Arial"/>
          <w:color w:val="000000"/>
        </w:rPr>
        <w:t>during</w:t>
      </w:r>
      <w:r w:rsidR="005A0736" w:rsidRPr="00BA2CA4">
        <w:rPr>
          <w:rFonts w:cs="Arial"/>
          <w:color w:val="000000"/>
        </w:rPr>
        <w:t xml:space="preserve"> </w:t>
      </w:r>
      <w:r w:rsidRPr="00BA2CA4">
        <w:rPr>
          <w:rFonts w:cs="Arial"/>
          <w:color w:val="000000"/>
        </w:rPr>
        <w:t xml:space="preserve">2015–16. They received </w:t>
      </w:r>
      <w:r w:rsidR="00B25D36" w:rsidRPr="00165A1A">
        <w:rPr>
          <w:rFonts w:cs="Arial"/>
          <w:color w:val="000000"/>
        </w:rPr>
        <w:t>78</w:t>
      </w:r>
      <w:r w:rsidRPr="00BA2CA4">
        <w:rPr>
          <w:rFonts w:cs="Arial"/>
          <w:color w:val="000000"/>
        </w:rPr>
        <w:t xml:space="preserve"> letters of thanks, demonstrating the service’s high impact.</w:t>
      </w:r>
    </w:p>
    <w:p w14:paraId="4193DBAF" w14:textId="77777777" w:rsidR="00BA2CA4" w:rsidRPr="00BA2CA4" w:rsidRDefault="00BA2CA4" w:rsidP="00BA2CA4">
      <w:pPr>
        <w:rPr>
          <w:rFonts w:cs="Arial"/>
          <w:color w:val="000000"/>
        </w:rPr>
      </w:pPr>
    </w:p>
    <w:p w14:paraId="605F9C6B" w14:textId="5D46056B" w:rsidR="00BA2CA4" w:rsidRPr="00BA2CA4" w:rsidRDefault="00BA2CA4" w:rsidP="00BA2CA4">
      <w:pPr>
        <w:rPr>
          <w:rFonts w:cs="Arial"/>
          <w:color w:val="000000"/>
        </w:rPr>
      </w:pPr>
      <w:r w:rsidRPr="00BA2CA4">
        <w:rPr>
          <w:rFonts w:cs="Arial"/>
          <w:color w:val="000000"/>
        </w:rPr>
        <w:t xml:space="preserve">The Discovery Centre at Melbourne Museum launched a quarterly </w:t>
      </w:r>
      <w:r w:rsidR="005A0736">
        <w:rPr>
          <w:rFonts w:cs="Arial"/>
        </w:rPr>
        <w:t>m</w:t>
      </w:r>
      <w:r w:rsidRPr="00BA2CA4">
        <w:rPr>
          <w:rFonts w:cs="Arial"/>
        </w:rPr>
        <w:t>useum</w:t>
      </w:r>
      <w:r w:rsidRPr="00BA2CA4">
        <w:rPr>
          <w:rFonts w:cs="Arial"/>
          <w:color w:val="000000"/>
        </w:rPr>
        <w:t xml:space="preserve"> </w:t>
      </w:r>
      <w:r w:rsidR="005A0736">
        <w:rPr>
          <w:rFonts w:cs="Arial"/>
          <w:color w:val="000000"/>
        </w:rPr>
        <w:t>d</w:t>
      </w:r>
      <w:r w:rsidRPr="00BA2CA4">
        <w:rPr>
          <w:rFonts w:cs="Arial"/>
          <w:color w:val="000000"/>
        </w:rPr>
        <w:t xml:space="preserve">rawing </w:t>
      </w:r>
      <w:r w:rsidR="005A0736">
        <w:rPr>
          <w:rFonts w:cs="Arial"/>
          <w:color w:val="000000"/>
        </w:rPr>
        <w:t>s</w:t>
      </w:r>
      <w:r w:rsidRPr="00BA2CA4">
        <w:rPr>
          <w:rFonts w:cs="Arial"/>
          <w:color w:val="000000"/>
        </w:rPr>
        <w:t xml:space="preserve">tudio. Artists and members of the public </w:t>
      </w:r>
      <w:r w:rsidR="005A0736">
        <w:rPr>
          <w:rFonts w:cs="Arial"/>
          <w:color w:val="000000"/>
        </w:rPr>
        <w:t>can</w:t>
      </w:r>
      <w:r w:rsidR="005A0736" w:rsidRPr="00BA2CA4">
        <w:rPr>
          <w:rFonts w:cs="Arial"/>
          <w:color w:val="000000"/>
        </w:rPr>
        <w:t xml:space="preserve"> </w:t>
      </w:r>
      <w:r w:rsidRPr="00BA2CA4">
        <w:rPr>
          <w:rFonts w:cs="Arial"/>
          <w:color w:val="000000"/>
        </w:rPr>
        <w:t xml:space="preserve">request </w:t>
      </w:r>
      <w:r w:rsidR="005A0736">
        <w:rPr>
          <w:rFonts w:cs="Arial"/>
          <w:color w:val="000000"/>
        </w:rPr>
        <w:t xml:space="preserve">access to </w:t>
      </w:r>
      <w:r w:rsidRPr="00BA2CA4">
        <w:rPr>
          <w:rFonts w:cs="Arial"/>
          <w:color w:val="000000"/>
        </w:rPr>
        <w:t xml:space="preserve">particular </w:t>
      </w:r>
      <w:r w:rsidRPr="00BA2CA4">
        <w:rPr>
          <w:rFonts w:cs="Arial"/>
        </w:rPr>
        <w:t>specimens from the natural science collections to enable close-up observation for art</w:t>
      </w:r>
      <w:r w:rsidR="005A0736">
        <w:rPr>
          <w:rFonts w:cs="Arial"/>
        </w:rPr>
        <w:t>work</w:t>
      </w:r>
      <w:r w:rsidRPr="00BA2CA4">
        <w:rPr>
          <w:rFonts w:cs="Arial"/>
        </w:rPr>
        <w:t xml:space="preserve">s. </w:t>
      </w:r>
      <w:r w:rsidR="005A0736">
        <w:rPr>
          <w:rFonts w:cs="Arial"/>
        </w:rPr>
        <w:t>L</w:t>
      </w:r>
      <w:r w:rsidRPr="00BA2CA4">
        <w:rPr>
          <w:rFonts w:cs="Arial"/>
        </w:rPr>
        <w:t xml:space="preserve">ocal </w:t>
      </w:r>
      <w:r w:rsidR="005A0736">
        <w:rPr>
          <w:rFonts w:cs="Arial"/>
        </w:rPr>
        <w:t xml:space="preserve">collaborating </w:t>
      </w:r>
      <w:r w:rsidRPr="00BA2CA4">
        <w:rPr>
          <w:rFonts w:cs="Arial"/>
        </w:rPr>
        <w:t>artis</w:t>
      </w:r>
      <w:r w:rsidR="005A0736">
        <w:rPr>
          <w:rFonts w:cs="Arial"/>
        </w:rPr>
        <w:t>ts</w:t>
      </w:r>
      <w:r w:rsidRPr="00BA2CA4">
        <w:rPr>
          <w:rFonts w:cs="Arial"/>
        </w:rPr>
        <w:t xml:space="preserve"> Gracia </w:t>
      </w:r>
      <w:r w:rsidR="005A0736">
        <w:rPr>
          <w:rFonts w:cs="Arial"/>
        </w:rPr>
        <w:t>Haby and</w:t>
      </w:r>
      <w:r w:rsidRPr="00BA2CA4">
        <w:rPr>
          <w:rFonts w:cs="Arial"/>
        </w:rPr>
        <w:t xml:space="preserve"> Louise </w:t>
      </w:r>
      <w:r w:rsidR="005A0736">
        <w:rPr>
          <w:rFonts w:cs="Arial"/>
        </w:rPr>
        <w:t xml:space="preserve">Jennison </w:t>
      </w:r>
      <w:r w:rsidRPr="00BA2CA4">
        <w:rPr>
          <w:rFonts w:cs="Arial"/>
        </w:rPr>
        <w:t>have since produced artists’ books based on specimens from our collection.</w:t>
      </w:r>
    </w:p>
    <w:p w14:paraId="2BB5F83E" w14:textId="77777777" w:rsidR="00BA2CA4" w:rsidRPr="00BA2CA4" w:rsidRDefault="00BA2CA4" w:rsidP="00BA2CA4">
      <w:pPr>
        <w:rPr>
          <w:rFonts w:cs="Arial"/>
          <w:szCs w:val="22"/>
        </w:rPr>
      </w:pPr>
    </w:p>
    <w:p w14:paraId="7F012C53" w14:textId="77777777" w:rsidR="00BA2CA4" w:rsidRPr="00BA2CA4" w:rsidRDefault="00BA2CA4" w:rsidP="006928E8">
      <w:pPr>
        <w:pStyle w:val="Heading3"/>
      </w:pPr>
      <w:r w:rsidRPr="00BA2CA4">
        <w:t>Co-creating Experiences</w:t>
      </w:r>
    </w:p>
    <w:p w14:paraId="2338061A" w14:textId="30342E61" w:rsidR="00BA2CA4" w:rsidRPr="00BA2CA4" w:rsidRDefault="00BA2CA4" w:rsidP="00BA2CA4">
      <w:pPr>
        <w:rPr>
          <w:rFonts w:cs="Arial"/>
        </w:rPr>
      </w:pPr>
      <w:r w:rsidRPr="00BA2CA4">
        <w:rPr>
          <w:rFonts w:eastAsia="Arial" w:cs="Arial"/>
        </w:rPr>
        <w:t>In 2015</w:t>
      </w:r>
      <w:r w:rsidR="009C4D8A">
        <w:rPr>
          <w:rFonts w:eastAsia="Arial" w:cs="Arial"/>
        </w:rPr>
        <w:t>,</w:t>
      </w:r>
      <w:r w:rsidRPr="00BA2CA4">
        <w:rPr>
          <w:rFonts w:eastAsia="Arial" w:cs="Arial"/>
        </w:rPr>
        <w:t xml:space="preserve"> Princes Hill Primary School and Museum Victoria developed a learning </w:t>
      </w:r>
      <w:r w:rsidR="0011677C">
        <w:rPr>
          <w:rFonts w:eastAsia="Arial" w:cs="Arial"/>
        </w:rPr>
        <w:t>e</w:t>
      </w:r>
      <w:r w:rsidRPr="00BA2CA4">
        <w:rPr>
          <w:rFonts w:eastAsia="Arial" w:cs="Arial"/>
        </w:rPr>
        <w:t>nquiry project for Years 3 and 4. The students engaged in an extended study of the role of museums in society</w:t>
      </w:r>
      <w:r w:rsidR="0011677C">
        <w:rPr>
          <w:rFonts w:eastAsia="Arial" w:cs="Arial"/>
        </w:rPr>
        <w:t>; they</w:t>
      </w:r>
      <w:r w:rsidRPr="00BA2CA4">
        <w:rPr>
          <w:rFonts w:eastAsia="Arial" w:cs="Arial"/>
        </w:rPr>
        <w:t xml:space="preserve"> </w:t>
      </w:r>
      <w:r w:rsidRPr="00BA2CA4">
        <w:rPr>
          <w:rFonts w:cs="Arial"/>
        </w:rPr>
        <w:t>created a pop-up museum at Melbourne Museum and installed a museum in their school</w:t>
      </w:r>
      <w:r w:rsidR="0011677C">
        <w:rPr>
          <w:rFonts w:cs="Arial"/>
        </w:rPr>
        <w:t>,</w:t>
      </w:r>
      <w:r w:rsidRPr="00BA2CA4">
        <w:rPr>
          <w:rFonts w:cs="Arial"/>
        </w:rPr>
        <w:t xml:space="preserve"> </w:t>
      </w:r>
      <w:r w:rsidR="0011677C">
        <w:rPr>
          <w:rFonts w:cs="Arial"/>
        </w:rPr>
        <w:t>which</w:t>
      </w:r>
      <w:r w:rsidR="0011677C" w:rsidRPr="00BA2CA4">
        <w:rPr>
          <w:rFonts w:cs="Arial"/>
        </w:rPr>
        <w:t xml:space="preserve"> </w:t>
      </w:r>
      <w:r w:rsidRPr="00BA2CA4">
        <w:rPr>
          <w:rFonts w:cs="Arial"/>
        </w:rPr>
        <w:t xml:space="preserve">was open to the public for two weeks. The innovative nature of this project was recognised with a </w:t>
      </w:r>
      <w:r w:rsidRPr="00BA2CA4">
        <w:rPr>
          <w:rFonts w:cs="Arial"/>
          <w:color w:val="000000"/>
        </w:rPr>
        <w:t>Museums and Galleries National Award.</w:t>
      </w:r>
      <w:r w:rsidRPr="00BA2CA4">
        <w:rPr>
          <w:rFonts w:cs="Arial"/>
        </w:rPr>
        <w:t xml:space="preserve"> </w:t>
      </w:r>
    </w:p>
    <w:p w14:paraId="374ED888" w14:textId="77777777" w:rsidR="00BA2CA4" w:rsidRPr="00BA2CA4" w:rsidRDefault="00BA2CA4" w:rsidP="006928E8">
      <w:pPr>
        <w:rPr>
          <w:rFonts w:cs="Arial"/>
          <w:szCs w:val="22"/>
        </w:rPr>
      </w:pPr>
    </w:p>
    <w:p w14:paraId="66D59F03" w14:textId="14ABC4CD" w:rsidR="00BA2CA4" w:rsidRPr="00661E92" w:rsidRDefault="009C4D8A" w:rsidP="00BA2CA4">
      <w:pPr>
        <w:rPr>
          <w:rFonts w:cs="Arial"/>
        </w:rPr>
      </w:pPr>
      <w:r>
        <w:rPr>
          <w:rFonts w:cs="Arial"/>
        </w:rPr>
        <w:t xml:space="preserve">The </w:t>
      </w:r>
      <w:r w:rsidR="00BA2CA4" w:rsidRPr="00BA2CA4">
        <w:rPr>
          <w:rFonts w:cs="Arial"/>
        </w:rPr>
        <w:t>Autism</w:t>
      </w:r>
      <w:r w:rsidR="00AE4C71">
        <w:rPr>
          <w:rFonts w:cs="Arial"/>
        </w:rPr>
        <w:t xml:space="preserve"> F</w:t>
      </w:r>
      <w:r w:rsidR="00BA2CA4" w:rsidRPr="00BA2CA4">
        <w:rPr>
          <w:rFonts w:cs="Arial"/>
        </w:rPr>
        <w:t xml:space="preserve">riendly Museum </w:t>
      </w:r>
      <w:r>
        <w:rPr>
          <w:rFonts w:cs="Arial"/>
        </w:rPr>
        <w:t xml:space="preserve">project </w:t>
      </w:r>
      <w:r w:rsidR="00BA2CA4" w:rsidRPr="00BA2CA4">
        <w:rPr>
          <w:rFonts w:cs="Arial"/>
        </w:rPr>
        <w:t xml:space="preserve">won the </w:t>
      </w:r>
      <w:r>
        <w:rPr>
          <w:rFonts w:cs="Arial"/>
        </w:rPr>
        <w:t xml:space="preserve">2015 </w:t>
      </w:r>
      <w:r w:rsidR="00BA2CA4" w:rsidRPr="00BA2CA4">
        <w:rPr>
          <w:rFonts w:cs="Arial"/>
        </w:rPr>
        <w:t xml:space="preserve">Museums </w:t>
      </w:r>
      <w:r w:rsidR="0092592D">
        <w:rPr>
          <w:rFonts w:cs="Arial"/>
        </w:rPr>
        <w:t xml:space="preserve">Australia (Victoria) </w:t>
      </w:r>
      <w:r w:rsidR="00BA2CA4" w:rsidRPr="00BA2CA4">
        <w:rPr>
          <w:rFonts w:cs="Arial"/>
        </w:rPr>
        <w:t>Award</w:t>
      </w:r>
      <w:r w:rsidR="0092592D" w:rsidRPr="0092592D">
        <w:rPr>
          <w:rFonts w:cs="Arial"/>
        </w:rPr>
        <w:t xml:space="preserve"> </w:t>
      </w:r>
      <w:r w:rsidR="0092592D">
        <w:rPr>
          <w:rFonts w:cs="Arial"/>
        </w:rPr>
        <w:t>for Large Museums</w:t>
      </w:r>
      <w:r w:rsidR="00BA2CA4" w:rsidRPr="00BA2CA4">
        <w:rPr>
          <w:rFonts w:cs="Arial"/>
        </w:rPr>
        <w:t>. All resources</w:t>
      </w:r>
      <w:r>
        <w:rPr>
          <w:rFonts w:cs="Arial"/>
        </w:rPr>
        <w:t>, which were developed in conjunction with Amaze and community groups,</w:t>
      </w:r>
      <w:r w:rsidR="00BA2CA4" w:rsidRPr="00BA2CA4">
        <w:rPr>
          <w:rFonts w:cs="Arial"/>
        </w:rPr>
        <w:t xml:space="preserve"> have been </w:t>
      </w:r>
      <w:r>
        <w:rPr>
          <w:rFonts w:cs="Arial"/>
        </w:rPr>
        <w:t xml:space="preserve">made available </w:t>
      </w:r>
      <w:r w:rsidR="00BA2CA4" w:rsidRPr="00BA2CA4">
        <w:rPr>
          <w:rFonts w:cs="Arial"/>
        </w:rPr>
        <w:t xml:space="preserve">for </w:t>
      </w:r>
      <w:r>
        <w:rPr>
          <w:rFonts w:cs="Arial"/>
        </w:rPr>
        <w:t>the</w:t>
      </w:r>
      <w:r w:rsidR="00BA2CA4" w:rsidRPr="00BA2CA4">
        <w:rPr>
          <w:rFonts w:cs="Arial"/>
        </w:rPr>
        <w:t xml:space="preserve"> three museum</w:t>
      </w:r>
      <w:r>
        <w:rPr>
          <w:rFonts w:cs="Arial"/>
        </w:rPr>
        <w:t>s</w:t>
      </w:r>
      <w:r w:rsidR="00BA2CA4" w:rsidRPr="00BA2CA4">
        <w:rPr>
          <w:rFonts w:cs="Arial"/>
        </w:rPr>
        <w:t xml:space="preserve">. </w:t>
      </w:r>
    </w:p>
    <w:p w14:paraId="2C422C7A" w14:textId="77777777" w:rsidR="00BA2CA4" w:rsidRPr="00BA2CA4" w:rsidRDefault="00BA2CA4" w:rsidP="006928E8">
      <w:pPr>
        <w:contextualSpacing/>
        <w:rPr>
          <w:rFonts w:eastAsiaTheme="minorHAnsi" w:cs="Arial"/>
          <w:szCs w:val="22"/>
          <w:lang w:eastAsia="en-US"/>
        </w:rPr>
      </w:pPr>
    </w:p>
    <w:p w14:paraId="01B11DDD" w14:textId="49E5A732" w:rsidR="00BA2CA4" w:rsidRPr="00BA2CA4" w:rsidRDefault="00BA2CA4" w:rsidP="00BA2CA4">
      <w:pPr>
        <w:rPr>
          <w:rFonts w:cs="Arial"/>
        </w:rPr>
      </w:pPr>
      <w:r w:rsidRPr="00BA2CA4">
        <w:rPr>
          <w:rFonts w:cs="Arial"/>
        </w:rPr>
        <w:t xml:space="preserve">Scienceworks developed </w:t>
      </w:r>
      <w:r w:rsidR="0059648E">
        <w:rPr>
          <w:rFonts w:cs="Arial"/>
        </w:rPr>
        <w:t>a</w:t>
      </w:r>
      <w:r w:rsidR="0092592D">
        <w:rPr>
          <w:rFonts w:cs="Arial"/>
        </w:rPr>
        <w:t>n</w:t>
      </w:r>
      <w:r w:rsidR="0059648E" w:rsidRPr="00BA2CA4">
        <w:rPr>
          <w:rFonts w:cs="Arial"/>
        </w:rPr>
        <w:t xml:space="preserve"> </w:t>
      </w:r>
      <w:r w:rsidR="009C4D8A">
        <w:rPr>
          <w:rFonts w:cs="Arial"/>
        </w:rPr>
        <w:t>a</w:t>
      </w:r>
      <w:r w:rsidRPr="00BA2CA4">
        <w:rPr>
          <w:rFonts w:cs="Arial"/>
        </w:rPr>
        <w:t>rts</w:t>
      </w:r>
      <w:r w:rsidR="0092592D">
        <w:rPr>
          <w:rFonts w:cs="Arial"/>
        </w:rPr>
        <w:t>–</w:t>
      </w:r>
      <w:r w:rsidR="009C4D8A">
        <w:rPr>
          <w:rFonts w:cs="Arial"/>
        </w:rPr>
        <w:t>s</w:t>
      </w:r>
      <w:r w:rsidRPr="00BA2CA4">
        <w:rPr>
          <w:rFonts w:cs="Arial"/>
        </w:rPr>
        <w:t>cience family program</w:t>
      </w:r>
      <w:r w:rsidR="0092592D">
        <w:rPr>
          <w:rFonts w:cs="Arial"/>
        </w:rPr>
        <w:t>,</w:t>
      </w:r>
      <w:r w:rsidRPr="00BA2CA4">
        <w:rPr>
          <w:rFonts w:cs="Arial"/>
        </w:rPr>
        <w:t xml:space="preserve"> </w:t>
      </w:r>
      <w:r w:rsidRPr="0092592D">
        <w:rPr>
          <w:rFonts w:cs="Arial"/>
          <w:i/>
        </w:rPr>
        <w:t>Space Tape: An Ever Expanding Universe</w:t>
      </w:r>
      <w:r w:rsidRPr="00BA2CA4">
        <w:rPr>
          <w:rFonts w:cs="Arial"/>
        </w:rPr>
        <w:t>. Artist Briony Barr facilitated a 10x15</w:t>
      </w:r>
      <w:r w:rsidR="0092592D">
        <w:rPr>
          <w:rFonts w:cs="Arial"/>
        </w:rPr>
        <w:t>-</w:t>
      </w:r>
      <w:r w:rsidRPr="00BA2CA4">
        <w:rPr>
          <w:rFonts w:cs="Arial"/>
        </w:rPr>
        <w:t>m</w:t>
      </w:r>
      <w:r w:rsidR="0092592D">
        <w:rPr>
          <w:rFonts w:cs="Arial"/>
        </w:rPr>
        <w:t>etre</w:t>
      </w:r>
      <w:r w:rsidRPr="00BA2CA4">
        <w:rPr>
          <w:rFonts w:cs="Arial"/>
        </w:rPr>
        <w:t xml:space="preserve"> collaborative artwork</w:t>
      </w:r>
      <w:r w:rsidR="0092592D">
        <w:rPr>
          <w:rFonts w:cs="Arial"/>
        </w:rPr>
        <w:t xml:space="preserve"> that</w:t>
      </w:r>
      <w:r w:rsidRPr="00BA2CA4">
        <w:rPr>
          <w:rFonts w:cs="Arial"/>
        </w:rPr>
        <w:t xml:space="preserve"> 7780 visitors coloured </w:t>
      </w:r>
      <w:r w:rsidR="0092592D">
        <w:rPr>
          <w:rFonts w:cs="Arial"/>
        </w:rPr>
        <w:t xml:space="preserve">using </w:t>
      </w:r>
      <w:r w:rsidRPr="00BA2CA4">
        <w:rPr>
          <w:rFonts w:cs="Arial"/>
        </w:rPr>
        <w:t>electrical tape to model a complex system. The rules of the artwork were inspired by the role of gravity in form</w:t>
      </w:r>
      <w:r w:rsidR="0092592D">
        <w:rPr>
          <w:rFonts w:cs="Arial"/>
        </w:rPr>
        <w:t>ing</w:t>
      </w:r>
      <w:r w:rsidRPr="00BA2CA4">
        <w:rPr>
          <w:rFonts w:cs="Arial"/>
        </w:rPr>
        <w:t xml:space="preserve"> stars and galaxies. </w:t>
      </w:r>
    </w:p>
    <w:p w14:paraId="02D35D16" w14:textId="77777777" w:rsidR="00BA2CA4" w:rsidRPr="00BA2CA4" w:rsidRDefault="00BA2CA4" w:rsidP="00BA2CA4"/>
    <w:p w14:paraId="01A6D882" w14:textId="53D6FBB3" w:rsidR="00BA2CA4" w:rsidRPr="00451BC0" w:rsidRDefault="00BA2CA4" w:rsidP="00BA2CA4">
      <w:r w:rsidRPr="00451BC0">
        <w:t>Museum Victoria awarded the prestigious Koorie Artwork Commission for the Bunjilaka Aboriginal Cultural Centre at Melbourne Museum to Victorian-based artists Steaphen Paton and Megan Cope. Their art installation</w:t>
      </w:r>
      <w:r w:rsidR="00194F50">
        <w:t>,</w:t>
      </w:r>
      <w:r w:rsidRPr="00451BC0">
        <w:t xml:space="preserve"> </w:t>
      </w:r>
      <w:r w:rsidRPr="00451BC0">
        <w:rPr>
          <w:i/>
        </w:rPr>
        <w:t>Transcendence</w:t>
      </w:r>
      <w:r w:rsidR="00194F50">
        <w:t xml:space="preserve">, </w:t>
      </w:r>
      <w:r w:rsidRPr="00451BC0">
        <w:t>emphasises the cultural significance of Birrarung (the Yarra River) to the Koorie community and a continued connection to the land through story and knowledge.</w:t>
      </w:r>
    </w:p>
    <w:p w14:paraId="78CCB096" w14:textId="77777777" w:rsidR="00BA2CA4" w:rsidRPr="00451BC0" w:rsidRDefault="00BA2CA4" w:rsidP="00BA2CA4"/>
    <w:p w14:paraId="25938132" w14:textId="1CA9ADAA" w:rsidR="00BA2CA4" w:rsidRDefault="00BA2CA4" w:rsidP="00BA2CA4">
      <w:pPr>
        <w:rPr>
          <w:rFonts w:eastAsia="MS Gothic"/>
        </w:rPr>
      </w:pPr>
      <w:r w:rsidRPr="00451BC0">
        <w:t xml:space="preserve">Museum Victoria worked with </w:t>
      </w:r>
      <w:r w:rsidR="0059648E">
        <w:t xml:space="preserve">the </w:t>
      </w:r>
      <w:r w:rsidRPr="00451BC0">
        <w:t xml:space="preserve">Gunditj Mirring Aboriginal community and </w:t>
      </w:r>
      <w:r w:rsidR="00194F50">
        <w:t xml:space="preserve">rangers from </w:t>
      </w:r>
      <w:r w:rsidRPr="00451BC0">
        <w:t>Working</w:t>
      </w:r>
      <w:r w:rsidR="00194F50">
        <w:t xml:space="preserve"> </w:t>
      </w:r>
      <w:r w:rsidRPr="00451BC0">
        <w:t>on</w:t>
      </w:r>
      <w:r w:rsidR="00194F50">
        <w:t xml:space="preserve"> </w:t>
      </w:r>
      <w:r w:rsidRPr="00451BC0">
        <w:t xml:space="preserve">Country to produce a digital field guide to wildlife of the </w:t>
      </w:r>
      <w:r w:rsidRPr="00451BC0">
        <w:rPr>
          <w:rFonts w:eastAsia="MS Gothic"/>
        </w:rPr>
        <w:t xml:space="preserve">Budj Bim Reserves in Gunditjmara Stone Country, western Victoria. </w:t>
      </w:r>
      <w:r w:rsidR="00194F50">
        <w:rPr>
          <w:rFonts w:eastAsia="MS Gothic"/>
        </w:rPr>
        <w:t>It</w:t>
      </w:r>
      <w:r w:rsidRPr="00451BC0">
        <w:rPr>
          <w:rFonts w:eastAsia="MS Gothic"/>
        </w:rPr>
        <w:t xml:space="preserve"> will </w:t>
      </w:r>
      <w:r w:rsidR="00194F50">
        <w:rPr>
          <w:rFonts w:eastAsia="MS Gothic"/>
        </w:rPr>
        <w:t>introduce</w:t>
      </w:r>
      <w:r w:rsidR="00194F50" w:rsidRPr="00451BC0">
        <w:rPr>
          <w:rFonts w:eastAsia="MS Gothic"/>
        </w:rPr>
        <w:t xml:space="preserve"> </w:t>
      </w:r>
      <w:r w:rsidRPr="00451BC0">
        <w:rPr>
          <w:rFonts w:eastAsia="MS Gothic"/>
        </w:rPr>
        <w:t>Stone Country wildlife to diverse Australian audiences and internati</w:t>
      </w:r>
      <w:r w:rsidR="0017394E">
        <w:rPr>
          <w:rFonts w:eastAsia="MS Gothic"/>
        </w:rPr>
        <w:t xml:space="preserve">onal visitors. </w:t>
      </w:r>
    </w:p>
    <w:p w14:paraId="487E572A" w14:textId="77777777" w:rsidR="00794AA1" w:rsidRPr="0017394E" w:rsidRDefault="00794AA1" w:rsidP="00BA2CA4">
      <w:pPr>
        <w:rPr>
          <w:rFonts w:eastAsia="MS Gothic"/>
        </w:rPr>
      </w:pPr>
    </w:p>
    <w:p w14:paraId="26D0341B" w14:textId="77777777" w:rsidR="00BA2CA4" w:rsidRPr="00BA2CA4" w:rsidRDefault="00BA2CA4" w:rsidP="006928E8">
      <w:pPr>
        <w:pStyle w:val="Heading3"/>
      </w:pPr>
      <w:r w:rsidRPr="00BA2CA4">
        <w:t>Engaging with Contemporary Issues</w:t>
      </w:r>
    </w:p>
    <w:p w14:paraId="1C6BBA97" w14:textId="19C399FB" w:rsidR="00BA2CA4" w:rsidRPr="00451BC0" w:rsidRDefault="00BA2CA4" w:rsidP="00BA2CA4">
      <w:r w:rsidRPr="00451BC0">
        <w:t xml:space="preserve">Museum Victoria’s unique migration collections </w:t>
      </w:r>
      <w:r w:rsidR="00194F50">
        <w:t>are</w:t>
      </w:r>
      <w:r w:rsidRPr="00451BC0">
        <w:t xml:space="preserve"> showcased in a new online information resource</w:t>
      </w:r>
      <w:r w:rsidR="00194F50">
        <w:t>,</w:t>
      </w:r>
      <w:r w:rsidRPr="00451BC0">
        <w:t xml:space="preserve"> </w:t>
      </w:r>
      <w:r w:rsidRPr="000720D0">
        <w:rPr>
          <w:i/>
        </w:rPr>
        <w:t>Migration to New Worlds</w:t>
      </w:r>
      <w:r w:rsidR="00B5063F">
        <w:t xml:space="preserve">, </w:t>
      </w:r>
      <w:r w:rsidRPr="00451BC0">
        <w:t xml:space="preserve">produced by Adam Matthew Digital. The project documents </w:t>
      </w:r>
      <w:r w:rsidR="005440AC">
        <w:t>im</w:t>
      </w:r>
      <w:r w:rsidRPr="00451BC0">
        <w:t xml:space="preserve">migration to the USA, Canada and Australasia during the </w:t>
      </w:r>
      <w:r w:rsidR="005440AC">
        <w:t xml:space="preserve">19th and 20th </w:t>
      </w:r>
      <w:r w:rsidRPr="00451BC0">
        <w:t>centur</w:t>
      </w:r>
      <w:r w:rsidR="005440AC">
        <w:t>ies</w:t>
      </w:r>
      <w:r w:rsidRPr="00451BC0">
        <w:t>, ma</w:t>
      </w:r>
      <w:r w:rsidR="005440AC">
        <w:t>king</w:t>
      </w:r>
      <w:r w:rsidRPr="00451BC0">
        <w:t xml:space="preserve"> available a powerful</w:t>
      </w:r>
      <w:r w:rsidR="005440AC">
        <w:t>,</w:t>
      </w:r>
      <w:r w:rsidRPr="00451BC0">
        <w:t xml:space="preserve"> dynamic resource for researchers, teachers and students.</w:t>
      </w:r>
      <w:r w:rsidR="00AC351D">
        <w:t xml:space="preserve"> </w:t>
      </w:r>
    </w:p>
    <w:p w14:paraId="6BE1F0F8" w14:textId="77777777" w:rsidR="00BA2CA4" w:rsidRPr="00451BC0" w:rsidRDefault="00BA2CA4" w:rsidP="00BA2CA4"/>
    <w:p w14:paraId="55E64A2F" w14:textId="52193C17" w:rsidR="00BA2CA4" w:rsidRPr="00451BC0" w:rsidRDefault="00BA2CA4" w:rsidP="00BA2CA4">
      <w:r w:rsidRPr="00451BC0">
        <w:t xml:space="preserve">In October, Museum Victoria and the Australian National University organised </w:t>
      </w:r>
      <w:r w:rsidR="00F77EA0">
        <w:t>the</w:t>
      </w:r>
      <w:r w:rsidRPr="00451BC0">
        <w:t xml:space="preserve"> two-day symposium People, Images and Things, </w:t>
      </w:r>
      <w:r w:rsidR="005440AC">
        <w:t>in which</w:t>
      </w:r>
      <w:r w:rsidR="005440AC" w:rsidRPr="00451BC0">
        <w:t xml:space="preserve"> </w:t>
      </w:r>
      <w:r w:rsidRPr="00451BC0">
        <w:t xml:space="preserve">70 curators, anthropologists and other experts discussed the importance of undertaking research on Australian Indigenous cultural heritage in collaboration with Indigenous people. </w:t>
      </w:r>
    </w:p>
    <w:p w14:paraId="7EB8E315" w14:textId="77777777" w:rsidR="00BA2CA4" w:rsidRPr="00451BC0" w:rsidRDefault="00BA2CA4" w:rsidP="00BA2CA4"/>
    <w:p w14:paraId="31C503A4" w14:textId="72E8E4D8" w:rsidR="00BA2CA4" w:rsidRDefault="00BA2CA4" w:rsidP="00BA2CA4">
      <w:r w:rsidRPr="00451BC0">
        <w:t xml:space="preserve">Museum Victoria is partnering with the Commonwealth Serum Laboratories (CSL) and the Walter and Eliza Hall Institute of Medical Research (WEHI) to develop </w:t>
      </w:r>
      <w:r w:rsidRPr="00451BC0">
        <w:rPr>
          <w:i/>
        </w:rPr>
        <w:t>Medical Breakthroughs</w:t>
      </w:r>
      <w:r w:rsidRPr="00451BC0">
        <w:t xml:space="preserve">. </w:t>
      </w:r>
      <w:r w:rsidR="005440AC">
        <w:t>O</w:t>
      </w:r>
      <w:r w:rsidRPr="00451BC0">
        <w:t>pen</w:t>
      </w:r>
      <w:r w:rsidR="005440AC">
        <w:t>ing</w:t>
      </w:r>
      <w:r w:rsidRPr="00451BC0">
        <w:t xml:space="preserve"> at Melbourne Museum</w:t>
      </w:r>
      <w:r w:rsidR="00FC1990">
        <w:t xml:space="preserve"> in September 2016</w:t>
      </w:r>
      <w:r w:rsidRPr="00451BC0">
        <w:t xml:space="preserve">, </w:t>
      </w:r>
      <w:r w:rsidR="005440AC">
        <w:t xml:space="preserve">the exhibition will </w:t>
      </w:r>
      <w:r w:rsidRPr="00451BC0">
        <w:t xml:space="preserve">highlight significant </w:t>
      </w:r>
      <w:r w:rsidR="005440AC">
        <w:t xml:space="preserve">Melbourne-based </w:t>
      </w:r>
      <w:r w:rsidRPr="00451BC0">
        <w:t xml:space="preserve">work in medical research and production, focusing on areas </w:t>
      </w:r>
      <w:r w:rsidR="005440AC">
        <w:t>in which</w:t>
      </w:r>
      <w:r w:rsidR="005440AC" w:rsidRPr="00451BC0">
        <w:t xml:space="preserve"> </w:t>
      </w:r>
      <w:r w:rsidRPr="00451BC0">
        <w:t>CSL and WEHI have changed the course of medical history over the 100 yea</w:t>
      </w:r>
      <w:r w:rsidR="0017394E">
        <w:t>rs since they were established.</w:t>
      </w:r>
    </w:p>
    <w:p w14:paraId="31E2BB14" w14:textId="77777777" w:rsidR="00794AA1" w:rsidRPr="00BA2CA4" w:rsidRDefault="00794AA1" w:rsidP="00BA2CA4"/>
    <w:p w14:paraId="6E297A26" w14:textId="77777777" w:rsidR="00BA2CA4" w:rsidRPr="00BA2CA4" w:rsidRDefault="00BA2CA4" w:rsidP="006928E8">
      <w:pPr>
        <w:pStyle w:val="Heading3"/>
      </w:pPr>
      <w:r w:rsidRPr="00BA2CA4">
        <w:t>Broadening the Reach of Education</w:t>
      </w:r>
    </w:p>
    <w:p w14:paraId="71939F64" w14:textId="3F5DFD90" w:rsidR="00BA2CA4" w:rsidRPr="00BA2CA4" w:rsidRDefault="00BA2CA4" w:rsidP="00BA2CA4">
      <w:pPr>
        <w:rPr>
          <w:rFonts w:cs="Arial"/>
        </w:rPr>
      </w:pPr>
      <w:r w:rsidRPr="00BA2CA4">
        <w:rPr>
          <w:rFonts w:cs="Arial"/>
        </w:rPr>
        <w:t xml:space="preserve">Museum Victoria is </w:t>
      </w:r>
      <w:r w:rsidR="00F358F8">
        <w:rPr>
          <w:rFonts w:cs="Arial"/>
        </w:rPr>
        <w:t xml:space="preserve">working </w:t>
      </w:r>
      <w:r w:rsidRPr="00BA2CA4">
        <w:rPr>
          <w:rFonts w:cs="Arial"/>
        </w:rPr>
        <w:t xml:space="preserve">with universities and local and national organisations </w:t>
      </w:r>
      <w:r w:rsidR="00F358F8" w:rsidRPr="00BA2CA4">
        <w:rPr>
          <w:rFonts w:cs="Arial"/>
        </w:rPr>
        <w:t>to</w:t>
      </w:r>
      <w:r w:rsidR="00F358F8">
        <w:rPr>
          <w:rFonts w:cs="Arial"/>
        </w:rPr>
        <w:t xml:space="preserve"> improve science and m</w:t>
      </w:r>
      <w:r w:rsidR="00F358F8" w:rsidRPr="00BA2CA4">
        <w:rPr>
          <w:rFonts w:cs="Arial"/>
        </w:rPr>
        <w:t>aths</w:t>
      </w:r>
      <w:r w:rsidR="00DC364A">
        <w:rPr>
          <w:rFonts w:cs="Arial"/>
        </w:rPr>
        <w:t xml:space="preserve"> teaching</w:t>
      </w:r>
      <w:r w:rsidR="00F358F8" w:rsidRPr="00BA2CA4">
        <w:rPr>
          <w:rFonts w:cs="Arial"/>
        </w:rPr>
        <w:t xml:space="preserve"> </w:t>
      </w:r>
      <w:r w:rsidR="00F358F8">
        <w:rPr>
          <w:rFonts w:cs="Arial"/>
        </w:rPr>
        <w:t>through a range of</w:t>
      </w:r>
      <w:r w:rsidRPr="00BA2CA4">
        <w:rPr>
          <w:rFonts w:cs="Arial"/>
        </w:rPr>
        <w:t xml:space="preserve"> professional learning partnerships</w:t>
      </w:r>
      <w:r w:rsidR="00DC364A">
        <w:rPr>
          <w:rFonts w:cs="Arial"/>
        </w:rPr>
        <w:t>. These</w:t>
      </w:r>
      <w:r w:rsidR="00B4104F">
        <w:rPr>
          <w:rFonts w:cs="Arial"/>
        </w:rPr>
        <w:t xml:space="preserve"> </w:t>
      </w:r>
      <w:r w:rsidR="00F358F8">
        <w:rPr>
          <w:rFonts w:cs="Arial"/>
        </w:rPr>
        <w:t>includ</w:t>
      </w:r>
      <w:r w:rsidR="00B4104F">
        <w:rPr>
          <w:rFonts w:cs="Arial"/>
        </w:rPr>
        <w:t>e</w:t>
      </w:r>
      <w:r w:rsidRPr="00BA2CA4">
        <w:rPr>
          <w:rFonts w:cs="Arial"/>
        </w:rPr>
        <w:t>:</w:t>
      </w:r>
    </w:p>
    <w:p w14:paraId="4756A215" w14:textId="5AB9FD06" w:rsidR="00BA2CA4" w:rsidRPr="00BA2CA4" w:rsidRDefault="00BA2CA4" w:rsidP="00451BC0">
      <w:pPr>
        <w:numPr>
          <w:ilvl w:val="0"/>
          <w:numId w:val="9"/>
        </w:numPr>
        <w:contextualSpacing/>
        <w:rPr>
          <w:rFonts w:eastAsiaTheme="minorHAnsi" w:cs="Arial"/>
          <w:szCs w:val="22"/>
          <w:lang w:eastAsia="en-US"/>
        </w:rPr>
      </w:pPr>
      <w:r w:rsidRPr="00BA2CA4">
        <w:rPr>
          <w:rFonts w:eastAsiaTheme="minorHAnsi" w:cs="Arial"/>
          <w:szCs w:val="22"/>
          <w:lang w:eastAsia="en-US"/>
        </w:rPr>
        <w:lastRenderedPageBreak/>
        <w:t xml:space="preserve">a partnership with Deakin University and </w:t>
      </w:r>
      <w:r w:rsidR="00DC364A">
        <w:rPr>
          <w:rFonts w:eastAsiaTheme="minorHAnsi" w:cs="Arial"/>
          <w:szCs w:val="22"/>
          <w:lang w:eastAsia="en-US"/>
        </w:rPr>
        <w:t xml:space="preserve">the </w:t>
      </w:r>
      <w:r w:rsidRPr="00BA2CA4">
        <w:rPr>
          <w:rFonts w:eastAsiaTheme="minorHAnsi" w:cs="Arial"/>
          <w:szCs w:val="22"/>
          <w:lang w:eastAsia="en-US"/>
        </w:rPr>
        <w:t xml:space="preserve">University of Melbourne to </w:t>
      </w:r>
      <w:r w:rsidR="00FD2196">
        <w:rPr>
          <w:rFonts w:eastAsiaTheme="minorHAnsi" w:cs="Arial"/>
          <w:szCs w:val="22"/>
          <w:lang w:eastAsia="en-US"/>
        </w:rPr>
        <w:t>teach</w:t>
      </w:r>
      <w:r w:rsidR="00FD2196" w:rsidRPr="00BA2CA4">
        <w:rPr>
          <w:rFonts w:eastAsiaTheme="minorHAnsi" w:cs="Arial"/>
          <w:szCs w:val="22"/>
          <w:lang w:eastAsia="en-US"/>
        </w:rPr>
        <w:t xml:space="preserve"> </w:t>
      </w:r>
      <w:r w:rsidRPr="00BA2CA4">
        <w:rPr>
          <w:rFonts w:eastAsiaTheme="minorHAnsi" w:cs="Arial"/>
          <w:szCs w:val="22"/>
          <w:lang w:eastAsia="en-US"/>
        </w:rPr>
        <w:t>students about geology</w:t>
      </w:r>
      <w:r w:rsidR="00DC364A">
        <w:rPr>
          <w:rFonts w:eastAsiaTheme="minorHAnsi" w:cs="Arial"/>
          <w:szCs w:val="22"/>
          <w:lang w:eastAsia="en-US"/>
        </w:rPr>
        <w:t>,</w:t>
      </w:r>
      <w:r w:rsidR="00FD2196">
        <w:rPr>
          <w:rFonts w:eastAsiaTheme="minorHAnsi" w:cs="Arial"/>
          <w:szCs w:val="22"/>
          <w:lang w:eastAsia="en-US"/>
        </w:rPr>
        <w:t xml:space="preserve"> allow</w:t>
      </w:r>
      <w:r w:rsidR="00DC364A">
        <w:rPr>
          <w:rFonts w:eastAsiaTheme="minorHAnsi" w:cs="Arial"/>
          <w:szCs w:val="22"/>
          <w:lang w:eastAsia="en-US"/>
        </w:rPr>
        <w:t>ing</w:t>
      </w:r>
      <w:r w:rsidR="00FD2196">
        <w:rPr>
          <w:rFonts w:eastAsiaTheme="minorHAnsi" w:cs="Arial"/>
          <w:szCs w:val="22"/>
          <w:lang w:eastAsia="en-US"/>
        </w:rPr>
        <w:t xml:space="preserve"> them to</w:t>
      </w:r>
      <w:r w:rsidRPr="00BA2CA4">
        <w:rPr>
          <w:rFonts w:eastAsiaTheme="minorHAnsi" w:cs="Arial"/>
          <w:szCs w:val="22"/>
          <w:lang w:eastAsia="en-US"/>
        </w:rPr>
        <w:t xml:space="preserve"> examine museum programs and exhibition pedagogy, </w:t>
      </w:r>
      <w:r w:rsidR="00DC364A">
        <w:rPr>
          <w:rFonts w:eastAsiaTheme="minorHAnsi" w:cs="Arial"/>
          <w:szCs w:val="22"/>
          <w:lang w:eastAsia="en-US"/>
        </w:rPr>
        <w:t>and</w:t>
      </w:r>
      <w:r w:rsidRPr="00BA2CA4">
        <w:rPr>
          <w:rFonts w:eastAsiaTheme="minorHAnsi" w:cs="Arial"/>
          <w:szCs w:val="22"/>
          <w:lang w:eastAsia="en-US"/>
        </w:rPr>
        <w:t xml:space="preserve"> </w:t>
      </w:r>
      <w:r w:rsidR="00DC364A">
        <w:rPr>
          <w:rFonts w:eastAsiaTheme="minorHAnsi" w:cs="Arial"/>
          <w:szCs w:val="22"/>
          <w:lang w:eastAsia="en-US"/>
        </w:rPr>
        <w:t>look at science</w:t>
      </w:r>
      <w:r w:rsidR="00DC364A" w:rsidRPr="00BA2CA4">
        <w:rPr>
          <w:rFonts w:eastAsiaTheme="minorHAnsi" w:cs="Arial"/>
          <w:szCs w:val="22"/>
          <w:lang w:eastAsia="en-US"/>
        </w:rPr>
        <w:t xml:space="preserve"> </w:t>
      </w:r>
      <w:r w:rsidRPr="00BA2CA4">
        <w:rPr>
          <w:rFonts w:eastAsiaTheme="minorHAnsi" w:cs="Arial"/>
          <w:szCs w:val="22"/>
          <w:lang w:eastAsia="en-US"/>
        </w:rPr>
        <w:t>behind</w:t>
      </w:r>
      <w:r w:rsidR="00DC364A">
        <w:rPr>
          <w:rFonts w:eastAsiaTheme="minorHAnsi" w:cs="Arial"/>
          <w:szCs w:val="22"/>
          <w:lang w:eastAsia="en-US"/>
        </w:rPr>
        <w:t xml:space="preserve"> </w:t>
      </w:r>
      <w:r w:rsidRPr="00BA2CA4">
        <w:rPr>
          <w:rFonts w:eastAsiaTheme="minorHAnsi" w:cs="Arial"/>
          <w:szCs w:val="22"/>
          <w:lang w:eastAsia="en-US"/>
        </w:rPr>
        <w:t>the</w:t>
      </w:r>
      <w:r w:rsidR="00DC364A">
        <w:rPr>
          <w:rFonts w:eastAsiaTheme="minorHAnsi" w:cs="Arial"/>
          <w:szCs w:val="22"/>
          <w:lang w:eastAsia="en-US"/>
        </w:rPr>
        <w:t xml:space="preserve"> </w:t>
      </w:r>
      <w:r w:rsidRPr="00BA2CA4">
        <w:rPr>
          <w:rFonts w:eastAsiaTheme="minorHAnsi" w:cs="Arial"/>
          <w:szCs w:val="22"/>
          <w:lang w:eastAsia="en-US"/>
        </w:rPr>
        <w:t xml:space="preserve">scenes </w:t>
      </w:r>
      <w:r w:rsidR="00DC364A">
        <w:rPr>
          <w:rFonts w:eastAsiaTheme="minorHAnsi" w:cs="Arial"/>
          <w:szCs w:val="22"/>
          <w:lang w:eastAsia="en-US"/>
        </w:rPr>
        <w:t>at</w:t>
      </w:r>
      <w:r w:rsidRPr="00BA2CA4">
        <w:rPr>
          <w:rFonts w:eastAsiaTheme="minorHAnsi" w:cs="Arial"/>
          <w:szCs w:val="22"/>
          <w:lang w:eastAsia="en-US"/>
        </w:rPr>
        <w:t xml:space="preserve"> the museum</w:t>
      </w:r>
    </w:p>
    <w:p w14:paraId="6194E90D" w14:textId="34780749" w:rsidR="00BA2CA4" w:rsidRPr="00BA2CA4" w:rsidRDefault="00FD2196" w:rsidP="00451BC0">
      <w:pPr>
        <w:numPr>
          <w:ilvl w:val="0"/>
          <w:numId w:val="9"/>
        </w:numPr>
        <w:contextualSpacing/>
        <w:rPr>
          <w:rFonts w:eastAsiaTheme="minorHAnsi" w:cs="Arial"/>
          <w:szCs w:val="22"/>
          <w:lang w:eastAsia="en-US"/>
        </w:rPr>
      </w:pPr>
      <w:r>
        <w:rPr>
          <w:rFonts w:eastAsiaTheme="minorHAnsi" w:cs="Arial"/>
          <w:szCs w:val="22"/>
          <w:lang w:eastAsia="en-US"/>
        </w:rPr>
        <w:t xml:space="preserve">a </w:t>
      </w:r>
      <w:r w:rsidR="00BA2CA4" w:rsidRPr="00BA2CA4">
        <w:rPr>
          <w:rFonts w:eastAsiaTheme="minorHAnsi" w:cs="Arial"/>
          <w:szCs w:val="22"/>
          <w:lang w:eastAsia="en-US"/>
        </w:rPr>
        <w:t xml:space="preserve">Scienceworks </w:t>
      </w:r>
      <w:r>
        <w:rPr>
          <w:rFonts w:eastAsiaTheme="minorHAnsi" w:cs="Arial"/>
          <w:szCs w:val="22"/>
          <w:lang w:eastAsia="en-US"/>
        </w:rPr>
        <w:t xml:space="preserve">program </w:t>
      </w:r>
      <w:r w:rsidR="00BA2CA4" w:rsidRPr="00BA2CA4">
        <w:rPr>
          <w:rFonts w:eastAsiaTheme="minorHAnsi" w:cs="Arial"/>
          <w:szCs w:val="22"/>
          <w:lang w:eastAsia="en-US"/>
        </w:rPr>
        <w:t xml:space="preserve">focused on </w:t>
      </w:r>
      <w:r w:rsidR="00DC364A">
        <w:rPr>
          <w:rFonts w:eastAsiaTheme="minorHAnsi" w:cs="Arial"/>
          <w:szCs w:val="22"/>
          <w:lang w:eastAsia="en-US"/>
        </w:rPr>
        <w:t xml:space="preserve">science, technology, engineering and maths (STEM) </w:t>
      </w:r>
      <w:r w:rsidR="00BA2CA4" w:rsidRPr="00BA2CA4">
        <w:rPr>
          <w:rFonts w:eastAsiaTheme="minorHAnsi" w:cs="Arial"/>
          <w:szCs w:val="22"/>
          <w:lang w:eastAsia="en-US"/>
        </w:rPr>
        <w:t>and computational thinking</w:t>
      </w:r>
      <w:r w:rsidR="00B4104F">
        <w:rPr>
          <w:rFonts w:eastAsiaTheme="minorHAnsi" w:cs="Arial"/>
          <w:szCs w:val="22"/>
          <w:lang w:eastAsia="en-US"/>
        </w:rPr>
        <w:t>, presented in conjunction with</w:t>
      </w:r>
      <w:r w:rsidR="00B4104F" w:rsidRPr="00B4104F">
        <w:rPr>
          <w:rFonts w:eastAsiaTheme="minorHAnsi" w:cs="Arial"/>
          <w:szCs w:val="22"/>
          <w:lang w:eastAsia="en-US"/>
        </w:rPr>
        <w:t xml:space="preserve"> </w:t>
      </w:r>
      <w:r w:rsidR="00B4104F">
        <w:rPr>
          <w:rFonts w:eastAsiaTheme="minorHAnsi" w:cs="Arial"/>
          <w:szCs w:val="22"/>
          <w:lang w:eastAsia="en-US"/>
        </w:rPr>
        <w:t>t</w:t>
      </w:r>
      <w:r w:rsidR="00B4104F" w:rsidRPr="00BA2CA4">
        <w:rPr>
          <w:rFonts w:eastAsiaTheme="minorHAnsi" w:cs="Arial"/>
          <w:szCs w:val="22"/>
          <w:lang w:eastAsia="en-US"/>
        </w:rPr>
        <w:t>he Department of Education and Training</w:t>
      </w:r>
      <w:r w:rsidR="00B4104F">
        <w:rPr>
          <w:rFonts w:eastAsiaTheme="minorHAnsi" w:cs="Arial"/>
          <w:szCs w:val="22"/>
          <w:lang w:eastAsia="en-US"/>
        </w:rPr>
        <w:t>’s</w:t>
      </w:r>
      <w:r w:rsidR="00B4104F" w:rsidRPr="00BA2CA4">
        <w:rPr>
          <w:rFonts w:eastAsiaTheme="minorHAnsi" w:cs="Arial"/>
          <w:szCs w:val="22"/>
          <w:lang w:eastAsia="en-US"/>
        </w:rPr>
        <w:t xml:space="preserve"> </w:t>
      </w:r>
      <w:r w:rsidR="00B4104F" w:rsidRPr="00451BC0">
        <w:rPr>
          <w:rFonts w:eastAsiaTheme="minorHAnsi" w:cs="Arial"/>
          <w:szCs w:val="22"/>
          <w:lang w:eastAsia="en-US"/>
        </w:rPr>
        <w:t>Primary Maths and Science Specialists Initiative</w:t>
      </w:r>
      <w:r w:rsidR="00B4104F">
        <w:rPr>
          <w:rFonts w:eastAsiaTheme="minorHAnsi" w:cs="Arial"/>
          <w:szCs w:val="22"/>
          <w:lang w:eastAsia="en-US"/>
        </w:rPr>
        <w:t>, which supports primary school teachers from disadvantaged schools</w:t>
      </w:r>
    </w:p>
    <w:p w14:paraId="09FEED5B" w14:textId="3D8C1738" w:rsidR="00BA2CA4" w:rsidRPr="00BA2CA4" w:rsidRDefault="00DC364A" w:rsidP="00451BC0">
      <w:pPr>
        <w:numPr>
          <w:ilvl w:val="0"/>
          <w:numId w:val="9"/>
        </w:numPr>
        <w:contextualSpacing/>
        <w:rPr>
          <w:rFonts w:eastAsiaTheme="minorHAnsi" w:cs="Arial"/>
          <w:szCs w:val="22"/>
          <w:lang w:eastAsia="en-US"/>
        </w:rPr>
      </w:pPr>
      <w:r>
        <w:rPr>
          <w:rFonts w:eastAsiaTheme="minorHAnsi" w:cs="Arial"/>
          <w:color w:val="000000"/>
          <w:szCs w:val="22"/>
          <w:lang w:eastAsia="en-US"/>
        </w:rPr>
        <w:t>c</w:t>
      </w:r>
      <w:r w:rsidR="00BA2CA4" w:rsidRPr="00BA2CA4">
        <w:rPr>
          <w:rFonts w:eastAsiaTheme="minorHAnsi" w:cs="Arial"/>
          <w:color w:val="000000"/>
          <w:szCs w:val="22"/>
          <w:lang w:eastAsia="en-US"/>
        </w:rPr>
        <w:t>apstone projects</w:t>
      </w:r>
      <w:r w:rsidR="00B4104F">
        <w:rPr>
          <w:rFonts w:eastAsiaTheme="minorHAnsi" w:cs="Arial"/>
          <w:color w:val="000000"/>
          <w:szCs w:val="22"/>
          <w:lang w:eastAsia="en-US"/>
        </w:rPr>
        <w:t xml:space="preserve">, </w:t>
      </w:r>
      <w:r>
        <w:rPr>
          <w:rFonts w:eastAsiaTheme="minorHAnsi" w:cs="Arial"/>
          <w:color w:val="000000"/>
          <w:szCs w:val="22"/>
          <w:lang w:eastAsia="en-US"/>
        </w:rPr>
        <w:t xml:space="preserve">through which </w:t>
      </w:r>
      <w:r w:rsidR="00B4104F">
        <w:rPr>
          <w:rFonts w:eastAsiaTheme="minorHAnsi" w:cs="Arial"/>
          <w:color w:val="000000"/>
          <w:szCs w:val="22"/>
          <w:lang w:eastAsia="en-US"/>
        </w:rPr>
        <w:t>University of Melbourne students undertake research projects at Melbourne Museum as</w:t>
      </w:r>
      <w:r w:rsidR="00B4104F">
        <w:rPr>
          <w:rFonts w:cs="Arial"/>
          <w:szCs w:val="22"/>
          <w:lang w:eastAsia="en-US"/>
        </w:rPr>
        <w:t xml:space="preserve"> part of </w:t>
      </w:r>
      <w:r>
        <w:rPr>
          <w:rFonts w:cs="Arial"/>
          <w:szCs w:val="22"/>
          <w:lang w:eastAsia="en-US"/>
        </w:rPr>
        <w:t>a</w:t>
      </w:r>
      <w:r w:rsidR="00BA2CA4" w:rsidRPr="00BA2CA4">
        <w:rPr>
          <w:rFonts w:cs="Arial"/>
          <w:szCs w:val="22"/>
          <w:lang w:eastAsia="en-US"/>
        </w:rPr>
        <w:t xml:space="preserve"> Masters of Education. </w:t>
      </w:r>
    </w:p>
    <w:p w14:paraId="13E4651F" w14:textId="77777777" w:rsidR="00BA2CA4" w:rsidRPr="00BA2CA4" w:rsidRDefault="00BA2CA4" w:rsidP="00BA2CA4">
      <w:pPr>
        <w:rPr>
          <w:rFonts w:cs="Arial"/>
        </w:rPr>
      </w:pPr>
    </w:p>
    <w:p w14:paraId="3AFE8C41" w14:textId="73330495" w:rsidR="00BA2CA4" w:rsidRPr="00BA2CA4" w:rsidRDefault="003707AE" w:rsidP="00451BC0">
      <w:pPr>
        <w:rPr>
          <w:rFonts w:eastAsiaTheme="minorHAnsi" w:cs="Arial"/>
          <w:szCs w:val="22"/>
          <w:lang w:eastAsia="en-US"/>
        </w:rPr>
      </w:pPr>
      <w:r>
        <w:rPr>
          <w:rFonts w:cs="Arial"/>
        </w:rPr>
        <w:t xml:space="preserve">A number of </w:t>
      </w:r>
      <w:r w:rsidR="00BA2CA4" w:rsidRPr="00BA2CA4">
        <w:rPr>
          <w:rFonts w:cs="Arial"/>
        </w:rPr>
        <w:t xml:space="preserve">STEM education partnerships </w:t>
      </w:r>
      <w:r>
        <w:rPr>
          <w:rFonts w:cs="Arial"/>
        </w:rPr>
        <w:t xml:space="preserve">have been established </w:t>
      </w:r>
      <w:r w:rsidR="00BA2CA4" w:rsidRPr="00BA2CA4">
        <w:rPr>
          <w:rFonts w:cs="Arial"/>
        </w:rPr>
        <w:t>at Scienceworks</w:t>
      </w:r>
      <w:r>
        <w:rPr>
          <w:rFonts w:cs="Arial"/>
        </w:rPr>
        <w:t xml:space="preserve">, including a </w:t>
      </w:r>
      <w:r w:rsidR="00BA2CA4" w:rsidRPr="00BA2CA4">
        <w:rPr>
          <w:rFonts w:eastAsiaTheme="minorHAnsi" w:cs="Arial"/>
          <w:szCs w:val="22"/>
          <w:lang w:eastAsia="en-US"/>
        </w:rPr>
        <w:t>strategic partnership with the Catholic Education Commission of Victoria Ltd</w:t>
      </w:r>
      <w:r w:rsidR="003306E1">
        <w:rPr>
          <w:rFonts w:eastAsiaTheme="minorHAnsi" w:cs="Arial"/>
          <w:szCs w:val="22"/>
          <w:lang w:eastAsia="en-US"/>
        </w:rPr>
        <w:t>;</w:t>
      </w:r>
      <w:r>
        <w:rPr>
          <w:rFonts w:eastAsiaTheme="minorHAnsi" w:cs="Arial"/>
          <w:szCs w:val="22"/>
          <w:lang w:eastAsia="en-US"/>
        </w:rPr>
        <w:t xml:space="preserve"> a collaboration </w:t>
      </w:r>
      <w:r w:rsidR="00BA2CA4" w:rsidRPr="00BA2CA4">
        <w:rPr>
          <w:rFonts w:eastAsiaTheme="minorHAnsi" w:cs="Arial"/>
          <w:szCs w:val="22"/>
          <w:lang w:eastAsia="en-US"/>
        </w:rPr>
        <w:t xml:space="preserve">with Swinburne University </w:t>
      </w:r>
      <w:r>
        <w:rPr>
          <w:rFonts w:eastAsiaTheme="minorHAnsi" w:cs="Arial"/>
          <w:szCs w:val="22"/>
          <w:lang w:eastAsia="en-US"/>
        </w:rPr>
        <w:t xml:space="preserve">on a new transport design </w:t>
      </w:r>
      <w:r w:rsidR="00BA2CA4" w:rsidRPr="00BA2CA4">
        <w:rPr>
          <w:rFonts w:eastAsiaTheme="minorHAnsi" w:cs="Arial"/>
          <w:szCs w:val="22"/>
          <w:lang w:eastAsia="en-US"/>
        </w:rPr>
        <w:t>workshop</w:t>
      </w:r>
      <w:r w:rsidR="003306E1">
        <w:rPr>
          <w:rFonts w:eastAsiaTheme="minorHAnsi" w:cs="Arial"/>
          <w:szCs w:val="22"/>
          <w:lang w:eastAsia="en-US"/>
        </w:rPr>
        <w:t>,</w:t>
      </w:r>
      <w:r w:rsidR="00BA2CA4" w:rsidRPr="00BA2CA4">
        <w:rPr>
          <w:rFonts w:eastAsiaTheme="minorHAnsi" w:cs="Arial"/>
          <w:szCs w:val="22"/>
          <w:lang w:eastAsia="en-US"/>
        </w:rPr>
        <w:t xml:space="preserve"> </w:t>
      </w:r>
      <w:r w:rsidR="00BA2CA4" w:rsidRPr="00451BC0">
        <w:rPr>
          <w:rFonts w:eastAsiaTheme="minorHAnsi" w:cs="Arial"/>
          <w:szCs w:val="22"/>
          <w:lang w:eastAsia="en-US"/>
        </w:rPr>
        <w:t>Design Your Future</w:t>
      </w:r>
      <w:r w:rsidR="003306E1">
        <w:rPr>
          <w:rFonts w:eastAsiaTheme="minorHAnsi" w:cs="Arial"/>
          <w:szCs w:val="22"/>
          <w:lang w:eastAsia="en-US"/>
        </w:rPr>
        <w:t>;</w:t>
      </w:r>
      <w:r>
        <w:rPr>
          <w:rFonts w:eastAsiaTheme="minorHAnsi" w:cs="Arial"/>
          <w:szCs w:val="22"/>
          <w:lang w:eastAsia="en-US"/>
        </w:rPr>
        <w:t xml:space="preserve"> and p</w:t>
      </w:r>
      <w:r w:rsidR="00BA2CA4" w:rsidRPr="00BA2CA4">
        <w:rPr>
          <w:rFonts w:eastAsiaTheme="minorHAnsi" w:cs="Arial"/>
          <w:szCs w:val="22"/>
          <w:lang w:eastAsia="en-US"/>
        </w:rPr>
        <w:t>articipation in the Department of Education</w:t>
      </w:r>
      <w:r>
        <w:rPr>
          <w:rFonts w:eastAsiaTheme="minorHAnsi" w:cs="Arial"/>
          <w:szCs w:val="22"/>
          <w:lang w:eastAsia="en-US"/>
        </w:rPr>
        <w:t xml:space="preserve"> and Training</w:t>
      </w:r>
      <w:r w:rsidR="00BA2CA4" w:rsidRPr="00BA2CA4">
        <w:rPr>
          <w:rFonts w:eastAsiaTheme="minorHAnsi" w:cs="Arial"/>
          <w:szCs w:val="22"/>
          <w:lang w:eastAsia="en-US"/>
        </w:rPr>
        <w:t xml:space="preserve">’s first Mini Maker Faire, </w:t>
      </w:r>
      <w:r w:rsidR="008D5955">
        <w:rPr>
          <w:rFonts w:eastAsiaTheme="minorHAnsi" w:cs="Arial"/>
          <w:szCs w:val="22"/>
          <w:lang w:eastAsia="en-US"/>
        </w:rPr>
        <w:t>with</w:t>
      </w:r>
      <w:r w:rsidR="00BA2CA4" w:rsidRPr="00BA2CA4">
        <w:rPr>
          <w:rFonts w:eastAsiaTheme="minorHAnsi" w:cs="Arial"/>
          <w:szCs w:val="22"/>
          <w:lang w:eastAsia="en-US"/>
        </w:rPr>
        <w:t xml:space="preserve"> workshops and a drop-in design space for students.</w:t>
      </w:r>
    </w:p>
    <w:p w14:paraId="6792E0E6" w14:textId="77777777" w:rsidR="00BA2CA4" w:rsidRPr="00BA2CA4" w:rsidRDefault="00BA2CA4" w:rsidP="00BA2CA4"/>
    <w:p w14:paraId="48CDC33E" w14:textId="5053DB21" w:rsidR="00BA2CA4" w:rsidRPr="00451BC0" w:rsidRDefault="00BA2CA4" w:rsidP="00BA2CA4">
      <w:r w:rsidRPr="00451BC0">
        <w:t>Construction of the</w:t>
      </w:r>
      <w:r w:rsidR="0053517C" w:rsidRPr="00451BC0">
        <w:t xml:space="preserve"> Pauline Gandel </w:t>
      </w:r>
      <w:r w:rsidRPr="00451BC0">
        <w:t xml:space="preserve">Children’s Gallery </w:t>
      </w:r>
      <w:r w:rsidR="003306E1">
        <w:t xml:space="preserve">garden </w:t>
      </w:r>
      <w:r w:rsidRPr="00451BC0">
        <w:t>started in January</w:t>
      </w:r>
      <w:r w:rsidR="003306E1">
        <w:t>, with</w:t>
      </w:r>
      <w:r w:rsidRPr="00451BC0">
        <w:t xml:space="preserve"> indoor works commenc</w:t>
      </w:r>
      <w:r w:rsidR="003306E1">
        <w:t>ing</w:t>
      </w:r>
      <w:r w:rsidRPr="00451BC0">
        <w:t xml:space="preserve"> in April. The new Children’s Gallery, dedicated to fostering learning and creativity in children from birth to </w:t>
      </w:r>
      <w:r w:rsidR="003306E1">
        <w:t>five</w:t>
      </w:r>
      <w:r w:rsidRPr="00451BC0">
        <w:t xml:space="preserve"> years, is scheduled to open in December 2016.</w:t>
      </w:r>
    </w:p>
    <w:p w14:paraId="18C7EEDA" w14:textId="77777777" w:rsidR="00BA2CA4" w:rsidRPr="00451BC0" w:rsidRDefault="00BA2CA4" w:rsidP="00BA2CA4"/>
    <w:p w14:paraId="3AEDFC1D" w14:textId="52039F00" w:rsidR="00FD2196" w:rsidRPr="00BA2CA4" w:rsidRDefault="00BA2CA4" w:rsidP="00FD2196">
      <w:r w:rsidRPr="00451BC0">
        <w:rPr>
          <w:i/>
        </w:rPr>
        <w:t>Jurassic World: The Exhibition</w:t>
      </w:r>
      <w:r w:rsidRPr="00451BC0">
        <w:t xml:space="preserve"> </w:t>
      </w:r>
      <w:r w:rsidR="00FA2195" w:rsidRPr="00451BC0">
        <w:t xml:space="preserve">commenced </w:t>
      </w:r>
      <w:r w:rsidRPr="00451BC0">
        <w:t xml:space="preserve">its world premiere at Melbourne Museum on 19 March 2016. Inspired by </w:t>
      </w:r>
      <w:r w:rsidR="00FA2195" w:rsidRPr="00451BC0">
        <w:t xml:space="preserve">the </w:t>
      </w:r>
      <w:r w:rsidRPr="00451BC0">
        <w:t>Universal Pictures</w:t>
      </w:r>
      <w:r w:rsidR="00FA2195" w:rsidRPr="00451BC0">
        <w:t xml:space="preserve"> film</w:t>
      </w:r>
      <w:r w:rsidRPr="00451BC0">
        <w:t>, the exhibition features lifelike animatronic dinosaurs created by Melbourne’s Creature Technology Company. The exhibition is presented by Museum Victoria, Imagine Exhibitions Inc. and NBC Universal Brand Development, with support from the Victorian Government</w:t>
      </w:r>
      <w:r w:rsidR="00FA2195" w:rsidRPr="00451BC0">
        <w:t>.</w:t>
      </w:r>
      <w:r w:rsidR="00FD2196">
        <w:t xml:space="preserve"> </w:t>
      </w:r>
      <w:r w:rsidR="00FD2196" w:rsidRPr="00BA2CA4">
        <w:rPr>
          <w:i/>
        </w:rPr>
        <w:t>Prehistoric Planet</w:t>
      </w:r>
      <w:r w:rsidR="00FD2196" w:rsidRPr="00BA2CA4">
        <w:t>, an IMAX 3D documentary</w:t>
      </w:r>
      <w:r w:rsidR="00FD2196">
        <w:t>,</w:t>
      </w:r>
      <w:r w:rsidR="00FD2196" w:rsidRPr="00BA2CA4">
        <w:t xml:space="preserve"> was released in conjunction with </w:t>
      </w:r>
      <w:r w:rsidR="00FD2196" w:rsidRPr="00451BC0">
        <w:t>the exhibition</w:t>
      </w:r>
      <w:r w:rsidR="00FD2196" w:rsidRPr="00BA2CA4">
        <w:t xml:space="preserve"> </w:t>
      </w:r>
      <w:r w:rsidR="00FD2196">
        <w:t>and</w:t>
      </w:r>
      <w:r w:rsidR="00FD2196" w:rsidRPr="00BA2CA4">
        <w:t xml:space="preserve"> ha</w:t>
      </w:r>
      <w:r w:rsidR="00FD2196">
        <w:t>s</w:t>
      </w:r>
      <w:r w:rsidR="00FD2196" w:rsidRPr="00BA2CA4">
        <w:t xml:space="preserve"> prove</w:t>
      </w:r>
      <w:r w:rsidR="00FD2196">
        <w:t xml:space="preserve">d </w:t>
      </w:r>
      <w:r w:rsidR="00FD2196" w:rsidRPr="00BA2CA4">
        <w:t xml:space="preserve">immensely popular. </w:t>
      </w:r>
    </w:p>
    <w:p w14:paraId="5AE07E27" w14:textId="77777777" w:rsidR="00BA2CA4" w:rsidRPr="00451BC0" w:rsidRDefault="00BA2CA4" w:rsidP="00BA2CA4"/>
    <w:p w14:paraId="71547A8D" w14:textId="040A2728" w:rsidR="00BA2CA4" w:rsidRPr="00451BC0" w:rsidRDefault="00BA2CA4" w:rsidP="00BA2CA4">
      <w:r w:rsidRPr="00451BC0">
        <w:rPr>
          <w:i/>
        </w:rPr>
        <w:t>Tyrannosaurs: Meet the Family</w:t>
      </w:r>
      <w:r w:rsidRPr="00451BC0">
        <w:t xml:space="preserve">, an exhibition featuring the dinosaurs that became the world’s top predators, </w:t>
      </w:r>
      <w:r w:rsidR="00FA2195">
        <w:t xml:space="preserve">was presented </w:t>
      </w:r>
      <w:r w:rsidRPr="00451BC0">
        <w:t>at Scienceworks from May</w:t>
      </w:r>
      <w:r w:rsidR="00FA2195">
        <w:t xml:space="preserve"> to </w:t>
      </w:r>
      <w:r w:rsidRPr="00451BC0">
        <w:t xml:space="preserve">October 2015.  </w:t>
      </w:r>
      <w:r w:rsidR="003306E1">
        <w:t>It</w:t>
      </w:r>
      <w:r w:rsidRPr="00451BC0">
        <w:t xml:space="preserve"> included fossil specimens, stunning life-size skeletons and models, </w:t>
      </w:r>
      <w:r w:rsidR="00FA2195">
        <w:t>and</w:t>
      </w:r>
      <w:r w:rsidRPr="00451BC0">
        <w:t xml:space="preserve"> multimedia </w:t>
      </w:r>
      <w:r w:rsidR="00FA2195">
        <w:t>that brought</w:t>
      </w:r>
      <w:r w:rsidRPr="00451BC0">
        <w:t xml:space="preserve"> the tyrannosaurs to life</w:t>
      </w:r>
      <w:r w:rsidR="00FA2195">
        <w:t xml:space="preserve">. </w:t>
      </w:r>
      <w:r w:rsidR="003306E1">
        <w:t>The exhibition</w:t>
      </w:r>
      <w:r w:rsidR="003306E1" w:rsidRPr="00451BC0">
        <w:t xml:space="preserve"> </w:t>
      </w:r>
      <w:r w:rsidRPr="00451BC0">
        <w:t>was developed and toured by the Australian Museum.</w:t>
      </w:r>
    </w:p>
    <w:p w14:paraId="50EE7200" w14:textId="77777777" w:rsidR="00BA2CA4" w:rsidRPr="00451BC0" w:rsidRDefault="00BA2CA4" w:rsidP="00BA2CA4"/>
    <w:p w14:paraId="669850BA" w14:textId="057932DD" w:rsidR="00BA2CA4" w:rsidRPr="00451BC0" w:rsidRDefault="00BA2CA4" w:rsidP="00BA2CA4">
      <w:r w:rsidRPr="00451BC0">
        <w:rPr>
          <w:i/>
        </w:rPr>
        <w:t>Capturing the Cosmos</w:t>
      </w:r>
      <w:r w:rsidRPr="00451BC0">
        <w:t xml:space="preserve">, developed by the Melbourne Planetarium in collaboration with CAASTRO, the Australian Research Council’s </w:t>
      </w:r>
      <w:r w:rsidR="00E2234B">
        <w:t xml:space="preserve">(ARC) </w:t>
      </w:r>
      <w:r w:rsidRPr="00451BC0">
        <w:t xml:space="preserve">Centre of Excellence for All-sky Astrophysics, </w:t>
      </w:r>
      <w:r w:rsidR="00FA2195">
        <w:t>was launched in</w:t>
      </w:r>
      <w:r w:rsidRPr="00451BC0">
        <w:t xml:space="preserve"> March. The show highlights current research by astronomers in Australia and is narrated by award-winning actor Geoffrey Rush AC.</w:t>
      </w:r>
    </w:p>
    <w:p w14:paraId="7C5DCA88" w14:textId="77777777" w:rsidR="00BA2CA4" w:rsidRPr="00451BC0" w:rsidRDefault="00BA2CA4" w:rsidP="00BA2CA4"/>
    <w:p w14:paraId="2FC0CE84" w14:textId="5039D7A2" w:rsidR="001506A4" w:rsidRDefault="00BA2CA4" w:rsidP="00BA2CA4">
      <w:r w:rsidRPr="00451BC0">
        <w:rPr>
          <w:i/>
        </w:rPr>
        <w:t>The WW1 Centenary Exhibition</w:t>
      </w:r>
      <w:r w:rsidRPr="00451BC0">
        <w:t xml:space="preserve">, the major exhibition from </w:t>
      </w:r>
      <w:r w:rsidR="00EF0620">
        <w:t>London’s</w:t>
      </w:r>
      <w:r w:rsidR="00EF0620" w:rsidRPr="00451BC0">
        <w:t xml:space="preserve"> </w:t>
      </w:r>
      <w:r w:rsidRPr="00451BC0">
        <w:t xml:space="preserve">Imperial War Museums, completed its </w:t>
      </w:r>
      <w:r w:rsidR="00EF0620">
        <w:t>showing</w:t>
      </w:r>
      <w:r w:rsidR="00EF0620" w:rsidRPr="00451BC0">
        <w:t xml:space="preserve"> </w:t>
      </w:r>
      <w:r w:rsidRPr="00451BC0">
        <w:t xml:space="preserve">at Melbourne Museum on 4 October 2015. </w:t>
      </w:r>
      <w:r w:rsidR="00EF0620">
        <w:t xml:space="preserve">It </w:t>
      </w:r>
      <w:r w:rsidRPr="00451BC0">
        <w:t xml:space="preserve">was toured by International Entertainment Consulting, with support from the Victorian Government. </w:t>
      </w:r>
      <w:r w:rsidR="0053517C" w:rsidRPr="00451BC0">
        <w:t xml:space="preserve">A symposium held in September </w:t>
      </w:r>
      <w:r w:rsidRPr="00451BC0">
        <w:t xml:space="preserve">explored new perspectives </w:t>
      </w:r>
      <w:r w:rsidR="00EF0620">
        <w:t xml:space="preserve">on </w:t>
      </w:r>
      <w:r w:rsidRPr="00451BC0">
        <w:t xml:space="preserve">and understandings of the </w:t>
      </w:r>
      <w:r w:rsidR="00EF0620">
        <w:t xml:space="preserve">war’s </w:t>
      </w:r>
      <w:r w:rsidRPr="00451BC0">
        <w:t>emotional and physical impacts</w:t>
      </w:r>
      <w:r w:rsidR="00EF0620">
        <w:t>,</w:t>
      </w:r>
      <w:r w:rsidRPr="00451BC0">
        <w:t xml:space="preserve"> </w:t>
      </w:r>
      <w:r w:rsidR="00EF0620">
        <w:t>as well as</w:t>
      </w:r>
      <w:r w:rsidR="00EF0620" w:rsidRPr="00451BC0">
        <w:t xml:space="preserve"> </w:t>
      </w:r>
      <w:r w:rsidRPr="00451BC0">
        <w:t xml:space="preserve">how </w:t>
      </w:r>
      <w:r w:rsidR="00EF0620">
        <w:t>it</w:t>
      </w:r>
      <w:r w:rsidRPr="00451BC0">
        <w:t xml:space="preserve"> is remembered today</w:t>
      </w:r>
      <w:r w:rsidR="0053517C" w:rsidRPr="00451BC0">
        <w:t>. The symposium</w:t>
      </w:r>
      <w:r w:rsidRPr="00451BC0">
        <w:t xml:space="preserve"> was supported by a grant from the ARC’s Centre of Excellence for the History of Emotions.</w:t>
      </w:r>
    </w:p>
    <w:p w14:paraId="561248F4" w14:textId="77777777" w:rsidR="001506A4" w:rsidRDefault="001506A4">
      <w:pPr>
        <w:spacing w:after="200" w:line="276" w:lineRule="auto"/>
      </w:pPr>
      <w:r>
        <w:br w:type="page"/>
      </w:r>
    </w:p>
    <w:p w14:paraId="5BE91ED4" w14:textId="77777777" w:rsidR="00794AA1" w:rsidRDefault="00BA2CA4" w:rsidP="00727740">
      <w:pPr>
        <w:pStyle w:val="Heading2"/>
      </w:pPr>
      <w:bookmarkStart w:id="3" w:name="_Toc50372768"/>
      <w:bookmarkStart w:id="4" w:name="_Toc50545183"/>
      <w:bookmarkStart w:id="5" w:name="_Toc50784472"/>
      <w:bookmarkStart w:id="6" w:name="_Toc50784559"/>
      <w:bookmarkStart w:id="7" w:name="_Toc50784753"/>
      <w:r w:rsidRPr="00BA2CA4">
        <w:lastRenderedPageBreak/>
        <w:t>Strategic Direction 2:</w:t>
      </w:r>
    </w:p>
    <w:p w14:paraId="4ECAF83E" w14:textId="19508681" w:rsidR="00BA2CA4" w:rsidRDefault="00BA2CA4" w:rsidP="00727740">
      <w:pPr>
        <w:pStyle w:val="Heading2"/>
      </w:pPr>
      <w:r w:rsidRPr="00541EB8">
        <w:t xml:space="preserve">Investing in </w:t>
      </w:r>
      <w:r w:rsidRPr="00643667">
        <w:t>Knowledge</w:t>
      </w:r>
      <w:r w:rsidRPr="00541EB8">
        <w:t>, Expertise and</w:t>
      </w:r>
      <w:r w:rsidRPr="00BA2CA4">
        <w:t xml:space="preserve"> Collections </w:t>
      </w:r>
      <w:bookmarkEnd w:id="3"/>
      <w:bookmarkEnd w:id="4"/>
      <w:bookmarkEnd w:id="5"/>
      <w:bookmarkEnd w:id="6"/>
      <w:bookmarkEnd w:id="7"/>
    </w:p>
    <w:p w14:paraId="4144D463" w14:textId="77777777" w:rsidR="00794AA1" w:rsidRPr="00794AA1" w:rsidRDefault="00794AA1" w:rsidP="009E51A8"/>
    <w:p w14:paraId="5BA2389D" w14:textId="77777777" w:rsidR="00BA2CA4" w:rsidRPr="00BA2CA4" w:rsidRDefault="00BA2CA4" w:rsidP="00643667">
      <w:pPr>
        <w:pStyle w:val="Heading3"/>
      </w:pPr>
      <w:r w:rsidRPr="00BA2CA4">
        <w:t>Generating New Knowledge</w:t>
      </w:r>
    </w:p>
    <w:p w14:paraId="5CC9D10B" w14:textId="654C9CA0" w:rsidR="00BA2CA4" w:rsidRPr="00451BC0" w:rsidRDefault="00BA2CA4" w:rsidP="00BA2CA4">
      <w:r w:rsidRPr="00451BC0">
        <w:t>In 2015</w:t>
      </w:r>
      <w:r w:rsidR="00541EB8">
        <w:t>–</w:t>
      </w:r>
      <w:r w:rsidRPr="00451BC0">
        <w:t xml:space="preserve">16, Museum Victoria continued its strong research program, with researchers producing </w:t>
      </w:r>
      <w:r w:rsidR="00AD092F">
        <w:t>159</w:t>
      </w:r>
      <w:r w:rsidR="00AD092F" w:rsidRPr="00451BC0">
        <w:t xml:space="preserve"> </w:t>
      </w:r>
      <w:r w:rsidRPr="00451BC0">
        <w:t xml:space="preserve">peer-reviewed journal articles, reports, books and other publications, and presenting </w:t>
      </w:r>
      <w:r w:rsidR="00AD092F">
        <w:t>134</w:t>
      </w:r>
      <w:r w:rsidR="00AD092F" w:rsidRPr="00451BC0">
        <w:t xml:space="preserve"> </w:t>
      </w:r>
      <w:r w:rsidRPr="00451BC0">
        <w:t>lectures and talks.</w:t>
      </w:r>
    </w:p>
    <w:p w14:paraId="45657BAC" w14:textId="77777777" w:rsidR="00BA2CA4" w:rsidRPr="00451BC0" w:rsidRDefault="00BA2CA4" w:rsidP="00BA2CA4"/>
    <w:p w14:paraId="614645CE" w14:textId="59AEAA72" w:rsidR="00BA2CA4" w:rsidRPr="00451BC0" w:rsidRDefault="007A26F3" w:rsidP="00BA2CA4">
      <w:r>
        <w:t>One</w:t>
      </w:r>
      <w:r w:rsidR="00BA2CA4" w:rsidRPr="00451BC0">
        <w:t xml:space="preserve"> research paper</w:t>
      </w:r>
      <w:r>
        <w:t xml:space="preserve"> was published</w:t>
      </w:r>
      <w:r w:rsidR="00BA2CA4" w:rsidRPr="00451BC0">
        <w:t xml:space="preserve"> in the leading science journal </w:t>
      </w:r>
      <w:r w:rsidR="00BA2CA4" w:rsidRPr="00451BC0">
        <w:rPr>
          <w:i/>
        </w:rPr>
        <w:t>Nature</w:t>
      </w:r>
      <w:r>
        <w:rPr>
          <w:i/>
        </w:rPr>
        <w:t xml:space="preserve">. </w:t>
      </w:r>
      <w:r w:rsidRPr="000720D0">
        <w:t>The</w:t>
      </w:r>
      <w:r w:rsidR="00BA2CA4" w:rsidRPr="00451BC0">
        <w:t xml:space="preserve"> team of scientists from Museum Victoria and the University of Melbourne created the first map of seafloor diversity across the world’s oceans</w:t>
      </w:r>
      <w:r>
        <w:t xml:space="preserve">, </w:t>
      </w:r>
      <w:r w:rsidR="00BA2CA4" w:rsidRPr="00451BC0">
        <w:t>reveal</w:t>
      </w:r>
      <w:r>
        <w:t>ing</w:t>
      </w:r>
      <w:r w:rsidR="00BA2CA4" w:rsidRPr="00451BC0">
        <w:t xml:space="preserve"> how fundamentally different </w:t>
      </w:r>
      <w:r>
        <w:t xml:space="preserve">the </w:t>
      </w:r>
      <w:r w:rsidR="00BA2CA4" w:rsidRPr="00451BC0">
        <w:t>patterns of biodiversity are in the deep oceans compared to in shallow waters or on land.</w:t>
      </w:r>
    </w:p>
    <w:p w14:paraId="5FF0E53F" w14:textId="77777777" w:rsidR="00BA2CA4" w:rsidRPr="00451BC0" w:rsidRDefault="00BA2CA4" w:rsidP="00BA2CA4"/>
    <w:p w14:paraId="379793EE" w14:textId="691965BB" w:rsidR="00BA2CA4" w:rsidRPr="00451BC0" w:rsidRDefault="00BA2CA4" w:rsidP="00BA2CA4">
      <w:r w:rsidRPr="00451BC0">
        <w:t xml:space="preserve">Museum Victoria is a partner organisation in eight new ARC </w:t>
      </w:r>
      <w:r w:rsidR="00E2234B">
        <w:t>l</w:t>
      </w:r>
      <w:r w:rsidRPr="00451BC0">
        <w:t xml:space="preserve">inkage </w:t>
      </w:r>
      <w:r w:rsidR="00E2234B">
        <w:t>g</w:t>
      </w:r>
      <w:r w:rsidRPr="00451BC0">
        <w:t>rant projects</w:t>
      </w:r>
      <w:r w:rsidR="0034453E">
        <w:t>.</w:t>
      </w:r>
      <w:r w:rsidRPr="00451BC0">
        <w:t xml:space="preserve"> The projects involve collaborations with the University of Melbourne, Monash University, Deakin University, </w:t>
      </w:r>
      <w:r w:rsidR="007A26F3">
        <w:t xml:space="preserve">the </w:t>
      </w:r>
      <w:r w:rsidRPr="00451BC0">
        <w:t xml:space="preserve">University of Adelaide and </w:t>
      </w:r>
      <w:r w:rsidR="007A26F3">
        <w:t xml:space="preserve">the </w:t>
      </w:r>
      <w:r w:rsidRPr="00451BC0">
        <w:t>University of Queensland</w:t>
      </w:r>
      <w:r w:rsidR="007A26F3">
        <w:t xml:space="preserve">, and </w:t>
      </w:r>
      <w:r w:rsidRPr="00451BC0">
        <w:t>include a range of interdisciplinary projects</w:t>
      </w:r>
      <w:r w:rsidR="00CE40EA">
        <w:t xml:space="preserve"> that</w:t>
      </w:r>
      <w:r w:rsidRPr="00451BC0">
        <w:t xml:space="preserve"> cross traditional boundaries in sciences and humanities.</w:t>
      </w:r>
    </w:p>
    <w:p w14:paraId="4D12D678" w14:textId="1806890D" w:rsidR="00BA2CA4" w:rsidRPr="00451BC0" w:rsidRDefault="00BA2CA4" w:rsidP="00BA2CA4"/>
    <w:p w14:paraId="66BA9E98" w14:textId="0BC69507" w:rsidR="00BA2CA4" w:rsidRPr="00451BC0" w:rsidRDefault="00CE40EA" w:rsidP="00BA2CA4">
      <w:r>
        <w:t>T</w:t>
      </w:r>
      <w:r w:rsidR="00BA2CA4" w:rsidRPr="00451BC0">
        <w:t>he McCoy Project aims to foster collaborative and interdisciplinary research</w:t>
      </w:r>
      <w:r>
        <w:t>.</w:t>
      </w:r>
      <w:r w:rsidR="00BA2CA4" w:rsidRPr="00451BC0">
        <w:t xml:space="preserve"> Museum Victoria and the University of Melbourne awarded a third round of seed funding to five pilot projects developed by investigators at the two institutions and two new Strategic Australian Postgraduate Award scholarships for PhD candidates.</w:t>
      </w:r>
    </w:p>
    <w:p w14:paraId="206327BB" w14:textId="77777777" w:rsidR="00BA2CA4" w:rsidRPr="00451BC0" w:rsidRDefault="00BA2CA4" w:rsidP="00BA2CA4"/>
    <w:p w14:paraId="16F7E3BD" w14:textId="3F942180" w:rsidR="00BA2CA4" w:rsidRPr="00451BC0" w:rsidRDefault="00BA2CA4" w:rsidP="00BA2CA4">
      <w:r w:rsidRPr="00451BC0">
        <w:t xml:space="preserve">In October, Museum Victoria signed a </w:t>
      </w:r>
      <w:r w:rsidR="006E08BB">
        <w:t>m</w:t>
      </w:r>
      <w:r w:rsidRPr="00451BC0">
        <w:t xml:space="preserve">emorandum of </w:t>
      </w:r>
      <w:r w:rsidR="006E08BB">
        <w:t>u</w:t>
      </w:r>
      <w:r w:rsidRPr="00451BC0">
        <w:t>nderstanding with the University of Melbourne</w:t>
      </w:r>
      <w:r w:rsidR="00CE40EA">
        <w:t>; it</w:t>
      </w:r>
      <w:r w:rsidR="006E08BB">
        <w:t xml:space="preserve"> </w:t>
      </w:r>
      <w:r w:rsidRPr="00451BC0">
        <w:t>aim</w:t>
      </w:r>
      <w:r w:rsidR="006E08BB">
        <w:t>s to</w:t>
      </w:r>
      <w:r w:rsidRPr="00451BC0">
        <w:t xml:space="preserve"> grow and diversify the existing partnership. This builds on the success of the McCoy Project, </w:t>
      </w:r>
      <w:r w:rsidR="006E08BB">
        <w:t xml:space="preserve">under </w:t>
      </w:r>
      <w:r w:rsidRPr="00451BC0">
        <w:t xml:space="preserve">which new and successful research collaborations </w:t>
      </w:r>
      <w:r w:rsidR="006E08BB">
        <w:t xml:space="preserve">have been </w:t>
      </w:r>
      <w:r w:rsidRPr="00451BC0">
        <w:t>develop</w:t>
      </w:r>
      <w:r w:rsidR="006E08BB">
        <w:t>ed</w:t>
      </w:r>
      <w:r w:rsidRPr="00451BC0">
        <w:t xml:space="preserve"> between the institutions.</w:t>
      </w:r>
    </w:p>
    <w:p w14:paraId="3EE882FB" w14:textId="77777777" w:rsidR="00BA2CA4" w:rsidRPr="00451BC0" w:rsidRDefault="00BA2CA4" w:rsidP="00BA2CA4"/>
    <w:p w14:paraId="78F5AF4C" w14:textId="51A5CB07" w:rsidR="00BA2CA4" w:rsidRPr="00451BC0" w:rsidRDefault="00BA2CA4" w:rsidP="00BA2CA4">
      <w:r w:rsidRPr="00451BC0">
        <w:t>Museum Victoria and Monash University continued their collaborative research partnership</w:t>
      </w:r>
      <w:r w:rsidR="00CE40EA">
        <w:t>,</w:t>
      </w:r>
      <w:r w:rsidRPr="00451BC0">
        <w:t xml:space="preserve"> awarding two PhD top-up scholarships for Monash University postgraduate research students. The scholarships </w:t>
      </w:r>
      <w:r w:rsidR="00D458EC">
        <w:t>a</w:t>
      </w:r>
      <w:r w:rsidRPr="00451BC0">
        <w:t xml:space="preserve">re for projects either co-supervised by Museum Victoria and Monash University staff or </w:t>
      </w:r>
      <w:r w:rsidR="00D458EC">
        <w:t>which</w:t>
      </w:r>
      <w:r w:rsidR="00D458EC" w:rsidRPr="00451BC0">
        <w:t xml:space="preserve"> </w:t>
      </w:r>
      <w:r w:rsidRPr="00451BC0">
        <w:t>substantially focus on an aspect of Museum Victoria’s collections.</w:t>
      </w:r>
    </w:p>
    <w:p w14:paraId="0452E7D4" w14:textId="77777777" w:rsidR="00BA2CA4" w:rsidRPr="00451BC0" w:rsidRDefault="00BA2CA4" w:rsidP="00BA2CA4"/>
    <w:p w14:paraId="7B94752C" w14:textId="6F5C5ECA" w:rsidR="00BA2CA4" w:rsidRPr="00451BC0" w:rsidRDefault="00BA2CA4" w:rsidP="00BA2CA4">
      <w:r w:rsidRPr="00451BC0">
        <w:t xml:space="preserve">The Ian Potter Foundation provided funding for a third </w:t>
      </w:r>
      <w:r w:rsidRPr="00451BC0">
        <w:rPr>
          <w:rFonts w:eastAsia="MS Gothic"/>
        </w:rPr>
        <w:t>Ian Potter Fellowship for Biodiversity Research at Museum Victoria</w:t>
      </w:r>
      <w:r w:rsidR="00D458EC">
        <w:rPr>
          <w:rFonts w:eastAsia="MS Gothic"/>
        </w:rPr>
        <w:t>. This</w:t>
      </w:r>
      <w:r w:rsidR="006E08BB">
        <w:rPr>
          <w:rFonts w:eastAsia="MS Gothic"/>
        </w:rPr>
        <w:t xml:space="preserve"> will</w:t>
      </w:r>
      <w:r w:rsidRPr="00451BC0">
        <w:rPr>
          <w:rFonts w:eastAsia="MS Gothic"/>
        </w:rPr>
        <w:t xml:space="preserve"> enable a talented early</w:t>
      </w:r>
      <w:r w:rsidR="00165052">
        <w:rPr>
          <w:rFonts w:eastAsia="MS Gothic"/>
        </w:rPr>
        <w:t>-</w:t>
      </w:r>
      <w:r w:rsidRPr="00451BC0">
        <w:rPr>
          <w:rFonts w:eastAsia="MS Gothic"/>
        </w:rPr>
        <w:t xml:space="preserve">career researcher </w:t>
      </w:r>
      <w:r w:rsidRPr="00451BC0">
        <w:t xml:space="preserve">to undertake innovative </w:t>
      </w:r>
      <w:r w:rsidR="00D458EC">
        <w:t>work</w:t>
      </w:r>
      <w:r w:rsidR="00D458EC" w:rsidRPr="00451BC0">
        <w:t xml:space="preserve"> </w:t>
      </w:r>
      <w:r w:rsidRPr="00451BC0">
        <w:t>linked to the new Ian Potter Australian Wildlife BioBank facility at Melbourne Museum.</w:t>
      </w:r>
    </w:p>
    <w:p w14:paraId="7ECA92A7" w14:textId="77777777" w:rsidR="00563A34" w:rsidRDefault="00563A34" w:rsidP="00563A34">
      <w:pPr>
        <w:rPr>
          <w:rFonts w:cs="Arial"/>
        </w:rPr>
      </w:pPr>
    </w:p>
    <w:p w14:paraId="37D4253E" w14:textId="34E68E48" w:rsidR="00563A34" w:rsidRPr="00BA2CA4" w:rsidRDefault="00563A34" w:rsidP="00451BC0">
      <w:pPr>
        <w:spacing w:after="200"/>
        <w:contextualSpacing/>
        <w:rPr>
          <w:rFonts w:eastAsiaTheme="minorHAnsi" w:cs="Arial"/>
          <w:szCs w:val="22"/>
          <w:lang w:eastAsia="en-US"/>
        </w:rPr>
      </w:pPr>
      <w:r w:rsidRPr="00BA2CA4">
        <w:rPr>
          <w:rFonts w:cs="Arial"/>
        </w:rPr>
        <w:t xml:space="preserve">Museum Victoria has established a number of </w:t>
      </w:r>
      <w:r w:rsidR="006E08BB">
        <w:rPr>
          <w:rFonts w:cs="Arial"/>
        </w:rPr>
        <w:t>e</w:t>
      </w:r>
      <w:r w:rsidRPr="00BA2CA4">
        <w:rPr>
          <w:rFonts w:cs="Arial"/>
        </w:rPr>
        <w:t>arly</w:t>
      </w:r>
      <w:r w:rsidR="00165052">
        <w:rPr>
          <w:rFonts w:cs="Arial"/>
        </w:rPr>
        <w:t>-</w:t>
      </w:r>
      <w:r w:rsidR="006E08BB">
        <w:rPr>
          <w:rFonts w:cs="Arial"/>
        </w:rPr>
        <w:t>l</w:t>
      </w:r>
      <w:r w:rsidRPr="00BA2CA4">
        <w:rPr>
          <w:rFonts w:cs="Arial"/>
        </w:rPr>
        <w:t>earning research partnerships to better involve children and families in lifelong learning.</w:t>
      </w:r>
      <w:r w:rsidR="006E08BB">
        <w:rPr>
          <w:rFonts w:cs="Arial"/>
        </w:rPr>
        <w:t xml:space="preserve"> One project is being </w:t>
      </w:r>
      <w:r w:rsidR="006E08BB">
        <w:rPr>
          <w:rFonts w:eastAsiaTheme="minorHAnsi" w:cs="Arial"/>
          <w:szCs w:val="22"/>
          <w:lang w:eastAsia="en-US"/>
        </w:rPr>
        <w:t>undertaken</w:t>
      </w:r>
      <w:r w:rsidRPr="00BA2CA4">
        <w:rPr>
          <w:rFonts w:eastAsiaTheme="minorHAnsi" w:cs="Arial"/>
          <w:szCs w:val="22"/>
          <w:lang w:eastAsia="en-US"/>
        </w:rPr>
        <w:t xml:space="preserve"> with Macquarie University, the National Maritime Museum and </w:t>
      </w:r>
      <w:r w:rsidR="006E08BB">
        <w:rPr>
          <w:rFonts w:eastAsiaTheme="minorHAnsi" w:cs="Arial"/>
          <w:szCs w:val="22"/>
          <w:lang w:eastAsia="en-US"/>
        </w:rPr>
        <w:t xml:space="preserve">the </w:t>
      </w:r>
      <w:r w:rsidRPr="00BA2CA4">
        <w:rPr>
          <w:rFonts w:eastAsiaTheme="minorHAnsi" w:cs="Arial"/>
          <w:szCs w:val="22"/>
          <w:lang w:eastAsia="en-US"/>
        </w:rPr>
        <w:t>Powerhouse Museum. This national partnership investigates the learning experiences of pr</w:t>
      </w:r>
      <w:r w:rsidR="00D458EC">
        <w:rPr>
          <w:rFonts w:eastAsiaTheme="minorHAnsi" w:cs="Arial"/>
          <w:szCs w:val="22"/>
          <w:lang w:eastAsia="en-US"/>
        </w:rPr>
        <w:t>e</w:t>
      </w:r>
      <w:r w:rsidRPr="00BA2CA4">
        <w:rPr>
          <w:rFonts w:eastAsiaTheme="minorHAnsi" w:cs="Arial"/>
          <w:szCs w:val="22"/>
          <w:lang w:eastAsia="en-US"/>
        </w:rPr>
        <w:t>school</w:t>
      </w:r>
      <w:r w:rsidR="00D458EC">
        <w:rPr>
          <w:rFonts w:eastAsiaTheme="minorHAnsi" w:cs="Arial"/>
          <w:szCs w:val="22"/>
          <w:lang w:eastAsia="en-US"/>
        </w:rPr>
        <w:t>-</w:t>
      </w:r>
      <w:r w:rsidRPr="00BA2CA4">
        <w:rPr>
          <w:rFonts w:eastAsiaTheme="minorHAnsi" w:cs="Arial"/>
          <w:szCs w:val="22"/>
          <w:lang w:eastAsia="en-US"/>
        </w:rPr>
        <w:t>aged children and their families visiting museums.</w:t>
      </w:r>
    </w:p>
    <w:p w14:paraId="09600BEE" w14:textId="77777777" w:rsidR="00BA2CA4" w:rsidRPr="00451BC0" w:rsidRDefault="00BA2CA4" w:rsidP="00BA2CA4"/>
    <w:p w14:paraId="21074CA8" w14:textId="4DC46654" w:rsidR="00BA2CA4" w:rsidRDefault="00BA2CA4" w:rsidP="00BA2CA4">
      <w:r w:rsidRPr="00451BC0">
        <w:t xml:space="preserve">Museum Victoria has partnered with the Victorian National Parks </w:t>
      </w:r>
      <w:r w:rsidR="00D70420">
        <w:t xml:space="preserve">Association </w:t>
      </w:r>
      <w:r w:rsidRPr="00451BC0">
        <w:t xml:space="preserve">to develop Communities Listening for Nature, supported by funding from the Hugh D.T. Williamson Foundation and the Helen Macpherson Smith Trust. The project aims to </w:t>
      </w:r>
      <w:r w:rsidRPr="00451BC0">
        <w:lastRenderedPageBreak/>
        <w:t>use museum and citizen scientist</w:t>
      </w:r>
      <w:r w:rsidR="00D70420">
        <w:t>s’ acoustic</w:t>
      </w:r>
      <w:r w:rsidRPr="00451BC0">
        <w:t xml:space="preserve"> </w:t>
      </w:r>
      <w:r w:rsidR="00D70420" w:rsidRPr="00451BC0">
        <w:t xml:space="preserve">monitoring </w:t>
      </w:r>
      <w:r w:rsidRPr="00451BC0">
        <w:t>to build knowledge o</w:t>
      </w:r>
      <w:r w:rsidR="00D70420">
        <w:t>f</w:t>
      </w:r>
      <w:r w:rsidRPr="00451BC0">
        <w:t xml:space="preserve"> Victoria’s bird species and assist with faunal conservation and management.</w:t>
      </w:r>
    </w:p>
    <w:p w14:paraId="02967D9C" w14:textId="77777777" w:rsidR="00643667" w:rsidRPr="00451BC0" w:rsidRDefault="00643667" w:rsidP="00BA2CA4"/>
    <w:p w14:paraId="3014996E" w14:textId="7E7214E8" w:rsidR="00BA2CA4" w:rsidRPr="00451BC0" w:rsidRDefault="00BA2CA4" w:rsidP="00BA2CA4">
      <w:r w:rsidRPr="00451BC0">
        <w:t>Under the 2012</w:t>
      </w:r>
      <w:r w:rsidR="00640EC3" w:rsidRPr="00451BC0">
        <w:rPr>
          <w:rFonts w:cs="Arial"/>
        </w:rPr>
        <w:t>–</w:t>
      </w:r>
      <w:r w:rsidRPr="00451BC0">
        <w:t>16 memorandum</w:t>
      </w:r>
      <w:r w:rsidR="00D70420">
        <w:t xml:space="preserve"> </w:t>
      </w:r>
      <w:r w:rsidRPr="00451BC0">
        <w:t>of</w:t>
      </w:r>
      <w:r w:rsidR="00D70420">
        <w:t xml:space="preserve"> </w:t>
      </w:r>
      <w:r w:rsidRPr="00451BC0">
        <w:t>understanding between Museum Victoria and Parks Victoria, four major ‘</w:t>
      </w:r>
      <w:r w:rsidR="00640EC3" w:rsidRPr="00451BC0">
        <w:t>b</w:t>
      </w:r>
      <w:r w:rsidRPr="00451BC0">
        <w:t xml:space="preserve">ioscans’ or biodiversity surveys have been completed in iconic Victorian National Parks (Wilsons Promontory, Grampians, Victorian Alps and Gippsland Lakes), with each wildlife survey accompanied by public engagement activities. The program </w:t>
      </w:r>
      <w:r w:rsidR="00640EC3" w:rsidRPr="00451BC0">
        <w:t>included</w:t>
      </w:r>
      <w:r w:rsidRPr="00451BC0">
        <w:t xml:space="preserve"> a series of smaller</w:t>
      </w:r>
      <w:r w:rsidR="00D70420">
        <w:t>,</w:t>
      </w:r>
      <w:r w:rsidRPr="00451BC0">
        <w:t xml:space="preserve"> intensive ‘</w:t>
      </w:r>
      <w:r w:rsidR="00640EC3" w:rsidRPr="00451BC0">
        <w:t>m</w:t>
      </w:r>
      <w:r w:rsidRPr="00451BC0">
        <w:t>iniscan’ surveys at some of Victoria’s smaller parks.</w:t>
      </w:r>
    </w:p>
    <w:p w14:paraId="214EE6FB" w14:textId="77777777" w:rsidR="00BA2CA4" w:rsidRPr="00451BC0" w:rsidRDefault="00BA2CA4" w:rsidP="00BA2CA4"/>
    <w:p w14:paraId="6AFFF2BD" w14:textId="322575B7" w:rsidR="00BA2CA4" w:rsidRPr="00451BC0" w:rsidRDefault="00BA2CA4" w:rsidP="00BA2CA4">
      <w:r w:rsidRPr="00451BC0">
        <w:t xml:space="preserve">A research program on the evolution and biogeography of small mammals in Indonesia, led by scientists from Museum Victoria, Louisiana State University and the Museum Zoologicum Bogoriense (Indonesia), has so far resulted in the discovery of more than 30 new species in the remote rainforest regions. One of the most curious discoveries this year was the </w:t>
      </w:r>
      <w:r w:rsidR="00147ECC">
        <w:t>H</w:t>
      </w:r>
      <w:r w:rsidRPr="00451BC0">
        <w:t xml:space="preserve">og-nosed </w:t>
      </w:r>
      <w:r w:rsidR="00147ECC">
        <w:t>S</w:t>
      </w:r>
      <w:r w:rsidRPr="00451BC0">
        <w:t xml:space="preserve">hrew </w:t>
      </w:r>
      <w:r w:rsidR="00147ECC">
        <w:t>R</w:t>
      </w:r>
      <w:r w:rsidRPr="00451BC0">
        <w:t>at from Sulawesi Island, which attracted worldwide media attention.</w:t>
      </w:r>
    </w:p>
    <w:p w14:paraId="78102867" w14:textId="77777777" w:rsidR="00BA2CA4" w:rsidRPr="00451BC0" w:rsidRDefault="00BA2CA4" w:rsidP="00BA2CA4"/>
    <w:p w14:paraId="3C604037" w14:textId="4206EE4D" w:rsidR="00BA2CA4" w:rsidRPr="00451BC0" w:rsidRDefault="00BA2CA4" w:rsidP="00BA2CA4">
      <w:r w:rsidRPr="00451BC0">
        <w:t>Restoration of the Great Melbourne Telescope is continuing</w:t>
      </w:r>
      <w:r w:rsidR="00147ECC">
        <w:t>;</w:t>
      </w:r>
      <w:r w:rsidRPr="00451BC0">
        <w:t xml:space="preserve"> </w:t>
      </w:r>
      <w:r w:rsidR="00147ECC">
        <w:t>several key parts are being</w:t>
      </w:r>
      <w:r w:rsidRPr="00451BC0">
        <w:t xml:space="preserve"> re-</w:t>
      </w:r>
      <w:r w:rsidR="00147ECC" w:rsidRPr="00451BC0">
        <w:t>engineer</w:t>
      </w:r>
      <w:r w:rsidR="00147ECC">
        <w:t>ed</w:t>
      </w:r>
      <w:r w:rsidR="00147ECC" w:rsidRPr="00451BC0">
        <w:t xml:space="preserve"> </w:t>
      </w:r>
      <w:r w:rsidRPr="00451BC0">
        <w:t xml:space="preserve">and </w:t>
      </w:r>
      <w:r w:rsidR="00147ECC">
        <w:t xml:space="preserve">a </w:t>
      </w:r>
      <w:r w:rsidR="00147ECC" w:rsidRPr="00451BC0">
        <w:t xml:space="preserve">new optical system </w:t>
      </w:r>
      <w:r w:rsidRPr="00451BC0">
        <w:t>design</w:t>
      </w:r>
      <w:r w:rsidR="00147ECC">
        <w:t>ed</w:t>
      </w:r>
      <w:r w:rsidRPr="00451BC0">
        <w:t xml:space="preserve">. The </w:t>
      </w:r>
      <w:r w:rsidR="00147ECC" w:rsidRPr="00451BC0">
        <w:t xml:space="preserve">Copland Foundation </w:t>
      </w:r>
      <w:r w:rsidR="00147ECC">
        <w:t xml:space="preserve">has generously supported the </w:t>
      </w:r>
      <w:r w:rsidRPr="00451BC0">
        <w:t>restoration work. Discussions are continuing between Museum Victoria, the Royal Botanic Gardens and</w:t>
      </w:r>
      <w:r w:rsidR="00147ECC">
        <w:t xml:space="preserve"> the</w:t>
      </w:r>
      <w:r w:rsidRPr="00451BC0">
        <w:t xml:space="preserve"> Astronomical Society of Victoria regarding the </w:t>
      </w:r>
      <w:r w:rsidR="00147ECC">
        <w:t>t</w:t>
      </w:r>
      <w:r w:rsidR="00147ECC" w:rsidRPr="00451BC0">
        <w:t>elescope</w:t>
      </w:r>
      <w:r w:rsidR="00147ECC">
        <w:t>’s</w:t>
      </w:r>
      <w:r w:rsidR="00147ECC" w:rsidRPr="00451BC0">
        <w:t xml:space="preserve"> </w:t>
      </w:r>
      <w:r w:rsidRPr="00451BC0">
        <w:t xml:space="preserve">reinstatement at the </w:t>
      </w:r>
      <w:r w:rsidR="00147ECC" w:rsidRPr="00451BC0">
        <w:t xml:space="preserve">site </w:t>
      </w:r>
      <w:r w:rsidR="00147ECC">
        <w:t xml:space="preserve">of the </w:t>
      </w:r>
      <w:r w:rsidRPr="00451BC0">
        <w:t>former Melbourne Observatory, adjacent to the Botanic Gardens.</w:t>
      </w:r>
    </w:p>
    <w:p w14:paraId="538C48AF" w14:textId="77777777" w:rsidR="00BA2CA4" w:rsidRPr="00BA2CA4" w:rsidRDefault="00BA2CA4" w:rsidP="00BA2CA4">
      <w:pPr>
        <w:keepNext/>
        <w:outlineLvl w:val="2"/>
        <w:rPr>
          <w:b/>
          <w:szCs w:val="22"/>
        </w:rPr>
      </w:pPr>
    </w:p>
    <w:p w14:paraId="47CD3F16" w14:textId="77777777" w:rsidR="00BA2CA4" w:rsidRPr="00BA2CA4" w:rsidRDefault="00BA2CA4" w:rsidP="00643667">
      <w:pPr>
        <w:pStyle w:val="Heading3"/>
      </w:pPr>
      <w:r w:rsidRPr="00BA2CA4">
        <w:t>Leading Collection Care Practices</w:t>
      </w:r>
    </w:p>
    <w:p w14:paraId="359C9C8E" w14:textId="27DF667B" w:rsidR="00BA2CA4" w:rsidRPr="00451BC0" w:rsidRDefault="00BA2CA4" w:rsidP="00BA2CA4">
      <w:r w:rsidRPr="00451BC0">
        <w:t xml:space="preserve">Museum Victoria </w:t>
      </w:r>
      <w:r w:rsidR="00640EC3">
        <w:t>undertook</w:t>
      </w:r>
      <w:r w:rsidRPr="00451BC0">
        <w:t xml:space="preserve"> a major review of its collection policies and procedures in light of new Commonwealth and international legislation and conventions for the ethical and legal acquisition and loan of collection</w:t>
      </w:r>
      <w:r w:rsidR="00D97640">
        <w:t xml:space="preserve"> material</w:t>
      </w:r>
      <w:r w:rsidRPr="00451BC0">
        <w:t xml:space="preserve">. Museum Victoria’s intention is to register with the Commonwealth’s Protection of Cultural Objects on Loan Scheme, which </w:t>
      </w:r>
      <w:r w:rsidR="00D97640">
        <w:t xml:space="preserve">provides </w:t>
      </w:r>
      <w:r w:rsidR="00640EC3">
        <w:t xml:space="preserve">for </w:t>
      </w:r>
      <w:r w:rsidRPr="00451BC0">
        <w:t>borrow</w:t>
      </w:r>
      <w:r w:rsidR="00640EC3">
        <w:t xml:space="preserve">ing </w:t>
      </w:r>
      <w:r w:rsidRPr="00451BC0">
        <w:t>collection material from overseas without the threat of seizure or legal action against the lender.</w:t>
      </w:r>
    </w:p>
    <w:p w14:paraId="542EBD2A" w14:textId="77777777" w:rsidR="00BA2CA4" w:rsidRPr="00451BC0" w:rsidRDefault="00BA2CA4" w:rsidP="00BA2CA4"/>
    <w:p w14:paraId="201BDC56" w14:textId="05C79B95" w:rsidR="00BA2CA4" w:rsidRPr="00451BC0" w:rsidRDefault="00483AA1" w:rsidP="00BA2CA4">
      <w:r>
        <w:t xml:space="preserve">A mandatory valuation of the State Collection and Library was undertaken, along with </w:t>
      </w:r>
      <w:r w:rsidR="00BA2CA4" w:rsidRPr="00451BC0">
        <w:t>a whole-of-collection audit, an initiative vital to governance of the State Collection.</w:t>
      </w:r>
    </w:p>
    <w:p w14:paraId="731746C8" w14:textId="77777777" w:rsidR="00640EC3" w:rsidRDefault="00640EC3" w:rsidP="00640EC3">
      <w:pPr>
        <w:rPr>
          <w:rFonts w:cs="Arial"/>
        </w:rPr>
      </w:pPr>
    </w:p>
    <w:p w14:paraId="2EEAE3AA" w14:textId="1AD62A8A" w:rsidR="00640EC3" w:rsidRPr="00BA2CA4" w:rsidRDefault="00640EC3" w:rsidP="00E550A4">
      <w:pPr>
        <w:rPr>
          <w:rFonts w:cs="Arial"/>
        </w:rPr>
      </w:pPr>
      <w:r w:rsidRPr="00BA2CA4">
        <w:rPr>
          <w:rFonts w:cs="Arial"/>
        </w:rPr>
        <w:t>As part of the Interim Collection Storag</w:t>
      </w:r>
      <w:r w:rsidR="00E550A4">
        <w:rPr>
          <w:rFonts w:cs="Arial"/>
        </w:rPr>
        <w:t>e Project, the Museum Victoria l</w:t>
      </w:r>
      <w:r w:rsidRPr="00BA2CA4">
        <w:rPr>
          <w:rFonts w:cs="Arial"/>
        </w:rPr>
        <w:t>ibrary collection</w:t>
      </w:r>
      <w:r w:rsidR="00E550A4">
        <w:rPr>
          <w:rFonts w:cs="Arial"/>
        </w:rPr>
        <w:t>, archives and office were</w:t>
      </w:r>
      <w:r w:rsidRPr="00BA2CA4">
        <w:rPr>
          <w:rFonts w:cs="Arial"/>
        </w:rPr>
        <w:t xml:space="preserve"> relocated</w:t>
      </w:r>
      <w:r w:rsidR="00B235B1">
        <w:rPr>
          <w:rFonts w:cs="Arial"/>
        </w:rPr>
        <w:t>. This</w:t>
      </w:r>
      <w:r w:rsidRPr="00BA2CA4">
        <w:rPr>
          <w:rFonts w:cs="Arial"/>
        </w:rPr>
        <w:t xml:space="preserve"> </w:t>
      </w:r>
      <w:r w:rsidR="00B235B1" w:rsidRPr="00BA2CA4">
        <w:rPr>
          <w:rFonts w:cs="Arial"/>
        </w:rPr>
        <w:t>result</w:t>
      </w:r>
      <w:r w:rsidR="00B235B1">
        <w:rPr>
          <w:rFonts w:cs="Arial"/>
        </w:rPr>
        <w:t>ed</w:t>
      </w:r>
      <w:r w:rsidR="00B235B1" w:rsidRPr="00BA2CA4">
        <w:rPr>
          <w:rFonts w:cs="Arial"/>
        </w:rPr>
        <w:t xml:space="preserve"> </w:t>
      </w:r>
      <w:r w:rsidRPr="00BA2CA4">
        <w:rPr>
          <w:rFonts w:cs="Arial"/>
        </w:rPr>
        <w:t xml:space="preserve">in </w:t>
      </w:r>
      <w:r w:rsidR="00E550A4">
        <w:rPr>
          <w:rFonts w:cs="Arial"/>
        </w:rPr>
        <w:t>new reading</w:t>
      </w:r>
      <w:r w:rsidR="00B235B1">
        <w:rPr>
          <w:rFonts w:cs="Arial"/>
        </w:rPr>
        <w:t>-</w:t>
      </w:r>
      <w:r w:rsidR="00E550A4">
        <w:rPr>
          <w:rFonts w:cs="Arial"/>
        </w:rPr>
        <w:t>room facilities, enhanced</w:t>
      </w:r>
      <w:r w:rsidRPr="00BA2CA4">
        <w:rPr>
          <w:rFonts w:cs="Arial"/>
        </w:rPr>
        <w:t xml:space="preserve"> storage of the Rare Books Collection</w:t>
      </w:r>
      <w:r w:rsidR="00E550A4">
        <w:rPr>
          <w:rFonts w:cs="Arial"/>
        </w:rPr>
        <w:t xml:space="preserve"> and improved </w:t>
      </w:r>
      <w:r w:rsidR="00AB5546">
        <w:rPr>
          <w:rFonts w:cs="Arial"/>
        </w:rPr>
        <w:t xml:space="preserve">storage and access to </w:t>
      </w:r>
      <w:r w:rsidR="00E550A4">
        <w:rPr>
          <w:rFonts w:cs="Arial"/>
        </w:rPr>
        <w:t>the archives</w:t>
      </w:r>
      <w:r w:rsidRPr="00BA2CA4">
        <w:rPr>
          <w:rFonts w:cs="Arial"/>
        </w:rPr>
        <w:t xml:space="preserve">. </w:t>
      </w:r>
    </w:p>
    <w:p w14:paraId="19F37838" w14:textId="77777777" w:rsidR="00BA2CA4" w:rsidRPr="00BA2CA4" w:rsidRDefault="00BA2CA4" w:rsidP="00BA2CA4">
      <w:pPr>
        <w:rPr>
          <w:rFonts w:cs="Arial"/>
          <w:szCs w:val="22"/>
        </w:rPr>
      </w:pPr>
    </w:p>
    <w:p w14:paraId="2C57C660" w14:textId="77777777" w:rsidR="00BA2CA4" w:rsidRPr="00BA2CA4" w:rsidRDefault="00BA2CA4" w:rsidP="00643667">
      <w:pPr>
        <w:pStyle w:val="Heading3"/>
      </w:pPr>
      <w:r w:rsidRPr="00BA2CA4">
        <w:t>Promoting the Collection</w:t>
      </w:r>
    </w:p>
    <w:p w14:paraId="3E621609" w14:textId="26DAD2EB" w:rsidR="00BA2CA4" w:rsidRPr="00BA2CA4" w:rsidRDefault="00BA2CA4" w:rsidP="00BA2CA4">
      <w:r w:rsidRPr="00BA2CA4">
        <w:t>Museum Victoria</w:t>
      </w:r>
      <w:r w:rsidR="006F7F8C">
        <w:t>’s</w:t>
      </w:r>
      <w:r w:rsidRPr="00BA2CA4">
        <w:t xml:space="preserve"> ground-breaking research projects attract</w:t>
      </w:r>
      <w:r w:rsidR="006F7F8C">
        <w:t>ed</w:t>
      </w:r>
      <w:r w:rsidRPr="00BA2CA4">
        <w:t xml:space="preserve"> nearly 6000 mentions in local, national and global media coverage</w:t>
      </w:r>
      <w:r w:rsidR="006829A0">
        <w:t>,</w:t>
      </w:r>
      <w:r w:rsidRPr="00BA2CA4">
        <w:t xml:space="preserve"> at an estimated value of $130</w:t>
      </w:r>
      <w:r w:rsidR="00B235B1">
        <w:t> </w:t>
      </w:r>
      <w:r w:rsidRPr="00BA2CA4">
        <w:t>million.</w:t>
      </w:r>
    </w:p>
    <w:p w14:paraId="53F423D8" w14:textId="77777777" w:rsidR="00BA2CA4" w:rsidRPr="00BA2CA4" w:rsidRDefault="00BA2CA4" w:rsidP="00BA2CA4"/>
    <w:p w14:paraId="581007BC" w14:textId="733235DF" w:rsidR="00BA2CA4" w:rsidRPr="00BA2CA4" w:rsidRDefault="00BA2CA4" w:rsidP="00BA2CA4">
      <w:r w:rsidRPr="00BA2CA4">
        <w:t xml:space="preserve">Highlights include the discovery of a </w:t>
      </w:r>
      <w:r w:rsidR="00B235B1" w:rsidRPr="00BA2CA4">
        <w:t>rare</w:t>
      </w:r>
      <w:r w:rsidR="00B235B1">
        <w:t>,</w:t>
      </w:r>
      <w:r w:rsidR="00B235B1" w:rsidRPr="00BA2CA4">
        <w:t xml:space="preserve"> </w:t>
      </w:r>
      <w:r w:rsidRPr="00BA2CA4">
        <w:t>6.3</w:t>
      </w:r>
      <w:r w:rsidR="006829A0">
        <w:t>-</w:t>
      </w:r>
      <w:r w:rsidRPr="00BA2CA4">
        <w:t xml:space="preserve">metre </w:t>
      </w:r>
      <w:r w:rsidR="00B235B1">
        <w:t>B</w:t>
      </w:r>
      <w:r w:rsidRPr="00BA2CA4">
        <w:t xml:space="preserve">asking </w:t>
      </w:r>
      <w:r w:rsidR="00B235B1">
        <w:t>S</w:t>
      </w:r>
      <w:r w:rsidRPr="00BA2CA4">
        <w:t>hark</w:t>
      </w:r>
      <w:r w:rsidR="006829A0">
        <w:t>, which</w:t>
      </w:r>
      <w:r w:rsidRPr="00BA2CA4">
        <w:t xml:space="preserve"> led to requests for samples, images and data from scientists around Australia and the world. The discoveries of two new rat genera in Indonesia were hailed internationally</w:t>
      </w:r>
      <w:r w:rsidR="006829A0">
        <w:t>,</w:t>
      </w:r>
      <w:r w:rsidRPr="00BA2CA4">
        <w:t xml:space="preserve"> along with the birth of Australia’s largest stick insect, the 56.5</w:t>
      </w:r>
      <w:r w:rsidR="00B235B1">
        <w:t>-</w:t>
      </w:r>
      <w:r w:rsidRPr="00BA2CA4">
        <w:t>c</w:t>
      </w:r>
      <w:r w:rsidR="00B235B1">
        <w:t>entimetre</w:t>
      </w:r>
      <w:r w:rsidRPr="00BA2CA4">
        <w:t xml:space="preserve"> offspring of the rare </w:t>
      </w:r>
      <w:r w:rsidR="003857CD">
        <w:t>‘</w:t>
      </w:r>
      <w:r w:rsidRPr="00BA2CA4">
        <w:t>Lady Gaga-ntuan</w:t>
      </w:r>
      <w:r w:rsidR="003857CD">
        <w:t>’</w:t>
      </w:r>
      <w:r w:rsidR="004927DC">
        <w:t xml:space="preserve"> found in Far North Queensland.</w:t>
      </w:r>
    </w:p>
    <w:p w14:paraId="7A059135" w14:textId="77777777" w:rsidR="00BA2CA4" w:rsidRPr="00BA2CA4" w:rsidRDefault="00BA2CA4" w:rsidP="00BA2CA4"/>
    <w:p w14:paraId="42A09D42" w14:textId="272C9FA2" w:rsidR="00BA2CA4" w:rsidRPr="00BA2CA4" w:rsidRDefault="00BA2CA4" w:rsidP="00BA2CA4">
      <w:r w:rsidRPr="00BA2CA4">
        <w:t xml:space="preserve">A recent discovery by a fossil enthusiast at Beaumaris Bay, a renowned Victorian fossil site, was found to be a </w:t>
      </w:r>
      <w:r w:rsidR="006829A0">
        <w:t>five-</w:t>
      </w:r>
      <w:r w:rsidRPr="00BA2CA4">
        <w:t>million</w:t>
      </w:r>
      <w:r w:rsidR="006829A0">
        <w:t>-</w:t>
      </w:r>
      <w:r w:rsidRPr="00BA2CA4">
        <w:t>year</w:t>
      </w:r>
      <w:r w:rsidR="006829A0">
        <w:t>-</w:t>
      </w:r>
      <w:r w:rsidRPr="00BA2CA4">
        <w:t xml:space="preserve">old tooth from an extinct species of </w:t>
      </w:r>
      <w:r w:rsidR="006818A1">
        <w:t>S</w:t>
      </w:r>
      <w:r w:rsidRPr="00BA2CA4">
        <w:t xml:space="preserve">perm </w:t>
      </w:r>
      <w:r w:rsidR="006818A1">
        <w:t>W</w:t>
      </w:r>
      <w:r w:rsidRPr="00BA2CA4">
        <w:t>hale</w:t>
      </w:r>
      <w:r w:rsidR="006818A1">
        <w:t>. This is</w:t>
      </w:r>
      <w:r w:rsidRPr="00BA2CA4">
        <w:t xml:space="preserve"> the first evidence that such whales roamed the seas outside of </w:t>
      </w:r>
      <w:r w:rsidRPr="00BA2CA4">
        <w:lastRenderedPageBreak/>
        <w:t>the Americas. The tooth has since been donated to Museum Victoria’s palaeontological collection.</w:t>
      </w:r>
    </w:p>
    <w:p w14:paraId="26BDC252" w14:textId="77777777" w:rsidR="00BA2CA4" w:rsidRPr="00BA2CA4" w:rsidRDefault="00BA2CA4" w:rsidP="00BA2CA4"/>
    <w:p w14:paraId="3F959984" w14:textId="5D973241" w:rsidR="00BA2CA4" w:rsidRPr="00BA2CA4" w:rsidRDefault="00BA2CA4" w:rsidP="00BA2CA4">
      <w:pPr>
        <w:rPr>
          <w:rFonts w:cs="Arial"/>
        </w:rPr>
      </w:pPr>
      <w:r w:rsidRPr="00BA2CA4">
        <w:rPr>
          <w:rFonts w:cs="Arial"/>
        </w:rPr>
        <w:t>A partnership with Australian</w:t>
      </w:r>
      <w:r w:rsidR="006818A1">
        <w:rPr>
          <w:rFonts w:cs="Arial"/>
        </w:rPr>
        <w:t xml:space="preserve"> fashion</w:t>
      </w:r>
      <w:r w:rsidRPr="00BA2CA4">
        <w:rPr>
          <w:rFonts w:cs="Arial"/>
        </w:rPr>
        <w:t xml:space="preserve"> designer Lisa Gorman </w:t>
      </w:r>
      <w:r w:rsidR="006829A0">
        <w:rPr>
          <w:rFonts w:cs="Arial"/>
        </w:rPr>
        <w:t>resulted in</w:t>
      </w:r>
      <w:r w:rsidRPr="00BA2CA4">
        <w:rPr>
          <w:rFonts w:cs="Arial"/>
        </w:rPr>
        <w:t xml:space="preserve"> Museum Victoria’s extensive geological collection </w:t>
      </w:r>
      <w:r w:rsidR="006829A0">
        <w:rPr>
          <w:rFonts w:cs="Arial"/>
        </w:rPr>
        <w:t>providing the</w:t>
      </w:r>
      <w:r w:rsidRPr="00BA2CA4">
        <w:rPr>
          <w:rFonts w:cs="Arial"/>
        </w:rPr>
        <w:t xml:space="preserve"> inspiration for her Summer 2016 collection. The collaboration received significant industry and media attention </w:t>
      </w:r>
      <w:r w:rsidR="006818A1">
        <w:rPr>
          <w:rFonts w:cs="Arial"/>
        </w:rPr>
        <w:t>for being</w:t>
      </w:r>
      <w:r w:rsidR="006818A1" w:rsidRPr="00BA2CA4">
        <w:rPr>
          <w:rFonts w:cs="Arial"/>
        </w:rPr>
        <w:t xml:space="preserve"> </w:t>
      </w:r>
      <w:r w:rsidRPr="00BA2CA4">
        <w:rPr>
          <w:rFonts w:cs="Arial"/>
        </w:rPr>
        <w:t>a</w:t>
      </w:r>
      <w:r w:rsidR="006818A1">
        <w:rPr>
          <w:rFonts w:cs="Arial"/>
        </w:rPr>
        <w:t xml:space="preserve">n innovative </w:t>
      </w:r>
      <w:r w:rsidRPr="00BA2CA4">
        <w:rPr>
          <w:rFonts w:cs="Arial"/>
        </w:rPr>
        <w:t xml:space="preserve">way in which the creative industries can draw on </w:t>
      </w:r>
      <w:r w:rsidR="00082032">
        <w:rPr>
          <w:rFonts w:cs="Arial"/>
        </w:rPr>
        <w:t>our</w:t>
      </w:r>
      <w:r w:rsidR="00724513">
        <w:rPr>
          <w:rFonts w:cs="Arial"/>
        </w:rPr>
        <w:t xml:space="preserve"> </w:t>
      </w:r>
      <w:r w:rsidR="00261104">
        <w:rPr>
          <w:rFonts w:cs="Arial"/>
        </w:rPr>
        <w:t>c</w:t>
      </w:r>
      <w:r w:rsidRPr="00BA2CA4">
        <w:rPr>
          <w:rFonts w:cs="Arial"/>
        </w:rPr>
        <w:t xml:space="preserve">ollection. </w:t>
      </w:r>
    </w:p>
    <w:p w14:paraId="692F3C2F" w14:textId="77777777" w:rsidR="00BA2CA4" w:rsidRPr="00BA2CA4" w:rsidRDefault="00BA2CA4" w:rsidP="00BA2CA4">
      <w:pPr>
        <w:rPr>
          <w:rFonts w:cs="Arial"/>
          <w:b/>
        </w:rPr>
      </w:pPr>
    </w:p>
    <w:p w14:paraId="27415D31" w14:textId="698B9CB8" w:rsidR="00BA2CA4" w:rsidRPr="00451BC0" w:rsidRDefault="00BA2CA4" w:rsidP="00BA2CA4">
      <w:r w:rsidRPr="00451BC0">
        <w:t xml:space="preserve">In April, Museum Victoria launched a new book, </w:t>
      </w:r>
      <w:r w:rsidRPr="00451BC0">
        <w:rPr>
          <w:i/>
        </w:rPr>
        <w:t xml:space="preserve">War Trophies or Curios: </w:t>
      </w:r>
      <w:r w:rsidR="006818A1">
        <w:rPr>
          <w:i/>
        </w:rPr>
        <w:t>T</w:t>
      </w:r>
      <w:r w:rsidRPr="00451BC0">
        <w:rPr>
          <w:i/>
        </w:rPr>
        <w:t>he War Museum Collection in Museum Victoria 1915</w:t>
      </w:r>
      <w:r w:rsidR="006818A1">
        <w:rPr>
          <w:i/>
        </w:rPr>
        <w:t>–</w:t>
      </w:r>
      <w:r w:rsidRPr="00451BC0">
        <w:rPr>
          <w:i/>
        </w:rPr>
        <w:t>1920</w:t>
      </w:r>
      <w:r w:rsidRPr="00451BC0">
        <w:t xml:space="preserve">, written by Ron Vanderwal, Barry Craig and Christine Winter. The publication showcases a unique collection of cultural objects from Papua New Guinea, </w:t>
      </w:r>
      <w:r w:rsidR="006818A1">
        <w:t>objects</w:t>
      </w:r>
      <w:r w:rsidRPr="00451BC0">
        <w:t xml:space="preserve"> transferred from the Australian War Museum to Museum Victoria after World War </w:t>
      </w:r>
      <w:r w:rsidR="006829A0">
        <w:t>I</w:t>
      </w:r>
      <w:r w:rsidRPr="00451BC0">
        <w:t>.</w:t>
      </w:r>
    </w:p>
    <w:p w14:paraId="11A0F386" w14:textId="77777777" w:rsidR="00BA2CA4" w:rsidRPr="00451BC0" w:rsidRDefault="00BA2CA4" w:rsidP="00BA2CA4"/>
    <w:p w14:paraId="66AB2389" w14:textId="10EE2CDB" w:rsidR="00BA2CA4" w:rsidRPr="0034453E" w:rsidRDefault="00BA2CA4" w:rsidP="00BA2CA4">
      <w:pPr>
        <w:rPr>
          <w:b/>
        </w:rPr>
      </w:pPr>
      <w:r w:rsidRPr="00451BC0">
        <w:t>Museum Victoria partnered with the City of Melbourne to conduct the Carlton Gardens Bio</w:t>
      </w:r>
      <w:r w:rsidR="00AF18F0">
        <w:t>B</w:t>
      </w:r>
      <w:r w:rsidRPr="00451BC0">
        <w:t xml:space="preserve">litz </w:t>
      </w:r>
      <w:r w:rsidR="00AF18F0">
        <w:t>b</w:t>
      </w:r>
      <w:r w:rsidRPr="00451BC0">
        <w:t>asecamp in March. The survey included ‘</w:t>
      </w:r>
      <w:r w:rsidR="00AF18F0">
        <w:t>a</w:t>
      </w:r>
      <w:r w:rsidRPr="00451BC0">
        <w:t xml:space="preserve"> </w:t>
      </w:r>
      <w:r w:rsidR="00AF18F0">
        <w:t>d</w:t>
      </w:r>
      <w:r w:rsidRPr="00451BC0">
        <w:t xml:space="preserve">ay in the </w:t>
      </w:r>
      <w:r w:rsidR="00AF18F0">
        <w:t>l</w:t>
      </w:r>
      <w:r w:rsidRPr="00451BC0">
        <w:t xml:space="preserve">ife of an </w:t>
      </w:r>
      <w:r w:rsidR="00AF18F0">
        <w:t>u</w:t>
      </w:r>
      <w:r w:rsidRPr="00451BC0">
        <w:t xml:space="preserve">rban </w:t>
      </w:r>
      <w:r w:rsidR="00AF18F0">
        <w:t>t</w:t>
      </w:r>
      <w:r w:rsidRPr="00451BC0">
        <w:t>ree’</w:t>
      </w:r>
      <w:r w:rsidR="00AF18F0">
        <w:t>, during which</w:t>
      </w:r>
      <w:r w:rsidRPr="00451BC0">
        <w:t xml:space="preserve"> 400</w:t>
      </w:r>
      <w:r w:rsidR="009D4E8D">
        <w:rPr>
          <w:rFonts w:cs="Arial"/>
        </w:rPr>
        <w:t xml:space="preserve"> to </w:t>
      </w:r>
      <w:r w:rsidRPr="00451BC0">
        <w:t xml:space="preserve">500 </w:t>
      </w:r>
      <w:r w:rsidR="00AF18F0">
        <w:t>people</w:t>
      </w:r>
      <w:r w:rsidRPr="00451BC0">
        <w:t xml:space="preserve"> watched scientists ascend the huge Sugar Gum on the Melbourne Museum </w:t>
      </w:r>
      <w:r w:rsidR="00AF18F0">
        <w:t>p</w:t>
      </w:r>
      <w:r w:rsidRPr="00451BC0">
        <w:t xml:space="preserve">laza to sample and identify all species found </w:t>
      </w:r>
      <w:r w:rsidR="00AF18F0">
        <w:t xml:space="preserve">on the </w:t>
      </w:r>
      <w:r w:rsidRPr="00451BC0">
        <w:t>tree over 24 hours.</w:t>
      </w:r>
    </w:p>
    <w:p w14:paraId="4E7F2007" w14:textId="77777777" w:rsidR="00BA2CA4" w:rsidRPr="00BA2CA4" w:rsidRDefault="00BA2CA4" w:rsidP="00BA2CA4">
      <w:pPr>
        <w:rPr>
          <w:b/>
        </w:rPr>
      </w:pPr>
    </w:p>
    <w:p w14:paraId="7DFC7D89" w14:textId="7B42CD5D" w:rsidR="00BA2CA4" w:rsidRPr="00BA2CA4" w:rsidRDefault="00BA2CA4" w:rsidP="00643667">
      <w:pPr>
        <w:pStyle w:val="Heading3"/>
      </w:pPr>
      <w:r w:rsidRPr="00BA2CA4">
        <w:t xml:space="preserve">Ongoing </w:t>
      </w:r>
      <w:r w:rsidR="00AF18F0">
        <w:t>A</w:t>
      </w:r>
      <w:r w:rsidRPr="00BA2CA4">
        <w:t>ctivities</w:t>
      </w:r>
    </w:p>
    <w:p w14:paraId="08F99AB9" w14:textId="5D2D0A67" w:rsidR="00BA2CA4" w:rsidRPr="00451BC0" w:rsidRDefault="00BA2CA4" w:rsidP="00BA2CA4">
      <w:r w:rsidRPr="00451BC0">
        <w:t xml:space="preserve">Highlights from Museum Victoria’s active collection acquisition program this year </w:t>
      </w:r>
      <w:r w:rsidR="00AF18F0">
        <w:t>are</w:t>
      </w:r>
      <w:r w:rsidR="00AF18F0" w:rsidRPr="00451BC0">
        <w:t xml:space="preserve"> </w:t>
      </w:r>
      <w:r w:rsidR="00441E71">
        <w:t>the</w:t>
      </w:r>
      <w:r w:rsidRPr="00451BC0">
        <w:t xml:space="preserve"> </w:t>
      </w:r>
      <w:r w:rsidR="00AF18F0">
        <w:t>6.3-</w:t>
      </w:r>
      <w:r w:rsidRPr="00451BC0">
        <w:t>metre</w:t>
      </w:r>
      <w:r w:rsidR="00AF18F0">
        <w:t xml:space="preserve"> B</w:t>
      </w:r>
      <w:r w:rsidRPr="00451BC0">
        <w:t xml:space="preserve">asking </w:t>
      </w:r>
      <w:r w:rsidR="00AF18F0">
        <w:t>S</w:t>
      </w:r>
      <w:r w:rsidRPr="00451BC0">
        <w:t xml:space="preserve">hark; the David Boyle </w:t>
      </w:r>
      <w:r w:rsidR="00AF18F0">
        <w:t>a</w:t>
      </w:r>
      <w:r w:rsidRPr="00451BC0">
        <w:t xml:space="preserve">gricultural </w:t>
      </w:r>
      <w:r w:rsidR="00AF18F0">
        <w:t>m</w:t>
      </w:r>
      <w:r w:rsidRPr="00451BC0">
        <w:t>odel collection</w:t>
      </w:r>
      <w:r w:rsidR="00441E71">
        <w:t>,</w:t>
      </w:r>
      <w:r w:rsidRPr="00451BC0">
        <w:t xml:space="preserve"> </w:t>
      </w:r>
      <w:r w:rsidR="00AF18F0">
        <w:t>comprising</w:t>
      </w:r>
      <w:r w:rsidR="00AF18F0" w:rsidRPr="00451BC0">
        <w:t xml:space="preserve"> </w:t>
      </w:r>
      <w:r w:rsidRPr="00451BC0">
        <w:t xml:space="preserve">60 scale models representing the history of Victorian agricultural machinery from the 1860s to 1970s; and an almost-complete set of </w:t>
      </w:r>
      <w:r w:rsidR="00AF18F0">
        <w:t xml:space="preserve">the </w:t>
      </w:r>
      <w:r w:rsidRPr="00451BC0">
        <w:t xml:space="preserve">official daily programs </w:t>
      </w:r>
      <w:r w:rsidR="00AF18F0">
        <w:t>issued for</w:t>
      </w:r>
      <w:r w:rsidR="00AF18F0" w:rsidRPr="00451BC0">
        <w:t xml:space="preserve"> </w:t>
      </w:r>
      <w:r w:rsidRPr="00451BC0">
        <w:t xml:space="preserve">the Centennial International Exhibition </w:t>
      </w:r>
      <w:r w:rsidR="00AF18F0">
        <w:t xml:space="preserve">of </w:t>
      </w:r>
      <w:r w:rsidRPr="00451BC0">
        <w:t>1888</w:t>
      </w:r>
      <w:r w:rsidR="00441E71">
        <w:rPr>
          <w:rFonts w:cs="Arial"/>
        </w:rPr>
        <w:t>–</w:t>
      </w:r>
      <w:r w:rsidRPr="00451BC0">
        <w:t>89</w:t>
      </w:r>
      <w:r w:rsidR="00441E71">
        <w:t xml:space="preserve">, </w:t>
      </w:r>
      <w:r w:rsidRPr="00451BC0">
        <w:t>held at the Royal Exhibition Building.</w:t>
      </w:r>
    </w:p>
    <w:p w14:paraId="6AB17396" w14:textId="77777777" w:rsidR="00BA2CA4" w:rsidRPr="00451BC0" w:rsidRDefault="00BA2CA4" w:rsidP="00BA2CA4"/>
    <w:p w14:paraId="01B806DA" w14:textId="77777777" w:rsidR="004927DC" w:rsidRDefault="00BA2CA4" w:rsidP="004927DC">
      <w:pPr>
        <w:rPr>
          <w:bCs/>
        </w:rPr>
      </w:pPr>
      <w:r w:rsidRPr="00451BC0">
        <w:t>Museum Victoria continues to work with Aboriginal communities to identify ancestral remains and secret</w:t>
      </w:r>
      <w:r w:rsidR="00AF18F0">
        <w:t>–</w:t>
      </w:r>
      <w:r w:rsidRPr="00451BC0">
        <w:t xml:space="preserve">sacred objects, and to repatriate them to traditional owners. This is funded with support from the Australian Government’s Indigenous Repatriation Program. </w:t>
      </w:r>
      <w:r w:rsidR="00D32683">
        <w:t>In the past year, r</w:t>
      </w:r>
      <w:r w:rsidRPr="00451BC0">
        <w:t xml:space="preserve">epatriations were made to the Gunditj Mirring Traditional Owners Aboriginal Corporation, Mindaribba Local Aboriginal Land Council and </w:t>
      </w:r>
      <w:r w:rsidR="00D32683">
        <w:t xml:space="preserve">the </w:t>
      </w:r>
      <w:r w:rsidRPr="00451BC0">
        <w:rPr>
          <w:bCs/>
        </w:rPr>
        <w:t>Forbes Aboriginal community.</w:t>
      </w:r>
    </w:p>
    <w:p w14:paraId="0894A56C" w14:textId="77777777" w:rsidR="00794AA1" w:rsidRDefault="00BA2CA4" w:rsidP="004927DC">
      <w:pPr>
        <w:pStyle w:val="Heading2"/>
      </w:pPr>
      <w:r w:rsidRPr="00BA2CA4">
        <w:rPr>
          <w:szCs w:val="22"/>
        </w:rPr>
        <w:br w:type="page"/>
      </w:r>
      <w:r w:rsidRPr="00DA0C12">
        <w:lastRenderedPageBreak/>
        <w:t>Strategic Direction 3:</w:t>
      </w:r>
      <w:r w:rsidR="00DA0C12" w:rsidRPr="00DA0C12">
        <w:t xml:space="preserve"> </w:t>
      </w:r>
    </w:p>
    <w:p w14:paraId="66E5BC84" w14:textId="499AD057" w:rsidR="00BA2CA4" w:rsidRDefault="00BA2CA4" w:rsidP="004927DC">
      <w:pPr>
        <w:pStyle w:val="Heading2"/>
      </w:pPr>
      <w:r w:rsidRPr="00DA0C12">
        <w:t>Digital Transformation</w:t>
      </w:r>
    </w:p>
    <w:p w14:paraId="5337649C" w14:textId="77777777" w:rsidR="00794AA1" w:rsidRPr="00794AA1" w:rsidRDefault="00794AA1" w:rsidP="009E51A8"/>
    <w:p w14:paraId="167E0BEB" w14:textId="3B7ED007" w:rsidR="00BA2CA4" w:rsidRPr="00BA2CA4" w:rsidRDefault="00BA2CA4" w:rsidP="00DA0C12">
      <w:pPr>
        <w:pStyle w:val="Heading3"/>
      </w:pPr>
      <w:r w:rsidRPr="00BA2CA4">
        <w:t>Embedding Digital Systems</w:t>
      </w:r>
    </w:p>
    <w:p w14:paraId="59215482" w14:textId="4AD9F319" w:rsidR="00DA43D9" w:rsidRDefault="00DA43D9" w:rsidP="00BA2CA4">
      <w:r>
        <w:t>Digital system improvements during the year include:</w:t>
      </w:r>
    </w:p>
    <w:p w14:paraId="06A034F0" w14:textId="64C3BCBF" w:rsidR="00DA43D9" w:rsidRDefault="00BA2CA4" w:rsidP="00451BC0">
      <w:pPr>
        <w:pStyle w:val="ListParagraph"/>
        <w:numPr>
          <w:ilvl w:val="0"/>
          <w:numId w:val="12"/>
        </w:numPr>
      </w:pPr>
      <w:r w:rsidRPr="00BA2CA4">
        <w:t>deployment of a mobile portal for online bookings and installation of contactless credit</w:t>
      </w:r>
      <w:r w:rsidR="00D80CF3">
        <w:t>-</w:t>
      </w:r>
      <w:r w:rsidRPr="00BA2CA4">
        <w:t>card readers in the Melbourne Museum car park</w:t>
      </w:r>
    </w:p>
    <w:p w14:paraId="7C9BE26D" w14:textId="442CE525" w:rsidR="00BA2CA4" w:rsidRPr="00BA2CA4" w:rsidRDefault="00BA2CA4" w:rsidP="00451BC0">
      <w:pPr>
        <w:pStyle w:val="ListParagraph"/>
        <w:numPr>
          <w:ilvl w:val="0"/>
          <w:numId w:val="12"/>
        </w:numPr>
      </w:pPr>
      <w:r w:rsidRPr="00BA2CA4">
        <w:t>introduc</w:t>
      </w:r>
      <w:r w:rsidR="00DA43D9">
        <w:t>tion of</w:t>
      </w:r>
      <w:r w:rsidRPr="00BA2CA4">
        <w:t xml:space="preserve"> </w:t>
      </w:r>
      <w:r w:rsidR="00D80CF3">
        <w:t xml:space="preserve">a </w:t>
      </w:r>
      <w:r w:rsidRPr="00BA2CA4">
        <w:t xml:space="preserve">pay-by-phone </w:t>
      </w:r>
      <w:r w:rsidR="00D80CF3">
        <w:t xml:space="preserve">system </w:t>
      </w:r>
      <w:r w:rsidR="00DA43D9">
        <w:t>for the Scienceworks car park</w:t>
      </w:r>
    </w:p>
    <w:p w14:paraId="58906A27" w14:textId="0AB41246" w:rsidR="00BA2CA4" w:rsidRDefault="00DA43D9" w:rsidP="00451BC0">
      <w:pPr>
        <w:pStyle w:val="ListParagraph"/>
        <w:numPr>
          <w:ilvl w:val="0"/>
          <w:numId w:val="12"/>
        </w:numPr>
        <w:rPr>
          <w:rFonts w:cs="Arial"/>
          <w:lang w:eastAsia="en-US"/>
        </w:rPr>
      </w:pPr>
      <w:r>
        <w:rPr>
          <w:rFonts w:cs="Arial"/>
        </w:rPr>
        <w:t xml:space="preserve">establishment of </w:t>
      </w:r>
      <w:r w:rsidR="00BA2CA4" w:rsidRPr="00DA43D9">
        <w:rPr>
          <w:rFonts w:cs="Arial"/>
        </w:rPr>
        <w:t xml:space="preserve">new systems </w:t>
      </w:r>
      <w:r w:rsidRPr="00DA43D9">
        <w:rPr>
          <w:rFonts w:cs="Arial"/>
        </w:rPr>
        <w:t>that will replace</w:t>
      </w:r>
      <w:r w:rsidR="00BA2CA4" w:rsidRPr="00DA43D9">
        <w:rPr>
          <w:rFonts w:cs="Arial"/>
        </w:rPr>
        <w:t xml:space="preserve"> paper</w:t>
      </w:r>
      <w:r w:rsidRPr="00DA43D9">
        <w:rPr>
          <w:rFonts w:cs="Arial"/>
        </w:rPr>
        <w:t>-</w:t>
      </w:r>
      <w:r w:rsidR="00BA2CA4" w:rsidRPr="00DA43D9">
        <w:rPr>
          <w:rFonts w:cs="Arial"/>
        </w:rPr>
        <w:t xml:space="preserve">based recruitment forms </w:t>
      </w:r>
      <w:r w:rsidRPr="00DA43D9">
        <w:rPr>
          <w:rFonts w:cs="Arial"/>
        </w:rPr>
        <w:t xml:space="preserve">with </w:t>
      </w:r>
      <w:r w:rsidR="00E6167D">
        <w:rPr>
          <w:rFonts w:cs="Arial"/>
        </w:rPr>
        <w:t>online forms</w:t>
      </w:r>
    </w:p>
    <w:p w14:paraId="4828824F" w14:textId="570D24C7" w:rsidR="00EA1C58" w:rsidRPr="00EA1C58" w:rsidRDefault="00D80CF3" w:rsidP="00451BC0">
      <w:pPr>
        <w:pStyle w:val="ListParagraph"/>
        <w:numPr>
          <w:ilvl w:val="0"/>
          <w:numId w:val="12"/>
        </w:numPr>
        <w:rPr>
          <w:rFonts w:cs="Arial"/>
          <w:lang w:eastAsia="en-US"/>
        </w:rPr>
      </w:pPr>
      <w:r>
        <w:rPr>
          <w:rFonts w:cs="Arial"/>
        </w:rPr>
        <w:t xml:space="preserve">an </w:t>
      </w:r>
      <w:r w:rsidR="00EA1C58" w:rsidRPr="00451BC0">
        <w:rPr>
          <w:rFonts w:cs="Arial"/>
        </w:rPr>
        <w:t xml:space="preserve">upgrade of the </w:t>
      </w:r>
      <w:r w:rsidR="00EA1C58" w:rsidRPr="00EA1C58">
        <w:rPr>
          <w:rFonts w:cs="Arial"/>
        </w:rPr>
        <w:t xml:space="preserve">software </w:t>
      </w:r>
      <w:r w:rsidR="00EA1C58" w:rsidRPr="00451BC0">
        <w:rPr>
          <w:rFonts w:cs="Arial"/>
        </w:rPr>
        <w:t xml:space="preserve">system for </w:t>
      </w:r>
      <w:r w:rsidR="00EA1C58" w:rsidRPr="00EA1C58">
        <w:rPr>
          <w:rFonts w:cs="Arial"/>
        </w:rPr>
        <w:t>MV HelpDesk</w:t>
      </w:r>
      <w:r w:rsidR="00EA1C58" w:rsidRPr="00451BC0">
        <w:rPr>
          <w:rFonts w:cs="Arial"/>
        </w:rPr>
        <w:t xml:space="preserve"> </w:t>
      </w:r>
      <w:r w:rsidR="00EA1C58" w:rsidRPr="00EA1C58">
        <w:rPr>
          <w:rFonts w:cs="Arial"/>
        </w:rPr>
        <w:t xml:space="preserve">to provide a more stable environment </w:t>
      </w:r>
      <w:r w:rsidR="00EA1C58" w:rsidRPr="00451BC0">
        <w:rPr>
          <w:rFonts w:cs="Arial"/>
        </w:rPr>
        <w:t xml:space="preserve">and ease of use </w:t>
      </w:r>
      <w:r>
        <w:rPr>
          <w:rFonts w:cs="Arial"/>
        </w:rPr>
        <w:t xml:space="preserve">for </w:t>
      </w:r>
      <w:r w:rsidR="00EA1C58" w:rsidRPr="00EA1C58">
        <w:rPr>
          <w:rFonts w:cs="Arial"/>
        </w:rPr>
        <w:t>staff</w:t>
      </w:r>
      <w:r>
        <w:rPr>
          <w:rFonts w:cs="Arial"/>
        </w:rPr>
        <w:t>,</w:t>
      </w:r>
      <w:r w:rsidR="00EA1C58" w:rsidRPr="00EA1C58">
        <w:rPr>
          <w:rFonts w:cs="Arial"/>
        </w:rPr>
        <w:t xml:space="preserve"> who process</w:t>
      </w:r>
      <w:r w:rsidR="00EA1C58" w:rsidRPr="00451BC0">
        <w:rPr>
          <w:rFonts w:cs="Arial"/>
        </w:rPr>
        <w:t>ed more than</w:t>
      </w:r>
      <w:r w:rsidR="00EA1C58" w:rsidRPr="00EA1C58">
        <w:rPr>
          <w:rFonts w:cs="Arial"/>
        </w:rPr>
        <w:t xml:space="preserve"> 1700 requests during the year</w:t>
      </w:r>
    </w:p>
    <w:p w14:paraId="4435D1AD" w14:textId="5E1E2931" w:rsidR="00E6167D" w:rsidRDefault="00D80CF3" w:rsidP="00E6167D">
      <w:pPr>
        <w:pStyle w:val="ListParagraph"/>
        <w:numPr>
          <w:ilvl w:val="0"/>
          <w:numId w:val="12"/>
        </w:numPr>
        <w:rPr>
          <w:rFonts w:cs="Arial"/>
        </w:rPr>
      </w:pPr>
      <w:r>
        <w:rPr>
          <w:rFonts w:cs="Arial"/>
        </w:rPr>
        <w:t xml:space="preserve">a </w:t>
      </w:r>
      <w:r w:rsidR="00BA2CA4" w:rsidRPr="00DA43D9">
        <w:rPr>
          <w:rFonts w:cs="Arial"/>
        </w:rPr>
        <w:t xml:space="preserve">review of Museum Victoria’s e-learning system </w:t>
      </w:r>
      <w:r>
        <w:rPr>
          <w:rFonts w:cs="Arial"/>
        </w:rPr>
        <w:t>to</w:t>
      </w:r>
      <w:r w:rsidR="00BA2CA4" w:rsidRPr="00DA43D9">
        <w:rPr>
          <w:rFonts w:cs="Arial"/>
        </w:rPr>
        <w:t xml:space="preserve"> </w:t>
      </w:r>
      <w:r w:rsidRPr="00DA43D9">
        <w:rPr>
          <w:rFonts w:cs="Arial"/>
        </w:rPr>
        <w:t>maximis</w:t>
      </w:r>
      <w:r>
        <w:rPr>
          <w:rFonts w:cs="Arial"/>
        </w:rPr>
        <w:t>e</w:t>
      </w:r>
      <w:r w:rsidRPr="00DA43D9">
        <w:rPr>
          <w:rFonts w:cs="Arial"/>
        </w:rPr>
        <w:t xml:space="preserve"> </w:t>
      </w:r>
      <w:r w:rsidR="00BA2CA4" w:rsidRPr="00DA43D9">
        <w:rPr>
          <w:rFonts w:cs="Arial"/>
        </w:rPr>
        <w:t xml:space="preserve">access </w:t>
      </w:r>
      <w:r>
        <w:rPr>
          <w:rFonts w:cs="Arial"/>
        </w:rPr>
        <w:t xml:space="preserve">to </w:t>
      </w:r>
      <w:r w:rsidR="00BA2CA4" w:rsidRPr="00DA43D9">
        <w:rPr>
          <w:rFonts w:cs="Arial"/>
        </w:rPr>
        <w:t xml:space="preserve">and </w:t>
      </w:r>
      <w:r>
        <w:rPr>
          <w:rFonts w:cs="Arial"/>
        </w:rPr>
        <w:t xml:space="preserve">the </w:t>
      </w:r>
      <w:r w:rsidR="00BA2CA4" w:rsidRPr="00DA43D9">
        <w:rPr>
          <w:rFonts w:cs="Arial"/>
        </w:rPr>
        <w:t xml:space="preserve">relevance of </w:t>
      </w:r>
      <w:r>
        <w:rPr>
          <w:rFonts w:cs="Arial"/>
        </w:rPr>
        <w:t>our</w:t>
      </w:r>
      <w:r w:rsidR="00BA2CA4" w:rsidRPr="00DA43D9">
        <w:rPr>
          <w:rFonts w:cs="Arial"/>
        </w:rPr>
        <w:t xml:space="preserve"> learning programs</w:t>
      </w:r>
      <w:r w:rsidR="00DA43D9" w:rsidRPr="00DA43D9">
        <w:rPr>
          <w:rFonts w:cs="Arial"/>
        </w:rPr>
        <w:t xml:space="preserve"> for</w:t>
      </w:r>
      <w:r w:rsidR="00BA2CA4" w:rsidRPr="00DA43D9">
        <w:rPr>
          <w:rFonts w:cs="Arial"/>
        </w:rPr>
        <w:t xml:space="preserve"> staff.</w:t>
      </w:r>
    </w:p>
    <w:p w14:paraId="0F1B87B2" w14:textId="77777777" w:rsidR="00794AA1" w:rsidRPr="00794AA1" w:rsidRDefault="00794AA1" w:rsidP="00794AA1">
      <w:pPr>
        <w:rPr>
          <w:rFonts w:cs="Arial"/>
        </w:rPr>
      </w:pPr>
    </w:p>
    <w:p w14:paraId="1341C4D9" w14:textId="77777777" w:rsidR="00BA2CA4" w:rsidRPr="00BA2CA4" w:rsidRDefault="00BA2CA4" w:rsidP="00E6167D">
      <w:pPr>
        <w:pStyle w:val="Heading3"/>
      </w:pPr>
      <w:r w:rsidRPr="00BA2CA4">
        <w:t>Enabling Flexible Content Generation</w:t>
      </w:r>
    </w:p>
    <w:p w14:paraId="58E18293" w14:textId="24C8262F" w:rsidR="00C52225" w:rsidRPr="002521F4" w:rsidRDefault="000C66F1" w:rsidP="00C52225">
      <w:r>
        <w:t>The</w:t>
      </w:r>
      <w:r w:rsidRPr="002521F4">
        <w:t xml:space="preserve"> new website </w:t>
      </w:r>
      <w:r w:rsidR="00C52225" w:rsidRPr="000720D0">
        <w:rPr>
          <w:i/>
        </w:rPr>
        <w:t>Museum Victoria</w:t>
      </w:r>
      <w:r>
        <w:t xml:space="preserve"> </w:t>
      </w:r>
      <w:r w:rsidR="00C52225" w:rsidRPr="000720D0">
        <w:rPr>
          <w:i/>
        </w:rPr>
        <w:t>Collections</w:t>
      </w:r>
      <w:r w:rsidR="00C52225" w:rsidRPr="002521F4">
        <w:t xml:space="preserve"> went live in August, providing </w:t>
      </w:r>
      <w:r w:rsidR="00122804">
        <w:t>enhance</w:t>
      </w:r>
      <w:r>
        <w:t>d</w:t>
      </w:r>
      <w:r w:rsidR="00C52225" w:rsidRPr="002521F4">
        <w:t xml:space="preserve"> access to </w:t>
      </w:r>
      <w:r w:rsidR="00082032">
        <w:t xml:space="preserve">our </w:t>
      </w:r>
      <w:r w:rsidR="00C52225" w:rsidRPr="002521F4">
        <w:t>collections and research. Th</w:t>
      </w:r>
      <w:r w:rsidR="00FE0FFB">
        <w:t>is</w:t>
      </w:r>
      <w:r w:rsidR="00C52225" w:rsidRPr="002521F4">
        <w:t xml:space="preserve"> </w:t>
      </w:r>
      <w:r w:rsidR="00082032">
        <w:t xml:space="preserve">platform provides </w:t>
      </w:r>
      <w:r w:rsidR="00FE0FFB">
        <w:t xml:space="preserve">a </w:t>
      </w:r>
      <w:r w:rsidR="00C52225" w:rsidRPr="002521F4">
        <w:t xml:space="preserve">single site to explore </w:t>
      </w:r>
      <w:r w:rsidR="00122804" w:rsidRPr="002521F4">
        <w:t>Museum Victoria</w:t>
      </w:r>
      <w:r w:rsidR="00122804">
        <w:t>’s</w:t>
      </w:r>
      <w:r w:rsidR="00122804" w:rsidRPr="002521F4">
        <w:t xml:space="preserve"> </w:t>
      </w:r>
      <w:r w:rsidR="00C52225" w:rsidRPr="002521F4">
        <w:t xml:space="preserve">wealth of knowledge about natural sciences, history, technology and Indigenous cultures. The </w:t>
      </w:r>
      <w:r w:rsidR="00122804">
        <w:t>portal</w:t>
      </w:r>
      <w:r w:rsidR="00122804" w:rsidRPr="002521F4">
        <w:t xml:space="preserve"> </w:t>
      </w:r>
      <w:r w:rsidR="00C52225" w:rsidRPr="002521F4">
        <w:t xml:space="preserve">currently makes available </w:t>
      </w:r>
      <w:r w:rsidR="00122804">
        <w:t>more than</w:t>
      </w:r>
      <w:r w:rsidR="00122804" w:rsidRPr="002521F4">
        <w:t xml:space="preserve"> </w:t>
      </w:r>
      <w:r w:rsidR="00C52225" w:rsidRPr="002521F4">
        <w:t>1.15</w:t>
      </w:r>
      <w:r w:rsidR="00122804">
        <w:t> </w:t>
      </w:r>
      <w:r w:rsidR="00C52225" w:rsidRPr="002521F4">
        <w:t xml:space="preserve">million item and specimen records and </w:t>
      </w:r>
      <w:r w:rsidR="00122804">
        <w:t>more than</w:t>
      </w:r>
      <w:r w:rsidR="00122804" w:rsidRPr="002521F4">
        <w:t xml:space="preserve"> </w:t>
      </w:r>
      <w:r w:rsidR="00C52225" w:rsidRPr="002521F4">
        <w:t>3000 authored articles and species profiles.</w:t>
      </w:r>
    </w:p>
    <w:p w14:paraId="5E5B22F5" w14:textId="77777777" w:rsidR="00C52225" w:rsidRPr="002521F4" w:rsidRDefault="00C52225" w:rsidP="00C52225"/>
    <w:p w14:paraId="5D29803D" w14:textId="7DEA868D" w:rsidR="00BA2CA4" w:rsidRPr="00BA2CA4" w:rsidRDefault="00BA2CA4" w:rsidP="00BA2CA4">
      <w:pPr>
        <w:rPr>
          <w:rFonts w:cs="Arial"/>
        </w:rPr>
      </w:pPr>
      <w:r w:rsidRPr="00BA2CA4">
        <w:rPr>
          <w:rFonts w:cs="Arial"/>
        </w:rPr>
        <w:t>Museum Victoria publish</w:t>
      </w:r>
      <w:r w:rsidR="00A3359A">
        <w:rPr>
          <w:rFonts w:cs="Arial"/>
        </w:rPr>
        <w:t>ed</w:t>
      </w:r>
      <w:r w:rsidRPr="00BA2CA4">
        <w:rPr>
          <w:rFonts w:cs="Arial"/>
        </w:rPr>
        <w:t xml:space="preserve"> a story on the </w:t>
      </w:r>
      <w:r w:rsidRPr="000720D0">
        <w:rPr>
          <w:rFonts w:cs="Arial"/>
          <w:i/>
        </w:rPr>
        <w:t>Culture Victoria</w:t>
      </w:r>
      <w:r w:rsidRPr="00BA2CA4">
        <w:rPr>
          <w:rFonts w:cs="Arial"/>
        </w:rPr>
        <w:t xml:space="preserve"> website about the history of amateur and professional ornithology in Victoria</w:t>
      </w:r>
      <w:r w:rsidR="00A3359A">
        <w:rPr>
          <w:rFonts w:cs="Arial"/>
        </w:rPr>
        <w:t>, which</w:t>
      </w:r>
      <w:r w:rsidRPr="00BA2CA4">
        <w:rPr>
          <w:rFonts w:cs="Arial"/>
        </w:rPr>
        <w:t xml:space="preserve"> features high</w:t>
      </w:r>
      <w:r w:rsidR="00A3359A">
        <w:rPr>
          <w:rFonts w:cs="Arial"/>
        </w:rPr>
        <w:t>-</w:t>
      </w:r>
      <w:r w:rsidRPr="00BA2CA4">
        <w:rPr>
          <w:rFonts w:cs="Arial"/>
        </w:rPr>
        <w:t>quality images from treasures of the Rare Books Collection</w:t>
      </w:r>
      <w:r w:rsidR="00A3359A">
        <w:rPr>
          <w:rFonts w:cs="Arial"/>
        </w:rPr>
        <w:t xml:space="preserve"> and </w:t>
      </w:r>
      <w:r w:rsidRPr="00BA2CA4">
        <w:rPr>
          <w:rFonts w:cs="Arial"/>
        </w:rPr>
        <w:t xml:space="preserve">the </w:t>
      </w:r>
      <w:r w:rsidR="00A3359A">
        <w:rPr>
          <w:rFonts w:cs="Arial"/>
        </w:rPr>
        <w:t>S</w:t>
      </w:r>
      <w:r w:rsidRPr="00BA2CA4">
        <w:rPr>
          <w:rFonts w:cs="Arial"/>
        </w:rPr>
        <w:t xml:space="preserve">tate </w:t>
      </w:r>
      <w:r w:rsidR="00A3359A">
        <w:rPr>
          <w:rFonts w:cs="Arial"/>
        </w:rPr>
        <w:t>C</w:t>
      </w:r>
      <w:r w:rsidRPr="00BA2CA4">
        <w:rPr>
          <w:rFonts w:cs="Arial"/>
        </w:rPr>
        <w:t xml:space="preserve">ollection. The story also represents </w:t>
      </w:r>
      <w:r w:rsidR="00122804">
        <w:rPr>
          <w:rFonts w:cs="Arial"/>
        </w:rPr>
        <w:t>the museum’s</w:t>
      </w:r>
      <w:r w:rsidR="00122804" w:rsidRPr="00BA2CA4">
        <w:rPr>
          <w:rFonts w:cs="Arial"/>
        </w:rPr>
        <w:t xml:space="preserve"> </w:t>
      </w:r>
      <w:r w:rsidRPr="00BA2CA4">
        <w:rPr>
          <w:rFonts w:cs="Arial"/>
        </w:rPr>
        <w:t>current ornithological activities</w:t>
      </w:r>
      <w:r w:rsidR="00122804">
        <w:rPr>
          <w:rFonts w:cs="Arial"/>
        </w:rPr>
        <w:t>,</w:t>
      </w:r>
      <w:r w:rsidRPr="00BA2CA4">
        <w:rPr>
          <w:rFonts w:cs="Arial"/>
        </w:rPr>
        <w:t xml:space="preserve"> with images and a video from recent biodiversity surveys.</w:t>
      </w:r>
    </w:p>
    <w:p w14:paraId="1C2981F9" w14:textId="77777777" w:rsidR="00BA2CA4" w:rsidRPr="00BA2CA4" w:rsidRDefault="00BA2CA4" w:rsidP="00BA2CA4">
      <w:pPr>
        <w:rPr>
          <w:rFonts w:cs="Arial"/>
        </w:rPr>
      </w:pPr>
    </w:p>
    <w:p w14:paraId="56394C7F" w14:textId="174D26C7" w:rsidR="00BA2CA4" w:rsidRPr="00BA2CA4" w:rsidRDefault="00BA2CA4" w:rsidP="00BA2CA4">
      <w:pPr>
        <w:rPr>
          <w:rFonts w:cs="Arial"/>
        </w:rPr>
      </w:pPr>
      <w:r w:rsidRPr="00BA2CA4">
        <w:rPr>
          <w:rFonts w:cs="Arial"/>
        </w:rPr>
        <w:t>The Discovery Centre team coordinated Museum Victoria’s involvement in the international #AskACurator day on Twitter. The team published 94 tweets on the day</w:t>
      </w:r>
      <w:r w:rsidR="000445BA">
        <w:rPr>
          <w:rFonts w:cs="Arial"/>
        </w:rPr>
        <w:t>, 16 September,</w:t>
      </w:r>
      <w:r w:rsidRPr="00BA2CA4">
        <w:rPr>
          <w:rFonts w:cs="Arial"/>
        </w:rPr>
        <w:t xml:space="preserve"> and </w:t>
      </w:r>
      <w:r w:rsidR="000445BA" w:rsidRPr="00BA2CA4">
        <w:rPr>
          <w:rFonts w:cs="Arial"/>
        </w:rPr>
        <w:t>w</w:t>
      </w:r>
      <w:r w:rsidR="000445BA">
        <w:rPr>
          <w:rFonts w:cs="Arial"/>
        </w:rPr>
        <w:t xml:space="preserve">as </w:t>
      </w:r>
      <w:r w:rsidRPr="00BA2CA4">
        <w:rPr>
          <w:rFonts w:cs="Arial"/>
        </w:rPr>
        <w:t>in conversation with galleries, libraries, archives and museums around the world to respond to the public’s questions</w:t>
      </w:r>
      <w:r w:rsidR="000445BA">
        <w:rPr>
          <w:rFonts w:cs="Arial"/>
        </w:rPr>
        <w:t xml:space="preserve">. Some </w:t>
      </w:r>
      <w:r w:rsidRPr="00BA2CA4">
        <w:rPr>
          <w:rFonts w:cs="Arial"/>
        </w:rPr>
        <w:t>1079 museums participated from 51 countries.</w:t>
      </w:r>
    </w:p>
    <w:p w14:paraId="6F388311" w14:textId="77777777" w:rsidR="00BA2CA4" w:rsidRPr="00BA2CA4" w:rsidRDefault="00BA2CA4" w:rsidP="00BA2CA4">
      <w:pPr>
        <w:rPr>
          <w:rFonts w:cs="Arial"/>
          <w:szCs w:val="22"/>
        </w:rPr>
      </w:pPr>
    </w:p>
    <w:p w14:paraId="2CDA937F" w14:textId="5FC0207E" w:rsidR="00BA2CA4" w:rsidRPr="00451BC0" w:rsidRDefault="00BA2CA4" w:rsidP="00BA2CA4">
      <w:r w:rsidRPr="00451BC0">
        <w:t>Museum Victoria and the University of Melbourne continue to develop the Donald Thomson Collection, with a new project to digitise</w:t>
      </w:r>
      <w:r w:rsidR="000445BA">
        <w:t xml:space="preserve"> Thomson’s</w:t>
      </w:r>
      <w:r w:rsidRPr="00451BC0">
        <w:t xml:space="preserve"> films of Pintupi communities in the Western Desert </w:t>
      </w:r>
      <w:r w:rsidR="000445BA">
        <w:t xml:space="preserve">taken </w:t>
      </w:r>
      <w:r w:rsidRPr="00451BC0">
        <w:t xml:space="preserve">in the 1960s. The work will ensure long-term preservation of the content and </w:t>
      </w:r>
      <w:r w:rsidR="000445BA">
        <w:t>provide for</w:t>
      </w:r>
      <w:r w:rsidR="000445BA" w:rsidRPr="00451BC0">
        <w:t xml:space="preserve"> </w:t>
      </w:r>
      <w:r w:rsidRPr="00451BC0">
        <w:t>intercultural understandings of first encounters between the Pintupi and Europeans</w:t>
      </w:r>
      <w:r w:rsidR="000445BA">
        <w:t>. It</w:t>
      </w:r>
      <w:r w:rsidRPr="00451BC0">
        <w:t xml:space="preserve"> </w:t>
      </w:r>
      <w:r w:rsidR="000445BA">
        <w:t>is supported</w:t>
      </w:r>
      <w:r w:rsidRPr="00451BC0">
        <w:t xml:space="preserve"> by a McCoy Project seed</w:t>
      </w:r>
      <w:r w:rsidR="000445BA">
        <w:t>-</w:t>
      </w:r>
      <w:r w:rsidRPr="00451BC0">
        <w:t>fund</w:t>
      </w:r>
      <w:r w:rsidR="000445BA">
        <w:t>ing</w:t>
      </w:r>
      <w:r w:rsidRPr="00451BC0">
        <w:t xml:space="preserve"> grant and the University of Melbourne’s Community Engagement Program.</w:t>
      </w:r>
    </w:p>
    <w:p w14:paraId="71A82891" w14:textId="77777777" w:rsidR="009C4D8A" w:rsidRPr="00BA2CA4" w:rsidRDefault="009C4D8A" w:rsidP="00BA2CA4">
      <w:pPr>
        <w:rPr>
          <w:rFonts w:cs="Arial"/>
          <w:szCs w:val="22"/>
        </w:rPr>
      </w:pPr>
    </w:p>
    <w:p w14:paraId="643C7D6E" w14:textId="08CCBE9C" w:rsidR="009C4D8A" w:rsidRPr="00D13151" w:rsidRDefault="009C4D8A" w:rsidP="009C4D8A">
      <w:r w:rsidRPr="00DE1B1B">
        <w:t>Museum Victoria is helping meet unprecedented demand for high</w:t>
      </w:r>
      <w:r w:rsidR="000445BA">
        <w:t>-</w:t>
      </w:r>
      <w:r w:rsidRPr="00DE1B1B">
        <w:t xml:space="preserve">quality and dramatic images of Victorian wildlife through the Catching the Eye project. The imagery </w:t>
      </w:r>
      <w:r w:rsidR="00EC02E2">
        <w:t>is</w:t>
      </w:r>
      <w:r w:rsidRPr="00DE1B1B">
        <w:t xml:space="preserve"> critical in wildlife conservation and education, and the project has been enabled by generous philanthropic funding through the Australian Communities Foundation, Besen Family Foundation, Calvert-Jones Foundation, Hugh D.T. Williamson Foundation, Ian Potter Foundation, Limb Family Foundation, R.E. Ross Trust and an anonymous donor.</w:t>
      </w:r>
    </w:p>
    <w:p w14:paraId="64074C2A" w14:textId="77777777" w:rsidR="00EA1C58" w:rsidRDefault="00EA1C58" w:rsidP="00EA1C58">
      <w:pPr>
        <w:rPr>
          <w:rFonts w:cs="Arial"/>
        </w:rPr>
      </w:pPr>
    </w:p>
    <w:p w14:paraId="58592EE6" w14:textId="75BE3E68" w:rsidR="00BA2CA4" w:rsidRDefault="00EA1C58" w:rsidP="00E6167D">
      <w:pPr>
        <w:rPr>
          <w:rFonts w:cs="Arial"/>
        </w:rPr>
      </w:pPr>
      <w:r w:rsidRPr="00BA2CA4">
        <w:rPr>
          <w:rFonts w:cs="Arial"/>
        </w:rPr>
        <w:t>The popularity of adult colouring books encouraged the Biodiversity Heritage Library (BHL) to run #ColourOurCollections week from 1</w:t>
      </w:r>
      <w:r w:rsidR="00D13151">
        <w:rPr>
          <w:rFonts w:cs="Arial"/>
        </w:rPr>
        <w:t xml:space="preserve"> to </w:t>
      </w:r>
      <w:r w:rsidRPr="00BA2CA4">
        <w:rPr>
          <w:rFonts w:cs="Arial"/>
        </w:rPr>
        <w:t>5 February</w:t>
      </w:r>
      <w:r w:rsidR="004F688F">
        <w:rPr>
          <w:rFonts w:cs="Arial"/>
        </w:rPr>
        <w:t xml:space="preserve"> 2016</w:t>
      </w:r>
      <w:r w:rsidRPr="00BA2CA4">
        <w:rPr>
          <w:rFonts w:cs="Arial"/>
        </w:rPr>
        <w:t>. The BHL</w:t>
      </w:r>
      <w:r w:rsidR="004F688F">
        <w:rPr>
          <w:rFonts w:cs="Arial"/>
        </w:rPr>
        <w:t xml:space="preserve"> </w:t>
      </w:r>
      <w:r w:rsidRPr="00BA2CA4">
        <w:rPr>
          <w:rFonts w:cs="Arial"/>
        </w:rPr>
        <w:t>Australia team creat</w:t>
      </w:r>
      <w:r w:rsidR="004F688F">
        <w:rPr>
          <w:rFonts w:cs="Arial"/>
        </w:rPr>
        <w:t>ed</w:t>
      </w:r>
      <w:r w:rsidRPr="00BA2CA4">
        <w:rPr>
          <w:rFonts w:cs="Arial"/>
        </w:rPr>
        <w:t xml:space="preserve"> black</w:t>
      </w:r>
      <w:r w:rsidR="004F688F">
        <w:rPr>
          <w:rFonts w:cs="Arial"/>
        </w:rPr>
        <w:t>-</w:t>
      </w:r>
      <w:r w:rsidRPr="00BA2CA4">
        <w:rPr>
          <w:rFonts w:cs="Arial"/>
        </w:rPr>
        <w:t>and</w:t>
      </w:r>
      <w:r w:rsidR="004F688F">
        <w:rPr>
          <w:rFonts w:cs="Arial"/>
        </w:rPr>
        <w:t>-</w:t>
      </w:r>
      <w:r w:rsidRPr="00BA2CA4">
        <w:rPr>
          <w:rFonts w:cs="Arial"/>
        </w:rPr>
        <w:t>white versions of images from books uploaded to the BHL</w:t>
      </w:r>
      <w:r w:rsidR="004F688F">
        <w:rPr>
          <w:rFonts w:cs="Arial"/>
        </w:rPr>
        <w:t>; e</w:t>
      </w:r>
      <w:r w:rsidRPr="00BA2CA4">
        <w:rPr>
          <w:rFonts w:cs="Arial"/>
        </w:rPr>
        <w:t>ach colouring page contains a link to the original in either the BHL</w:t>
      </w:r>
      <w:r w:rsidR="004F688F">
        <w:rPr>
          <w:rFonts w:cs="Arial"/>
        </w:rPr>
        <w:t xml:space="preserve"> or</w:t>
      </w:r>
      <w:r w:rsidRPr="00BA2CA4">
        <w:rPr>
          <w:rFonts w:cs="Arial"/>
        </w:rPr>
        <w:t xml:space="preserve"> </w:t>
      </w:r>
      <w:r w:rsidR="004F688F">
        <w:rPr>
          <w:rFonts w:cs="Arial"/>
        </w:rPr>
        <w:t>the museum’s</w:t>
      </w:r>
      <w:r w:rsidR="004F688F" w:rsidRPr="00BA2CA4">
        <w:rPr>
          <w:rFonts w:cs="Arial"/>
        </w:rPr>
        <w:t xml:space="preserve"> </w:t>
      </w:r>
      <w:r w:rsidRPr="000720D0">
        <w:rPr>
          <w:rFonts w:cs="Arial"/>
          <w:i/>
        </w:rPr>
        <w:t>Collections</w:t>
      </w:r>
      <w:r w:rsidRPr="00BA2CA4">
        <w:rPr>
          <w:rFonts w:cs="Arial"/>
        </w:rPr>
        <w:t xml:space="preserve"> or </w:t>
      </w:r>
      <w:r w:rsidRPr="000720D0">
        <w:rPr>
          <w:rFonts w:cs="Arial"/>
          <w:i/>
        </w:rPr>
        <w:t>Caught and Coloured</w:t>
      </w:r>
      <w:r w:rsidR="00E6167D">
        <w:rPr>
          <w:rFonts w:cs="Arial"/>
        </w:rPr>
        <w:t xml:space="preserve"> website.</w:t>
      </w:r>
    </w:p>
    <w:p w14:paraId="1E6D006A" w14:textId="77777777" w:rsidR="00E6167D" w:rsidRPr="00E6167D" w:rsidRDefault="00E6167D" w:rsidP="00E6167D">
      <w:pPr>
        <w:rPr>
          <w:rFonts w:cs="Arial"/>
        </w:rPr>
      </w:pPr>
    </w:p>
    <w:p w14:paraId="70691D7F" w14:textId="77777777" w:rsidR="00BA2CA4" w:rsidRPr="00BA2CA4" w:rsidRDefault="00BA2CA4" w:rsidP="00E6167D">
      <w:pPr>
        <w:pStyle w:val="Heading3"/>
      </w:pPr>
      <w:r w:rsidRPr="00BA2CA4">
        <w:t>Meeting Business Needs</w:t>
      </w:r>
    </w:p>
    <w:p w14:paraId="79DEFC25" w14:textId="60F4B507" w:rsidR="00EA1C58" w:rsidRDefault="00EA1C58" w:rsidP="00EA1C58">
      <w:pPr>
        <w:rPr>
          <w:rFonts w:cs="Arial"/>
        </w:rPr>
      </w:pPr>
      <w:r w:rsidRPr="00BA2CA4">
        <w:rPr>
          <w:rFonts w:cs="Arial"/>
        </w:rPr>
        <w:t>In March</w:t>
      </w:r>
      <w:r w:rsidR="00035754">
        <w:rPr>
          <w:rFonts w:cs="Arial"/>
        </w:rPr>
        <w:t>,</w:t>
      </w:r>
      <w:r w:rsidRPr="00BA2CA4">
        <w:rPr>
          <w:rFonts w:cs="Arial"/>
        </w:rPr>
        <w:t xml:space="preserve"> new websites were </w:t>
      </w:r>
      <w:r w:rsidR="004F688F">
        <w:rPr>
          <w:rFonts w:cs="Arial"/>
        </w:rPr>
        <w:t>launch</w:t>
      </w:r>
      <w:r w:rsidRPr="00BA2CA4">
        <w:rPr>
          <w:rFonts w:cs="Arial"/>
        </w:rPr>
        <w:t xml:space="preserve">ed for Melbourne Museum, Bunjilaka, </w:t>
      </w:r>
      <w:r w:rsidR="004F688F">
        <w:rPr>
          <w:rFonts w:cs="Arial"/>
        </w:rPr>
        <w:t xml:space="preserve">the </w:t>
      </w:r>
      <w:r w:rsidRPr="00BA2CA4">
        <w:rPr>
          <w:rFonts w:cs="Arial"/>
        </w:rPr>
        <w:t xml:space="preserve">Immigration Museum and Scienceworks. They feature fresh designs with </w:t>
      </w:r>
      <w:r w:rsidR="00CA0C70">
        <w:rPr>
          <w:rFonts w:cs="Arial"/>
        </w:rPr>
        <w:t>larger</w:t>
      </w:r>
      <w:r w:rsidR="00CA0C70" w:rsidRPr="00BA2CA4">
        <w:rPr>
          <w:rFonts w:cs="Arial"/>
        </w:rPr>
        <w:t xml:space="preserve"> </w:t>
      </w:r>
      <w:r w:rsidRPr="00BA2CA4">
        <w:rPr>
          <w:rFonts w:cs="Arial"/>
        </w:rPr>
        <w:t>images, uncluttered layout and eas</w:t>
      </w:r>
      <w:r w:rsidR="004F688F">
        <w:rPr>
          <w:rFonts w:cs="Arial"/>
        </w:rPr>
        <w:t>y</w:t>
      </w:r>
      <w:r w:rsidRPr="00BA2CA4">
        <w:rPr>
          <w:rFonts w:cs="Arial"/>
        </w:rPr>
        <w:t xml:space="preserve"> navigation that works on any device. </w:t>
      </w:r>
      <w:r w:rsidR="004F688F">
        <w:rPr>
          <w:rFonts w:cs="Arial"/>
        </w:rPr>
        <w:t>Their k</w:t>
      </w:r>
      <w:r w:rsidRPr="00BA2CA4">
        <w:rPr>
          <w:rFonts w:cs="Arial"/>
        </w:rPr>
        <w:t xml:space="preserve">ey goals are to assist visitors to plan a visit, find out what’s on and book or buy a ticket. </w:t>
      </w:r>
    </w:p>
    <w:p w14:paraId="21CE049D" w14:textId="77777777" w:rsidR="00035754" w:rsidRDefault="00035754" w:rsidP="00035754">
      <w:pPr>
        <w:rPr>
          <w:rFonts w:cs="Arial"/>
        </w:rPr>
      </w:pPr>
    </w:p>
    <w:p w14:paraId="5364C851" w14:textId="4A60D248" w:rsidR="00E6167D" w:rsidRDefault="00035754" w:rsidP="00EA1C58">
      <w:pPr>
        <w:rPr>
          <w:rFonts w:cs="Arial"/>
        </w:rPr>
      </w:pPr>
      <w:r w:rsidRPr="00BA2CA4">
        <w:rPr>
          <w:rFonts w:cs="Arial"/>
        </w:rPr>
        <w:t xml:space="preserve">The Digital Transformation Strategy 2015–20 was approved </w:t>
      </w:r>
      <w:r>
        <w:rPr>
          <w:rFonts w:cs="Arial"/>
        </w:rPr>
        <w:t>i</w:t>
      </w:r>
      <w:r w:rsidRPr="00BA2CA4">
        <w:rPr>
          <w:rFonts w:cs="Arial"/>
        </w:rPr>
        <w:t>n August</w:t>
      </w:r>
      <w:r w:rsidR="004F688F">
        <w:rPr>
          <w:rFonts w:cs="Arial"/>
        </w:rPr>
        <w:t xml:space="preserve"> 2015</w:t>
      </w:r>
      <w:r w:rsidRPr="00BA2CA4">
        <w:rPr>
          <w:rFonts w:cs="Arial"/>
        </w:rPr>
        <w:t xml:space="preserve">. </w:t>
      </w:r>
      <w:r w:rsidR="004F688F">
        <w:rPr>
          <w:rFonts w:cs="Arial"/>
        </w:rPr>
        <w:t>It</w:t>
      </w:r>
      <w:r w:rsidRPr="00BA2CA4">
        <w:rPr>
          <w:rFonts w:cs="Arial"/>
        </w:rPr>
        <w:t xml:space="preserve"> presents a new approach to </w:t>
      </w:r>
      <w:r>
        <w:rPr>
          <w:rFonts w:cs="Arial"/>
        </w:rPr>
        <w:t xml:space="preserve">developing and </w:t>
      </w:r>
      <w:r w:rsidRPr="00BA2CA4">
        <w:rPr>
          <w:rFonts w:cs="Arial"/>
        </w:rPr>
        <w:t xml:space="preserve">delivering digital initiatives. </w:t>
      </w:r>
      <w:r>
        <w:rPr>
          <w:rFonts w:cs="Arial"/>
        </w:rPr>
        <w:t>G</w:t>
      </w:r>
      <w:r w:rsidRPr="00BA2CA4">
        <w:rPr>
          <w:rFonts w:cs="Arial"/>
        </w:rPr>
        <w:t>overnance and staff development ini</w:t>
      </w:r>
      <w:r>
        <w:rPr>
          <w:rFonts w:cs="Arial"/>
        </w:rPr>
        <w:t>tiatives</w:t>
      </w:r>
      <w:r w:rsidR="005C4F3C">
        <w:rPr>
          <w:rFonts w:cs="Arial"/>
        </w:rPr>
        <w:t xml:space="preserve"> –</w:t>
      </w:r>
      <w:r>
        <w:rPr>
          <w:rFonts w:cs="Arial"/>
        </w:rPr>
        <w:t xml:space="preserve"> including a digitally </w:t>
      </w:r>
      <w:r w:rsidRPr="00BA2CA4">
        <w:rPr>
          <w:rFonts w:cs="Arial"/>
        </w:rPr>
        <w:t>focused mini</w:t>
      </w:r>
      <w:r w:rsidR="005C4F3C">
        <w:rPr>
          <w:rFonts w:cs="Arial"/>
        </w:rPr>
        <w:t>-</w:t>
      </w:r>
      <w:r w:rsidRPr="00BA2CA4">
        <w:rPr>
          <w:rFonts w:cs="Arial"/>
        </w:rPr>
        <w:t>conference</w:t>
      </w:r>
      <w:r w:rsidR="005C4F3C">
        <w:rPr>
          <w:rFonts w:cs="Arial"/>
        </w:rPr>
        <w:t xml:space="preserve"> –</w:t>
      </w:r>
      <w:r w:rsidRPr="00BA2CA4">
        <w:rPr>
          <w:rFonts w:cs="Arial"/>
        </w:rPr>
        <w:t xml:space="preserve"> have been the </w:t>
      </w:r>
      <w:r w:rsidR="005C4F3C">
        <w:rPr>
          <w:rFonts w:cs="Arial"/>
        </w:rPr>
        <w:t xml:space="preserve">2015–16 </w:t>
      </w:r>
      <w:r w:rsidRPr="00BA2CA4">
        <w:rPr>
          <w:rFonts w:cs="Arial"/>
        </w:rPr>
        <w:t>focus</w:t>
      </w:r>
      <w:r w:rsidR="009D4E8D">
        <w:rPr>
          <w:rFonts w:cs="Arial"/>
        </w:rPr>
        <w:t>.</w:t>
      </w:r>
    </w:p>
    <w:p w14:paraId="41348261" w14:textId="77777777" w:rsidR="00E6167D" w:rsidRPr="00E6167D" w:rsidRDefault="00E6167D" w:rsidP="00EA1C58">
      <w:pPr>
        <w:rPr>
          <w:rFonts w:cs="Arial"/>
        </w:rPr>
      </w:pPr>
    </w:p>
    <w:p w14:paraId="51D60882" w14:textId="19BB065D" w:rsidR="00EA66B8" w:rsidRPr="00BA2CA4" w:rsidRDefault="00EA66B8" w:rsidP="00EA66B8">
      <w:r w:rsidRPr="00BA2CA4">
        <w:t xml:space="preserve">Development and implementation of the </w:t>
      </w:r>
      <w:r w:rsidR="00035754">
        <w:t>c</w:t>
      </w:r>
      <w:r w:rsidRPr="00BA2CA4">
        <w:t>ustomer</w:t>
      </w:r>
      <w:r w:rsidR="005C4F3C">
        <w:t>-</w:t>
      </w:r>
      <w:r w:rsidR="00035754">
        <w:t>r</w:t>
      </w:r>
      <w:r w:rsidRPr="00BA2CA4">
        <w:t xml:space="preserve">elations </w:t>
      </w:r>
      <w:r w:rsidR="005C4F3C">
        <w:t>m</w:t>
      </w:r>
      <w:r w:rsidR="005C4F3C" w:rsidRPr="00BA2CA4">
        <w:t>anagement</w:t>
      </w:r>
      <w:r w:rsidR="005C4F3C">
        <w:t xml:space="preserve"> </w:t>
      </w:r>
      <w:r w:rsidRPr="00BA2CA4">
        <w:t>system</w:t>
      </w:r>
      <w:r w:rsidR="00CA0C70">
        <w:t xml:space="preserve"> </w:t>
      </w:r>
      <w:r w:rsidRPr="00BA2CA4">
        <w:t>continued</w:t>
      </w:r>
      <w:r w:rsidR="00B2131F">
        <w:t xml:space="preserve">, with the introduction of </w:t>
      </w:r>
      <w:r w:rsidRPr="00BA2CA4">
        <w:t xml:space="preserve">a philanthropy module that will provide insights into our databases of </w:t>
      </w:r>
      <w:r w:rsidR="00B2131F">
        <w:t>m</w:t>
      </w:r>
      <w:r w:rsidRPr="00BA2CA4">
        <w:t>embers, donors and potential donors.</w:t>
      </w:r>
    </w:p>
    <w:p w14:paraId="0B9D7937" w14:textId="77777777" w:rsidR="00BA2CA4" w:rsidRPr="00451BC0" w:rsidRDefault="00BA2CA4" w:rsidP="00BA2CA4">
      <w:pPr>
        <w:rPr>
          <w:b/>
          <w:szCs w:val="22"/>
        </w:rPr>
      </w:pPr>
    </w:p>
    <w:p w14:paraId="2E8FA597" w14:textId="77777777" w:rsidR="00727740" w:rsidRDefault="00BA2CA4" w:rsidP="00727740">
      <w:r w:rsidRPr="00BA2CA4">
        <w:t xml:space="preserve">The retail </w:t>
      </w:r>
      <w:r w:rsidR="00C52225">
        <w:t>p</w:t>
      </w:r>
      <w:r w:rsidRPr="00BA2CA4">
        <w:t>oint</w:t>
      </w:r>
      <w:r w:rsidR="00C52225">
        <w:t>-</w:t>
      </w:r>
      <w:r w:rsidRPr="00BA2CA4">
        <w:t>of</w:t>
      </w:r>
      <w:r w:rsidR="00C52225">
        <w:t>-s</w:t>
      </w:r>
      <w:r w:rsidRPr="00BA2CA4">
        <w:t xml:space="preserve">ale </w:t>
      </w:r>
      <w:r w:rsidR="00C52225">
        <w:t>(POS) s</w:t>
      </w:r>
      <w:r w:rsidRPr="00BA2CA4">
        <w:t xml:space="preserve">ystem was upgraded to provide an </w:t>
      </w:r>
      <w:r w:rsidR="00C52225">
        <w:t>o</w:t>
      </w:r>
      <w:r w:rsidRPr="00BA2CA4">
        <w:t xml:space="preserve">ffline </w:t>
      </w:r>
      <w:r w:rsidR="00C52225">
        <w:t>i</w:t>
      </w:r>
      <w:r w:rsidRPr="00BA2CA4">
        <w:t xml:space="preserve">nventory </w:t>
      </w:r>
      <w:r w:rsidR="00C52225">
        <w:t>s</w:t>
      </w:r>
      <w:r w:rsidRPr="00BA2CA4">
        <w:t xml:space="preserve">ystem. This enables installation of a POS system wherever we run a </w:t>
      </w:r>
      <w:r w:rsidR="00C52225">
        <w:t>p</w:t>
      </w:r>
      <w:r w:rsidRPr="00BA2CA4">
        <w:t xml:space="preserve">op-up </w:t>
      </w:r>
      <w:r w:rsidR="00C52225">
        <w:t>s</w:t>
      </w:r>
      <w:r w:rsidRPr="00BA2CA4">
        <w:t>hop</w:t>
      </w:r>
      <w:r w:rsidR="00C52225">
        <w:t xml:space="preserve">, while </w:t>
      </w:r>
      <w:r w:rsidRPr="00BA2CA4">
        <w:t>retain</w:t>
      </w:r>
      <w:r w:rsidR="00C52225">
        <w:t>ing</w:t>
      </w:r>
      <w:r w:rsidRPr="00BA2CA4">
        <w:t xml:space="preserve"> full POS applications</w:t>
      </w:r>
      <w:r w:rsidR="005C4F3C">
        <w:t>,</w:t>
      </w:r>
      <w:r w:rsidR="00C52225">
        <w:t xml:space="preserve"> such as</w:t>
      </w:r>
      <w:r w:rsidRPr="00BA2CA4">
        <w:t xml:space="preserve"> stock control and cash handling facilities.</w:t>
      </w:r>
    </w:p>
    <w:p w14:paraId="3554F230" w14:textId="16DBF0B5" w:rsidR="00727740" w:rsidRPr="00727740" w:rsidRDefault="00727740" w:rsidP="00727740">
      <w:pPr>
        <w:spacing w:after="200" w:line="276" w:lineRule="auto"/>
      </w:pPr>
      <w:r>
        <w:br w:type="page"/>
      </w:r>
    </w:p>
    <w:p w14:paraId="261AD34D" w14:textId="77777777" w:rsidR="00794AA1" w:rsidRDefault="00BA2CA4" w:rsidP="00727740">
      <w:pPr>
        <w:pStyle w:val="Heading2"/>
      </w:pPr>
      <w:r w:rsidRPr="00BA2CA4">
        <w:lastRenderedPageBreak/>
        <w:t>Strategic Direction 4:</w:t>
      </w:r>
    </w:p>
    <w:p w14:paraId="4AEF7CAE" w14:textId="6E28FCF3" w:rsidR="00BA2CA4" w:rsidRDefault="00BA2CA4" w:rsidP="00727740">
      <w:pPr>
        <w:pStyle w:val="Heading2"/>
      </w:pPr>
      <w:r w:rsidRPr="00BA2CA4">
        <w:t>Organisational Resilience</w:t>
      </w:r>
    </w:p>
    <w:p w14:paraId="357CD729" w14:textId="77777777" w:rsidR="00794AA1" w:rsidRPr="00794AA1" w:rsidRDefault="00794AA1" w:rsidP="009E51A8"/>
    <w:p w14:paraId="608F0C3B" w14:textId="77777777" w:rsidR="00BA2CA4" w:rsidRPr="00BA2CA4" w:rsidRDefault="00BA2CA4" w:rsidP="00727740">
      <w:pPr>
        <w:pStyle w:val="Heading3"/>
      </w:pPr>
      <w:r w:rsidRPr="00BA2CA4">
        <w:t>Fostering an Active Safety Culture</w:t>
      </w:r>
    </w:p>
    <w:p w14:paraId="6AD51849" w14:textId="77777777" w:rsidR="00BA2CA4" w:rsidRPr="00BA2CA4" w:rsidRDefault="00BA2CA4" w:rsidP="00BA2CA4">
      <w:pPr>
        <w:rPr>
          <w:rFonts w:ascii="Calibri" w:hAnsi="Calibri"/>
          <w:szCs w:val="22"/>
        </w:rPr>
      </w:pPr>
      <w:r w:rsidRPr="00BA2CA4">
        <w:t>Specific projects undertaken during the year include:</w:t>
      </w:r>
    </w:p>
    <w:p w14:paraId="0C119518" w14:textId="3B25D2A9" w:rsidR="00BA2CA4" w:rsidRPr="00BA2CA4" w:rsidRDefault="00BA2CA4" w:rsidP="00BA2CA4">
      <w:pPr>
        <w:numPr>
          <w:ilvl w:val="0"/>
          <w:numId w:val="7"/>
        </w:numPr>
        <w:ind w:left="357" w:hanging="357"/>
        <w:contextualSpacing/>
        <w:rPr>
          <w:rFonts w:eastAsiaTheme="minorHAnsi" w:cs="Arial"/>
          <w:szCs w:val="22"/>
          <w:lang w:eastAsia="en-US"/>
        </w:rPr>
      </w:pPr>
      <w:r w:rsidRPr="00BA2CA4">
        <w:rPr>
          <w:rFonts w:eastAsiaTheme="minorHAnsi" w:cs="Arial"/>
          <w:szCs w:val="22"/>
          <w:lang w:eastAsia="en-US"/>
        </w:rPr>
        <w:t>development of a corrective</w:t>
      </w:r>
      <w:r w:rsidR="00737BB4">
        <w:rPr>
          <w:rFonts w:eastAsiaTheme="minorHAnsi" w:cs="Arial"/>
          <w:szCs w:val="22"/>
          <w:lang w:eastAsia="en-US"/>
        </w:rPr>
        <w:t>-</w:t>
      </w:r>
      <w:r w:rsidRPr="00BA2CA4">
        <w:rPr>
          <w:rFonts w:eastAsiaTheme="minorHAnsi" w:cs="Arial"/>
          <w:szCs w:val="22"/>
          <w:lang w:eastAsia="en-US"/>
        </w:rPr>
        <w:t>action procedure that will facilitate recording and monitoring actions arising from incidents and audits</w:t>
      </w:r>
    </w:p>
    <w:p w14:paraId="199174D7" w14:textId="1C3B8CBA" w:rsidR="00BA2CA4" w:rsidRPr="00BA2CA4" w:rsidRDefault="00116056" w:rsidP="00BA2CA4">
      <w:pPr>
        <w:numPr>
          <w:ilvl w:val="0"/>
          <w:numId w:val="7"/>
        </w:numPr>
        <w:contextualSpacing/>
        <w:rPr>
          <w:rFonts w:eastAsiaTheme="minorHAnsi" w:cs="Arial"/>
          <w:szCs w:val="22"/>
          <w:lang w:eastAsia="en-US"/>
        </w:rPr>
      </w:pPr>
      <w:r>
        <w:rPr>
          <w:rFonts w:eastAsiaTheme="minorHAnsi" w:cs="Arial"/>
          <w:szCs w:val="22"/>
          <w:lang w:eastAsia="en-US"/>
        </w:rPr>
        <w:t xml:space="preserve">a </w:t>
      </w:r>
      <w:r w:rsidR="00BA2CA4" w:rsidRPr="00BA2CA4">
        <w:rPr>
          <w:rFonts w:eastAsiaTheme="minorHAnsi" w:cs="Arial"/>
          <w:szCs w:val="22"/>
          <w:lang w:eastAsia="en-US"/>
        </w:rPr>
        <w:t>review of car</w:t>
      </w:r>
      <w:r w:rsidR="009D4E8D">
        <w:rPr>
          <w:rFonts w:eastAsiaTheme="minorHAnsi" w:cs="Arial"/>
          <w:szCs w:val="22"/>
          <w:lang w:eastAsia="en-US"/>
        </w:rPr>
        <w:t xml:space="preserve"> </w:t>
      </w:r>
      <w:r w:rsidR="00727740">
        <w:rPr>
          <w:rFonts w:eastAsiaTheme="minorHAnsi" w:cs="Arial"/>
          <w:szCs w:val="22"/>
          <w:lang w:eastAsia="en-US"/>
        </w:rPr>
        <w:t>park safety at Melbourne Museum</w:t>
      </w:r>
    </w:p>
    <w:p w14:paraId="7C3C1BA4" w14:textId="0C023A72" w:rsidR="00BA2CA4" w:rsidRPr="00BA2CA4" w:rsidRDefault="00BA2CA4" w:rsidP="00BA2CA4">
      <w:pPr>
        <w:numPr>
          <w:ilvl w:val="0"/>
          <w:numId w:val="7"/>
        </w:numPr>
        <w:contextualSpacing/>
        <w:rPr>
          <w:rFonts w:eastAsiaTheme="minorHAnsi" w:cs="Arial"/>
          <w:szCs w:val="22"/>
          <w:lang w:eastAsia="en-US"/>
        </w:rPr>
      </w:pPr>
      <w:r w:rsidRPr="00BA2CA4">
        <w:rPr>
          <w:rFonts w:eastAsiaTheme="minorHAnsi" w:cs="Arial"/>
          <w:szCs w:val="22"/>
          <w:lang w:eastAsia="en-US"/>
        </w:rPr>
        <w:t>enhancements to workers</w:t>
      </w:r>
      <w:r w:rsidR="00737BB4">
        <w:rPr>
          <w:rFonts w:eastAsiaTheme="minorHAnsi" w:cs="Arial"/>
          <w:szCs w:val="22"/>
          <w:lang w:eastAsia="en-US"/>
        </w:rPr>
        <w:t>’</w:t>
      </w:r>
      <w:r w:rsidRPr="00BA2CA4">
        <w:rPr>
          <w:rFonts w:eastAsiaTheme="minorHAnsi" w:cs="Arial"/>
          <w:szCs w:val="22"/>
          <w:lang w:eastAsia="en-US"/>
        </w:rPr>
        <w:t xml:space="preserve"> compensation</w:t>
      </w:r>
      <w:r w:rsidR="00737BB4">
        <w:rPr>
          <w:rFonts w:eastAsiaTheme="minorHAnsi" w:cs="Arial"/>
          <w:szCs w:val="22"/>
          <w:lang w:eastAsia="en-US"/>
        </w:rPr>
        <w:t>-</w:t>
      </w:r>
      <w:r w:rsidRPr="00BA2CA4">
        <w:rPr>
          <w:rFonts w:eastAsiaTheme="minorHAnsi" w:cs="Arial"/>
          <w:szCs w:val="22"/>
          <w:lang w:eastAsia="en-US"/>
        </w:rPr>
        <w:t>claim processes, including improvements in injury ma</w:t>
      </w:r>
      <w:r w:rsidR="00727740">
        <w:rPr>
          <w:rFonts w:eastAsiaTheme="minorHAnsi" w:cs="Arial"/>
          <w:szCs w:val="22"/>
          <w:lang w:eastAsia="en-US"/>
        </w:rPr>
        <w:t>nagement and early intervention</w:t>
      </w:r>
    </w:p>
    <w:p w14:paraId="28FD63FB" w14:textId="26D1BAB7" w:rsidR="00BA2CA4" w:rsidRPr="00BA2CA4" w:rsidRDefault="00BA2CA4" w:rsidP="00BA2CA4">
      <w:pPr>
        <w:numPr>
          <w:ilvl w:val="0"/>
          <w:numId w:val="7"/>
        </w:numPr>
        <w:ind w:left="357" w:hanging="357"/>
        <w:contextualSpacing/>
        <w:rPr>
          <w:rFonts w:ascii="Calibri" w:eastAsiaTheme="minorHAnsi" w:hAnsi="Calibri" w:cs="Arial"/>
          <w:szCs w:val="22"/>
          <w:lang w:eastAsia="en-US"/>
        </w:rPr>
      </w:pPr>
      <w:r w:rsidRPr="00BA2CA4">
        <w:rPr>
          <w:rFonts w:eastAsiaTheme="minorHAnsi" w:cs="Arial"/>
          <w:szCs w:val="22"/>
          <w:lang w:eastAsia="en-US"/>
        </w:rPr>
        <w:t>commissioning a strategic review of health and safety across Museum Victoria</w:t>
      </w:r>
    </w:p>
    <w:p w14:paraId="16564207" w14:textId="42CBE5F5" w:rsidR="00BA2CA4" w:rsidRPr="00395810" w:rsidRDefault="00116056" w:rsidP="00BA2CA4">
      <w:pPr>
        <w:numPr>
          <w:ilvl w:val="0"/>
          <w:numId w:val="7"/>
        </w:numPr>
        <w:ind w:left="357" w:hanging="357"/>
        <w:contextualSpacing/>
        <w:rPr>
          <w:rFonts w:ascii="Calibri" w:eastAsiaTheme="minorHAnsi" w:hAnsi="Calibri" w:cs="Arial"/>
          <w:szCs w:val="22"/>
          <w:lang w:eastAsia="en-US"/>
        </w:rPr>
      </w:pPr>
      <w:r w:rsidRPr="00DE1B1B">
        <w:t xml:space="preserve">completion of the Roadmap for Safely Managing Hazardous Substances in Collections, </w:t>
      </w:r>
      <w:r w:rsidR="00E43775" w:rsidRPr="00DE1B1B">
        <w:t>which achieved significant improvements in hazard identification, risk assessment and hazard management and elimination. T</w:t>
      </w:r>
      <w:r w:rsidRPr="00DE1B1B">
        <w:t xml:space="preserve">he implementation of </w:t>
      </w:r>
      <w:r w:rsidR="00E43775" w:rsidRPr="00DE1B1B">
        <w:t>this project</w:t>
      </w:r>
      <w:r w:rsidRPr="00DE1B1B">
        <w:t xml:space="preserve"> has resulted in Museum Victoria being recognised as an industry leader in this field.</w:t>
      </w:r>
    </w:p>
    <w:p w14:paraId="39501181" w14:textId="77777777" w:rsidR="00395810" w:rsidRPr="00727740" w:rsidRDefault="00395810" w:rsidP="00395810">
      <w:pPr>
        <w:ind w:left="357"/>
        <w:contextualSpacing/>
        <w:rPr>
          <w:rFonts w:ascii="Calibri" w:eastAsiaTheme="minorHAnsi" w:hAnsi="Calibri" w:cs="Arial"/>
          <w:szCs w:val="22"/>
          <w:lang w:eastAsia="en-US"/>
        </w:rPr>
      </w:pPr>
    </w:p>
    <w:p w14:paraId="744A3215" w14:textId="3BA4170C" w:rsidR="00BA2CA4" w:rsidRDefault="00BA2CA4" w:rsidP="00BA2CA4">
      <w:pPr>
        <w:rPr>
          <w:rFonts w:cs="Arial"/>
        </w:rPr>
      </w:pPr>
      <w:r w:rsidRPr="00BA2CA4">
        <w:rPr>
          <w:rFonts w:cs="Arial"/>
        </w:rPr>
        <w:t xml:space="preserve">Museum Victoria’s Health and Safety Committee continued to meet regularly and to provide advice and direction on </w:t>
      </w:r>
      <w:r w:rsidR="0017394E">
        <w:rPr>
          <w:rFonts w:cs="Arial"/>
        </w:rPr>
        <w:t>safety procedures and practice.</w:t>
      </w:r>
    </w:p>
    <w:p w14:paraId="4FBC4C57" w14:textId="77777777" w:rsidR="00395810" w:rsidRPr="0017394E" w:rsidRDefault="00395810" w:rsidP="00BA2CA4">
      <w:pPr>
        <w:rPr>
          <w:rFonts w:cs="Arial"/>
        </w:rPr>
      </w:pPr>
    </w:p>
    <w:p w14:paraId="00476E9C" w14:textId="77777777" w:rsidR="00BA2CA4" w:rsidRPr="004927DC" w:rsidRDefault="00BA2CA4" w:rsidP="004927DC">
      <w:pPr>
        <w:pStyle w:val="Heading3"/>
      </w:pPr>
      <w:r w:rsidRPr="004927DC">
        <w:t>Increasing Revenue Diversity</w:t>
      </w:r>
    </w:p>
    <w:p w14:paraId="6DC6E932" w14:textId="0C6FDE9A" w:rsidR="00BA2CA4" w:rsidRPr="00BA2CA4" w:rsidRDefault="00BA2CA4" w:rsidP="00BA2CA4">
      <w:r w:rsidRPr="00BA2CA4">
        <w:t>The</w:t>
      </w:r>
      <w:r w:rsidRPr="00BA2CA4">
        <w:rPr>
          <w:b/>
          <w:bCs/>
        </w:rPr>
        <w:t xml:space="preserve"> </w:t>
      </w:r>
      <w:r w:rsidR="00C83A84" w:rsidRPr="000720D0">
        <w:rPr>
          <w:bCs/>
        </w:rPr>
        <w:t>newly launched</w:t>
      </w:r>
      <w:r w:rsidR="00C83A84">
        <w:rPr>
          <w:b/>
          <w:bCs/>
        </w:rPr>
        <w:t xml:space="preserve"> </w:t>
      </w:r>
      <w:r w:rsidRPr="00BA2CA4">
        <w:rPr>
          <w:bCs/>
        </w:rPr>
        <w:t>Museum Victoria Patrons Circle</w:t>
      </w:r>
      <w:r w:rsidRPr="00BA2CA4">
        <w:t xml:space="preserve"> is designed to recognise </w:t>
      </w:r>
      <w:r w:rsidR="0071076F">
        <w:t xml:space="preserve">individual </w:t>
      </w:r>
      <w:r w:rsidRPr="00BA2CA4">
        <w:t xml:space="preserve">donors who give </w:t>
      </w:r>
      <w:r w:rsidR="00976BF5">
        <w:t>more than</w:t>
      </w:r>
      <w:r w:rsidR="00976BF5" w:rsidRPr="00BA2CA4">
        <w:t xml:space="preserve"> </w:t>
      </w:r>
      <w:r w:rsidRPr="00BA2CA4">
        <w:t xml:space="preserve">$1000 in the preceding financial year. </w:t>
      </w:r>
      <w:r w:rsidR="0071076F">
        <w:t>This year, 17</w:t>
      </w:r>
      <w:r w:rsidRPr="00BA2CA4">
        <w:t xml:space="preserve"> </w:t>
      </w:r>
      <w:r w:rsidR="00C83A84">
        <w:t>p</w:t>
      </w:r>
      <w:r w:rsidRPr="00BA2CA4">
        <w:t xml:space="preserve">atrons gave </w:t>
      </w:r>
      <w:r w:rsidR="00C83A84">
        <w:t>more than</w:t>
      </w:r>
      <w:r w:rsidR="00C83A84" w:rsidRPr="00BA2CA4">
        <w:t xml:space="preserve"> </w:t>
      </w:r>
      <w:r w:rsidRPr="00BA2CA4">
        <w:t>$</w:t>
      </w:r>
      <w:r w:rsidR="0071076F">
        <w:t>1</w:t>
      </w:r>
      <w:r w:rsidR="00732BD0">
        <w:t>27</w:t>
      </w:r>
      <w:r w:rsidR="0071076F">
        <w:t>,000 to projects and activities across our museums</w:t>
      </w:r>
      <w:r w:rsidR="004927DC">
        <w:t>.</w:t>
      </w:r>
    </w:p>
    <w:p w14:paraId="02ED0A6B" w14:textId="77777777" w:rsidR="00BA2CA4" w:rsidRPr="00BA2CA4" w:rsidRDefault="00BA2CA4" w:rsidP="00BA2CA4"/>
    <w:p w14:paraId="0233CEBF" w14:textId="77777777" w:rsidR="0071076F" w:rsidRPr="00BA2CA4" w:rsidRDefault="0071076F" w:rsidP="0071076F">
      <w:r>
        <w:t xml:space="preserve">These included gifts towards our Supporting Diversity fund, established in honour of the Hon. Joan Kirner AC, which supported career development activities for two female members of the Museum Victoria team. A gift </w:t>
      </w:r>
      <w:r w:rsidRPr="00BA2CA4">
        <w:t xml:space="preserve">from the Twycross </w:t>
      </w:r>
      <w:r>
        <w:t>f</w:t>
      </w:r>
      <w:r w:rsidRPr="00BA2CA4">
        <w:t xml:space="preserve">amily </w:t>
      </w:r>
      <w:r>
        <w:t>for</w:t>
      </w:r>
      <w:r w:rsidRPr="00BA2CA4">
        <w:t xml:space="preserve"> the Royal Exhibition Building </w:t>
      </w:r>
      <w:r>
        <w:t>P</w:t>
      </w:r>
      <w:r w:rsidRPr="00BA2CA4">
        <w:t xml:space="preserve">rotection and </w:t>
      </w:r>
      <w:r>
        <w:t>P</w:t>
      </w:r>
      <w:r w:rsidRPr="00BA2CA4">
        <w:t xml:space="preserve">romotion </w:t>
      </w:r>
      <w:r>
        <w:t>Project, and from a</w:t>
      </w:r>
      <w:r w:rsidRPr="00BA2CA4">
        <w:t xml:space="preserve"> </w:t>
      </w:r>
      <w:r>
        <w:t>t</w:t>
      </w:r>
      <w:r w:rsidRPr="00BA2CA4">
        <w:t>rust named in memory of</w:t>
      </w:r>
      <w:r>
        <w:t xml:space="preserve"> </w:t>
      </w:r>
      <w:r w:rsidRPr="00BA2CA4">
        <w:t>long-serving Scienceworks volunteer Piers K</w:t>
      </w:r>
      <w:r>
        <w:t>.</w:t>
      </w:r>
      <w:r w:rsidRPr="00BA2CA4">
        <w:t xml:space="preserve"> Fowler</w:t>
      </w:r>
      <w:r>
        <w:t xml:space="preserve">, provided continued support for exhibition redevelopment. </w:t>
      </w:r>
    </w:p>
    <w:p w14:paraId="7CB1B9D4" w14:textId="77777777" w:rsidR="00BA2CA4" w:rsidRPr="00BA2CA4" w:rsidRDefault="00BA2CA4" w:rsidP="00BA2CA4">
      <w:pPr>
        <w:rPr>
          <w:b/>
          <w:bCs/>
        </w:rPr>
      </w:pPr>
    </w:p>
    <w:p w14:paraId="3F705E5B" w14:textId="7BC7F01F" w:rsidR="00BA2CA4" w:rsidRPr="00BA2CA4" w:rsidRDefault="00BA2CA4" w:rsidP="00BA2CA4">
      <w:r w:rsidRPr="00BA2CA4">
        <w:t xml:space="preserve">This year’s </w:t>
      </w:r>
      <w:r w:rsidRPr="00BA2CA4">
        <w:rPr>
          <w:bCs/>
        </w:rPr>
        <w:t xml:space="preserve">I </w:t>
      </w:r>
      <w:r w:rsidR="00C83A84">
        <w:rPr>
          <w:bCs/>
        </w:rPr>
        <w:t>W</w:t>
      </w:r>
      <w:r w:rsidRPr="00BA2CA4">
        <w:rPr>
          <w:bCs/>
        </w:rPr>
        <w:t xml:space="preserve">ant to </w:t>
      </w:r>
      <w:r w:rsidR="00C83A84">
        <w:rPr>
          <w:bCs/>
        </w:rPr>
        <w:t>G</w:t>
      </w:r>
      <w:r w:rsidRPr="00BA2CA4">
        <w:rPr>
          <w:bCs/>
        </w:rPr>
        <w:t xml:space="preserve">o to the Museum </w:t>
      </w:r>
      <w:r w:rsidR="00976BF5">
        <w:rPr>
          <w:bCs/>
        </w:rPr>
        <w:t>a</w:t>
      </w:r>
      <w:r w:rsidRPr="00BA2CA4">
        <w:rPr>
          <w:bCs/>
        </w:rPr>
        <w:t>ppeal</w:t>
      </w:r>
      <w:r w:rsidRPr="00BA2CA4">
        <w:t xml:space="preserve"> was the first to incorporate mail, email, social media and telephone approaches to the Museum Victoria community. </w:t>
      </w:r>
      <w:r w:rsidR="0071076F">
        <w:t xml:space="preserve">More than </w:t>
      </w:r>
      <w:r w:rsidRPr="00BA2CA4">
        <w:t>$</w:t>
      </w:r>
      <w:r w:rsidR="0071076F">
        <w:t>36,000</w:t>
      </w:r>
      <w:r w:rsidRPr="00BA2CA4">
        <w:t xml:space="preserve"> was raised from a total of </w:t>
      </w:r>
      <w:r w:rsidR="0071076F">
        <w:t>35</w:t>
      </w:r>
      <w:r w:rsidR="00F04B18">
        <w:t>1</w:t>
      </w:r>
      <w:r w:rsidRPr="00BA2CA4">
        <w:t xml:space="preserve"> donors. The funds will </w:t>
      </w:r>
      <w:r w:rsidR="00FA72E6">
        <w:t>help</w:t>
      </w:r>
      <w:r w:rsidRPr="00BA2CA4">
        <w:t xml:space="preserve"> a range of programs that </w:t>
      </w:r>
      <w:r w:rsidR="00245DAD">
        <w:t xml:space="preserve">support </w:t>
      </w:r>
      <w:r w:rsidR="0071076F">
        <w:t>children, young people and families to visit and experience our museums.</w:t>
      </w:r>
    </w:p>
    <w:p w14:paraId="01E28572" w14:textId="77777777" w:rsidR="00E43775" w:rsidRPr="00BA2CA4" w:rsidRDefault="00E43775" w:rsidP="00BA2CA4">
      <w:pPr>
        <w:rPr>
          <w:b/>
          <w:bCs/>
        </w:rPr>
      </w:pPr>
    </w:p>
    <w:p w14:paraId="47F5ED50" w14:textId="1A61E49C" w:rsidR="00BA2CA4" w:rsidRPr="00BA2CA4" w:rsidRDefault="00BA2CA4" w:rsidP="00BA2CA4">
      <w:r w:rsidRPr="00BA2CA4">
        <w:t>Our annual Thank</w:t>
      </w:r>
      <w:r w:rsidR="00FA72E6">
        <w:t xml:space="preserve"> </w:t>
      </w:r>
      <w:r w:rsidRPr="00BA2CA4">
        <w:t xml:space="preserve">You </w:t>
      </w:r>
      <w:r w:rsidR="00FA72E6">
        <w:t>e</w:t>
      </w:r>
      <w:r w:rsidRPr="00BA2CA4">
        <w:t>vent</w:t>
      </w:r>
      <w:r w:rsidR="00FA72E6">
        <w:t xml:space="preserve"> for supporters</w:t>
      </w:r>
      <w:r w:rsidRPr="00BA2CA4">
        <w:t xml:space="preserve"> was held in February </w:t>
      </w:r>
      <w:r w:rsidR="00FA72E6">
        <w:t>at</w:t>
      </w:r>
      <w:r w:rsidR="00FA72E6" w:rsidRPr="00BA2CA4">
        <w:t xml:space="preserve"> </w:t>
      </w:r>
      <w:r w:rsidRPr="00BA2CA4">
        <w:t xml:space="preserve">the Royal Exhibition Building. </w:t>
      </w:r>
      <w:r w:rsidR="00FA72E6">
        <w:t>T</w:t>
      </w:r>
      <w:r w:rsidRPr="00BA2CA4">
        <w:t xml:space="preserve">o recognise and thank </w:t>
      </w:r>
      <w:r w:rsidR="0071076F">
        <w:t>our</w:t>
      </w:r>
      <w:r w:rsidR="0071076F" w:rsidRPr="00BA2CA4">
        <w:t xml:space="preserve"> </w:t>
      </w:r>
      <w:r w:rsidRPr="00BA2CA4">
        <w:t xml:space="preserve">ongoing supporters, </w:t>
      </w:r>
      <w:r w:rsidR="00FA72E6" w:rsidRPr="00BA2CA4">
        <w:t xml:space="preserve">Museum Victoria </w:t>
      </w:r>
      <w:r w:rsidR="00FA72E6">
        <w:t xml:space="preserve">gave </w:t>
      </w:r>
      <w:r w:rsidRPr="00BA2CA4">
        <w:t xml:space="preserve">guests a tour of the </w:t>
      </w:r>
      <w:r w:rsidR="001F067A">
        <w:t xml:space="preserve">World </w:t>
      </w:r>
      <w:r w:rsidRPr="00BA2CA4">
        <w:t>Heritage</w:t>
      </w:r>
      <w:r w:rsidR="001F067A">
        <w:rPr>
          <w:rFonts w:cs="Arial"/>
        </w:rPr>
        <w:t>–</w:t>
      </w:r>
      <w:r w:rsidRPr="00BA2CA4">
        <w:t xml:space="preserve">listed building, an introduction to the </w:t>
      </w:r>
      <w:r w:rsidR="001F067A">
        <w:t>p</w:t>
      </w:r>
      <w:r w:rsidRPr="00BA2CA4">
        <w:t>al</w:t>
      </w:r>
      <w:r w:rsidR="00FA72E6">
        <w:t>a</w:t>
      </w:r>
      <w:r w:rsidRPr="00BA2CA4">
        <w:t xml:space="preserve">eontological collections held in the basement and </w:t>
      </w:r>
      <w:r w:rsidR="00FA72E6">
        <w:t>the</w:t>
      </w:r>
      <w:r w:rsidR="00FA72E6" w:rsidRPr="00BA2CA4">
        <w:t xml:space="preserve"> </w:t>
      </w:r>
      <w:r w:rsidRPr="00BA2CA4">
        <w:t>opportunity to learn about the bui</w:t>
      </w:r>
      <w:r w:rsidR="004927DC">
        <w:t>lding’s upcoming redevelopment.</w:t>
      </w:r>
    </w:p>
    <w:p w14:paraId="409DFDFD" w14:textId="68D28E8B" w:rsidR="00BA2CA4" w:rsidRPr="00BA2CA4" w:rsidRDefault="00BA2CA4" w:rsidP="00BA2CA4"/>
    <w:p w14:paraId="0825AA48" w14:textId="6D348CE0" w:rsidR="00BA2CA4" w:rsidRDefault="00BA2CA4" w:rsidP="00BA2CA4">
      <w:pPr>
        <w:rPr>
          <w:rFonts w:cs="Arial"/>
        </w:rPr>
      </w:pPr>
      <w:r w:rsidRPr="00BA2CA4">
        <w:rPr>
          <w:rFonts w:cs="Arial"/>
        </w:rPr>
        <w:t xml:space="preserve">An event was held to mark the 10th </w:t>
      </w:r>
      <w:r w:rsidR="00FA72E6">
        <w:rPr>
          <w:rFonts w:cs="Arial"/>
        </w:rPr>
        <w:t>a</w:t>
      </w:r>
      <w:r w:rsidRPr="00BA2CA4">
        <w:rPr>
          <w:rFonts w:cs="Arial"/>
        </w:rPr>
        <w:t>nniversary of Museum Victoria’s acquisition of the Kodak Heritage Collection</w:t>
      </w:r>
      <w:r w:rsidR="00FA72E6">
        <w:rPr>
          <w:rFonts w:cs="Arial"/>
        </w:rPr>
        <w:t>. This also</w:t>
      </w:r>
      <w:r w:rsidRPr="00BA2CA4">
        <w:rPr>
          <w:rFonts w:cs="Arial"/>
        </w:rPr>
        <w:t xml:space="preserve"> </w:t>
      </w:r>
      <w:r w:rsidR="00FA72E6">
        <w:rPr>
          <w:rFonts w:cs="Arial"/>
        </w:rPr>
        <w:t xml:space="preserve">recognised </w:t>
      </w:r>
      <w:r w:rsidRPr="00BA2CA4">
        <w:rPr>
          <w:rFonts w:cs="Arial"/>
        </w:rPr>
        <w:t xml:space="preserve">the support </w:t>
      </w:r>
      <w:r w:rsidR="00FA72E6">
        <w:rPr>
          <w:rFonts w:cs="Arial"/>
        </w:rPr>
        <w:t>of</w:t>
      </w:r>
      <w:r w:rsidRPr="00BA2CA4">
        <w:rPr>
          <w:rFonts w:cs="Arial"/>
        </w:rPr>
        <w:t xml:space="preserve"> the Baker Foundation </w:t>
      </w:r>
      <w:r w:rsidR="00FA72E6">
        <w:rPr>
          <w:rFonts w:cs="Arial"/>
        </w:rPr>
        <w:t>in</w:t>
      </w:r>
      <w:r w:rsidR="00FA72E6" w:rsidRPr="00BA2CA4">
        <w:rPr>
          <w:rFonts w:cs="Arial"/>
        </w:rPr>
        <w:t xml:space="preserve"> </w:t>
      </w:r>
      <w:r w:rsidR="00FA72E6">
        <w:rPr>
          <w:rFonts w:cs="Arial"/>
        </w:rPr>
        <w:t>the collection’s</w:t>
      </w:r>
      <w:r w:rsidR="00FA72E6" w:rsidRPr="00BA2CA4">
        <w:rPr>
          <w:rFonts w:cs="Arial"/>
        </w:rPr>
        <w:t xml:space="preserve"> </w:t>
      </w:r>
      <w:r w:rsidR="004927DC">
        <w:rPr>
          <w:rFonts w:cs="Arial"/>
        </w:rPr>
        <w:t>ongoing conservation.</w:t>
      </w:r>
    </w:p>
    <w:p w14:paraId="3490C6FB" w14:textId="77777777" w:rsidR="00E43775" w:rsidRPr="00BA2CA4" w:rsidRDefault="00E43775" w:rsidP="00BA2CA4">
      <w:pPr>
        <w:rPr>
          <w:rFonts w:cs="Arial"/>
        </w:rPr>
      </w:pPr>
    </w:p>
    <w:p w14:paraId="781F493B" w14:textId="4DCFB93F" w:rsidR="00BA2CA4" w:rsidRPr="00BA2CA4" w:rsidRDefault="00BA2CA4" w:rsidP="00BA2CA4">
      <w:pPr>
        <w:rPr>
          <w:rFonts w:cs="Arial"/>
        </w:rPr>
      </w:pPr>
      <w:r w:rsidRPr="00BA2CA4">
        <w:rPr>
          <w:rFonts w:cs="Arial"/>
        </w:rPr>
        <w:t xml:space="preserve">Museum Victoria engaged with a wide range of corporations during the year and secured </w:t>
      </w:r>
      <w:r w:rsidR="00FA72E6">
        <w:rPr>
          <w:rFonts w:cs="Arial"/>
        </w:rPr>
        <w:t xml:space="preserve">many </w:t>
      </w:r>
      <w:r w:rsidRPr="00BA2CA4">
        <w:rPr>
          <w:rFonts w:cs="Arial"/>
        </w:rPr>
        <w:t>partners</w:t>
      </w:r>
      <w:r w:rsidR="00FA72E6">
        <w:rPr>
          <w:rFonts w:cs="Arial"/>
        </w:rPr>
        <w:t>, who</w:t>
      </w:r>
      <w:r w:rsidRPr="00BA2CA4">
        <w:rPr>
          <w:rFonts w:cs="Arial"/>
        </w:rPr>
        <w:t xml:space="preserve"> have provided valuable promotional and financial </w:t>
      </w:r>
      <w:r w:rsidRPr="00BA2CA4">
        <w:rPr>
          <w:rFonts w:cs="Arial"/>
        </w:rPr>
        <w:lastRenderedPageBreak/>
        <w:t xml:space="preserve">support. Virgin Australia joined as </w:t>
      </w:r>
      <w:r w:rsidR="00FA72E6">
        <w:rPr>
          <w:rFonts w:cs="Arial"/>
        </w:rPr>
        <w:t>the o</w:t>
      </w:r>
      <w:r w:rsidRPr="00BA2CA4">
        <w:rPr>
          <w:rFonts w:cs="Arial"/>
        </w:rPr>
        <w:t xml:space="preserve">fficial </w:t>
      </w:r>
      <w:r w:rsidR="00FA72E6">
        <w:rPr>
          <w:rFonts w:cs="Arial"/>
        </w:rPr>
        <w:t>a</w:t>
      </w:r>
      <w:r w:rsidRPr="00BA2CA4">
        <w:rPr>
          <w:rFonts w:cs="Arial"/>
        </w:rPr>
        <w:t xml:space="preserve">irline </w:t>
      </w:r>
      <w:r w:rsidR="00FA72E6">
        <w:rPr>
          <w:rFonts w:cs="Arial"/>
        </w:rPr>
        <w:t>p</w:t>
      </w:r>
      <w:r w:rsidRPr="00BA2CA4">
        <w:rPr>
          <w:rFonts w:cs="Arial"/>
        </w:rPr>
        <w:t xml:space="preserve">artner for </w:t>
      </w:r>
      <w:r w:rsidRPr="00BA2CA4">
        <w:rPr>
          <w:rFonts w:cs="Arial"/>
          <w:i/>
        </w:rPr>
        <w:t>Jurassic World: The Exhibition</w:t>
      </w:r>
      <w:r w:rsidR="00FA72E6">
        <w:rPr>
          <w:rFonts w:cs="Arial"/>
        </w:rPr>
        <w:t xml:space="preserve">; this </w:t>
      </w:r>
      <w:r w:rsidR="00F70F25">
        <w:rPr>
          <w:rFonts w:cs="Arial"/>
        </w:rPr>
        <w:t xml:space="preserve">key partner </w:t>
      </w:r>
      <w:r w:rsidR="00FA72E6">
        <w:rPr>
          <w:rFonts w:cs="Arial"/>
        </w:rPr>
        <w:t>represents</w:t>
      </w:r>
      <w:r w:rsidRPr="00BA2CA4">
        <w:rPr>
          <w:rFonts w:cs="Arial"/>
        </w:rPr>
        <w:t xml:space="preserve"> the largest sponsorship Museum</w:t>
      </w:r>
      <w:r w:rsidR="00976BF5">
        <w:rPr>
          <w:rFonts w:cs="Arial"/>
        </w:rPr>
        <w:t xml:space="preserve"> Victoria</w:t>
      </w:r>
      <w:r w:rsidRPr="00BA2CA4">
        <w:rPr>
          <w:rFonts w:cs="Arial"/>
        </w:rPr>
        <w:t xml:space="preserve"> has received for an international touring exhibition. Other promotional partners </w:t>
      </w:r>
      <w:r w:rsidR="00F70F25">
        <w:rPr>
          <w:rFonts w:cs="Arial"/>
        </w:rPr>
        <w:t>are</w:t>
      </w:r>
      <w:r w:rsidR="00F70F25" w:rsidRPr="00BA2CA4">
        <w:rPr>
          <w:rFonts w:cs="Arial"/>
        </w:rPr>
        <w:t xml:space="preserve"> </w:t>
      </w:r>
      <w:r w:rsidRPr="00BA2CA4">
        <w:rPr>
          <w:rFonts w:cs="Arial"/>
        </w:rPr>
        <w:t>VLine, Yarra Trams, City of Melbourne and Mantra Group.</w:t>
      </w:r>
    </w:p>
    <w:p w14:paraId="2C4C030A" w14:textId="77777777" w:rsidR="003E5B2D" w:rsidRDefault="003E5B2D" w:rsidP="003E5B2D"/>
    <w:p w14:paraId="5AB726C2" w14:textId="67C86711" w:rsidR="003E5B2D" w:rsidRPr="002521F4" w:rsidRDefault="003E5B2D" w:rsidP="003E5B2D">
      <w:r w:rsidRPr="002521F4">
        <w:t>Museum Victoria signed a relationship agreement with Rio Tinto Services Ltd</w:t>
      </w:r>
      <w:r w:rsidR="00F70F25">
        <w:t>.</w:t>
      </w:r>
      <w:r w:rsidRPr="002521F4">
        <w:t xml:space="preserve"> </w:t>
      </w:r>
      <w:r w:rsidR="00F70F25">
        <w:t>T</w:t>
      </w:r>
      <w:r w:rsidRPr="002521F4">
        <w:t xml:space="preserve">he Rio Tinto Innovation Fund provides funding for the next five years </w:t>
      </w:r>
      <w:r>
        <w:t>for</w:t>
      </w:r>
      <w:r w:rsidRPr="002521F4">
        <w:t xml:space="preserve"> </w:t>
      </w:r>
      <w:r w:rsidR="00F70F25">
        <w:t>the m</w:t>
      </w:r>
      <w:r w:rsidRPr="002521F4">
        <w:t>useum to continue invest</w:t>
      </w:r>
      <w:r w:rsidR="00F70F25">
        <w:t>ing</w:t>
      </w:r>
      <w:r w:rsidRPr="002521F4">
        <w:t xml:space="preserve"> in innovative research, exhibits, online projects and education programs.</w:t>
      </w:r>
    </w:p>
    <w:p w14:paraId="634944A8" w14:textId="77777777" w:rsidR="00BA2CA4" w:rsidRPr="00BA2CA4" w:rsidRDefault="00BA2CA4" w:rsidP="00BA2CA4">
      <w:pPr>
        <w:rPr>
          <w:rFonts w:cs="Arial"/>
        </w:rPr>
      </w:pPr>
    </w:p>
    <w:p w14:paraId="32A8EC7B" w14:textId="1584ECD9" w:rsidR="00395810" w:rsidRPr="0017394E" w:rsidRDefault="00BA2CA4" w:rsidP="00BA2CA4">
      <w:pPr>
        <w:rPr>
          <w:rFonts w:cs="Arial"/>
          <w:i/>
        </w:rPr>
      </w:pPr>
      <w:r w:rsidRPr="00BA2CA4">
        <w:rPr>
          <w:rFonts w:cs="Arial"/>
        </w:rPr>
        <w:t>In June</w:t>
      </w:r>
      <w:r w:rsidR="00E43775">
        <w:rPr>
          <w:rFonts w:cs="Arial"/>
        </w:rPr>
        <w:t>,</w:t>
      </w:r>
      <w:r w:rsidRPr="00BA2CA4">
        <w:rPr>
          <w:rFonts w:cs="Arial"/>
        </w:rPr>
        <w:t xml:space="preserve"> Melbourne Museum partnered with international peer-to-peer e</w:t>
      </w:r>
      <w:r w:rsidR="00FC4DD4">
        <w:rPr>
          <w:rFonts w:cs="Arial"/>
        </w:rPr>
        <w:t>-</w:t>
      </w:r>
      <w:r w:rsidRPr="00BA2CA4">
        <w:rPr>
          <w:rFonts w:cs="Arial"/>
        </w:rPr>
        <w:t>commerce site Etsy</w:t>
      </w:r>
      <w:r w:rsidR="00FC4DD4">
        <w:rPr>
          <w:rFonts w:cs="Arial"/>
        </w:rPr>
        <w:t>. It</w:t>
      </w:r>
      <w:r w:rsidRPr="00BA2CA4">
        <w:rPr>
          <w:rFonts w:cs="Arial"/>
        </w:rPr>
        <w:t xml:space="preserve"> asked a </w:t>
      </w:r>
      <w:r w:rsidR="00FC4DD4">
        <w:rPr>
          <w:rFonts w:cs="Arial"/>
        </w:rPr>
        <w:t>selection</w:t>
      </w:r>
      <w:r w:rsidRPr="00BA2CA4">
        <w:rPr>
          <w:rFonts w:cs="Arial"/>
        </w:rPr>
        <w:t xml:space="preserve"> of local and national designers to create art and crafts inspired by the exhibition </w:t>
      </w:r>
      <w:r w:rsidRPr="00BA2CA4">
        <w:rPr>
          <w:rFonts w:cs="Arial"/>
          <w:i/>
        </w:rPr>
        <w:t>Wild: Amazi</w:t>
      </w:r>
      <w:r w:rsidR="004927DC">
        <w:rPr>
          <w:rFonts w:cs="Arial"/>
          <w:i/>
        </w:rPr>
        <w:t>ng Animals in a Changing World.</w:t>
      </w:r>
    </w:p>
    <w:p w14:paraId="277F0338" w14:textId="77777777" w:rsidR="00395810" w:rsidRDefault="00395810" w:rsidP="0094180C"/>
    <w:p w14:paraId="7359E1B1" w14:textId="77777777" w:rsidR="00BA2CA4" w:rsidRPr="00BA2CA4" w:rsidRDefault="00BA2CA4" w:rsidP="004927DC">
      <w:pPr>
        <w:pStyle w:val="Heading3"/>
      </w:pPr>
      <w:r w:rsidRPr="00BA2CA4">
        <w:t>Integrating Business Systems</w:t>
      </w:r>
    </w:p>
    <w:p w14:paraId="5A342C6D" w14:textId="2114F9DC" w:rsidR="00BA2CA4" w:rsidRDefault="00FA2195" w:rsidP="0017394E">
      <w:r w:rsidRPr="00BA2CA4">
        <w:t xml:space="preserve">The consolidation of IMAX </w:t>
      </w:r>
      <w:r w:rsidR="002268CD">
        <w:t>e</w:t>
      </w:r>
      <w:r w:rsidRPr="00BA2CA4">
        <w:t xml:space="preserve">ducation bookings with the central </w:t>
      </w:r>
      <w:r w:rsidR="002268CD">
        <w:t>b</w:t>
      </w:r>
      <w:r w:rsidRPr="00BA2CA4">
        <w:t>ookings office has enabled a more efficient booking process for teachers and provides a</w:t>
      </w:r>
      <w:r w:rsidR="002268CD">
        <w:t xml:space="preserve">nother </w:t>
      </w:r>
      <w:r w:rsidRPr="00BA2CA4">
        <w:t>platform to cross</w:t>
      </w:r>
      <w:r w:rsidR="002268CD">
        <w:t>-</w:t>
      </w:r>
      <w:r w:rsidRPr="00BA2CA4">
        <w:t>promote educational offerings across venues.</w:t>
      </w:r>
    </w:p>
    <w:p w14:paraId="6BF5117E" w14:textId="77777777" w:rsidR="00AA1D8D" w:rsidRPr="0017394E" w:rsidRDefault="00AA1D8D" w:rsidP="009E51A8"/>
    <w:p w14:paraId="1E992572" w14:textId="77777777" w:rsidR="00BA2CA4" w:rsidRPr="00BA2CA4" w:rsidRDefault="00BA2CA4" w:rsidP="004927DC">
      <w:pPr>
        <w:pStyle w:val="Heading3"/>
      </w:pPr>
      <w:r w:rsidRPr="00BA2CA4">
        <w:t>Accountability for Resources</w:t>
      </w:r>
    </w:p>
    <w:p w14:paraId="13B84090" w14:textId="28599896" w:rsidR="00BA2CA4" w:rsidRPr="00BA2CA4" w:rsidRDefault="00BA2CA4" w:rsidP="00BA2CA4">
      <w:r w:rsidRPr="00BA2CA4">
        <w:t xml:space="preserve">Museum Victoria entered into a contract with Siemens </w:t>
      </w:r>
      <w:r w:rsidR="006D31BC">
        <w:t>to</w:t>
      </w:r>
      <w:r w:rsidR="006D31BC" w:rsidRPr="00BA2CA4">
        <w:t xml:space="preserve"> </w:t>
      </w:r>
      <w:r w:rsidRPr="00BA2CA4">
        <w:t>complete a detailed facility study for the delivery of an energy</w:t>
      </w:r>
      <w:r w:rsidR="006D31BC">
        <w:t>-</w:t>
      </w:r>
      <w:r w:rsidRPr="00BA2CA4">
        <w:t>efficiency program across all venues. Th</w:t>
      </w:r>
      <w:r w:rsidR="002268CD">
        <w:t>e</w:t>
      </w:r>
      <w:r w:rsidRPr="00BA2CA4">
        <w:t xml:space="preserve"> </w:t>
      </w:r>
      <w:r w:rsidR="006D31BC">
        <w:t>p</w:t>
      </w:r>
      <w:r w:rsidRPr="00BA2CA4">
        <w:t xml:space="preserve">rogram will result in a substantial reduction </w:t>
      </w:r>
      <w:r w:rsidR="006D31BC">
        <w:t>of</w:t>
      </w:r>
      <w:r w:rsidR="006D31BC" w:rsidRPr="00BA2CA4">
        <w:t xml:space="preserve"> </w:t>
      </w:r>
      <w:r w:rsidR="006D31BC">
        <w:t>the m</w:t>
      </w:r>
      <w:r w:rsidRPr="00BA2CA4">
        <w:t>useum’s carbon footprint, as well as long</w:t>
      </w:r>
      <w:r w:rsidR="004927DC">
        <w:t>-term savings in utility costs.</w:t>
      </w:r>
    </w:p>
    <w:p w14:paraId="4F9A677C" w14:textId="77777777" w:rsidR="00BA2CA4" w:rsidRPr="00BA2CA4" w:rsidRDefault="00BA2CA4" w:rsidP="00BA2CA4"/>
    <w:p w14:paraId="2EADE5E6" w14:textId="77F891F5" w:rsidR="00BA2CA4" w:rsidRPr="00BA2CA4" w:rsidRDefault="00BA2CA4" w:rsidP="00BA2CA4">
      <w:pPr>
        <w:rPr>
          <w:rFonts w:cs="Arial"/>
        </w:rPr>
      </w:pPr>
      <w:r w:rsidRPr="00BA2CA4">
        <w:rPr>
          <w:rFonts w:cs="Arial"/>
        </w:rPr>
        <w:t xml:space="preserve">Improvements to </w:t>
      </w:r>
      <w:r w:rsidR="002268CD">
        <w:rPr>
          <w:rFonts w:cs="Arial"/>
        </w:rPr>
        <w:t>i</w:t>
      </w:r>
      <w:r w:rsidRPr="00BA2CA4">
        <w:rPr>
          <w:rFonts w:cs="Arial"/>
        </w:rPr>
        <w:t xml:space="preserve">nternal </w:t>
      </w:r>
      <w:r w:rsidR="002268CD">
        <w:rPr>
          <w:rFonts w:cs="Arial"/>
        </w:rPr>
        <w:t>c</w:t>
      </w:r>
      <w:r w:rsidRPr="00BA2CA4">
        <w:rPr>
          <w:rFonts w:cs="Arial"/>
        </w:rPr>
        <w:t xml:space="preserve">ommunications </w:t>
      </w:r>
      <w:r w:rsidR="002268CD">
        <w:rPr>
          <w:rFonts w:cs="Arial"/>
        </w:rPr>
        <w:t>during the year</w:t>
      </w:r>
      <w:r w:rsidRPr="00BA2CA4">
        <w:rPr>
          <w:rFonts w:cs="Arial"/>
        </w:rPr>
        <w:t xml:space="preserve"> include</w:t>
      </w:r>
      <w:r w:rsidR="002268CD" w:rsidRPr="00BA2CA4">
        <w:rPr>
          <w:rFonts w:cs="Arial"/>
        </w:rPr>
        <w:t xml:space="preserve"> </w:t>
      </w:r>
      <w:r w:rsidRPr="00BA2CA4">
        <w:rPr>
          <w:rFonts w:cs="Arial"/>
        </w:rPr>
        <w:t xml:space="preserve">redevelopment of the </w:t>
      </w:r>
      <w:r w:rsidR="002268CD">
        <w:rPr>
          <w:rFonts w:cs="Arial"/>
        </w:rPr>
        <w:t>i</w:t>
      </w:r>
      <w:r w:rsidRPr="00BA2CA4">
        <w:rPr>
          <w:rFonts w:cs="Arial"/>
        </w:rPr>
        <w:t xml:space="preserve">nduction </w:t>
      </w:r>
      <w:r w:rsidR="002268CD">
        <w:rPr>
          <w:rFonts w:cs="Arial"/>
        </w:rPr>
        <w:t>p</w:t>
      </w:r>
      <w:r w:rsidRPr="00BA2CA4">
        <w:rPr>
          <w:rFonts w:cs="Arial"/>
        </w:rPr>
        <w:t xml:space="preserve">rogram for new staff, development of an </w:t>
      </w:r>
      <w:r w:rsidR="002268CD">
        <w:rPr>
          <w:rFonts w:cs="Arial"/>
        </w:rPr>
        <w:t>i</w:t>
      </w:r>
      <w:r w:rsidRPr="00BA2CA4">
        <w:rPr>
          <w:rFonts w:cs="Arial"/>
        </w:rPr>
        <w:t xml:space="preserve">nternal </w:t>
      </w:r>
      <w:r w:rsidR="002268CD">
        <w:rPr>
          <w:rFonts w:cs="Arial"/>
        </w:rPr>
        <w:t>c</w:t>
      </w:r>
      <w:r w:rsidRPr="00BA2CA4">
        <w:rPr>
          <w:rFonts w:cs="Arial"/>
        </w:rPr>
        <w:t xml:space="preserve">ommunications </w:t>
      </w:r>
      <w:r w:rsidR="002268CD">
        <w:rPr>
          <w:rFonts w:cs="Arial"/>
        </w:rPr>
        <w:t>f</w:t>
      </w:r>
      <w:r w:rsidRPr="00BA2CA4">
        <w:rPr>
          <w:rFonts w:cs="Arial"/>
        </w:rPr>
        <w:t>ramework</w:t>
      </w:r>
      <w:r w:rsidR="006D31BC">
        <w:rPr>
          <w:rFonts w:cs="Arial"/>
        </w:rPr>
        <w:t>,</w:t>
      </w:r>
      <w:r w:rsidRPr="00BA2CA4">
        <w:rPr>
          <w:rFonts w:cs="Arial"/>
        </w:rPr>
        <w:t xml:space="preserve"> and planning for an Open House series, through which staff </w:t>
      </w:r>
      <w:r w:rsidR="006D31BC">
        <w:rPr>
          <w:rFonts w:cs="Arial"/>
        </w:rPr>
        <w:t>can</w:t>
      </w:r>
      <w:r w:rsidRPr="00BA2CA4">
        <w:rPr>
          <w:rFonts w:cs="Arial"/>
        </w:rPr>
        <w:t xml:space="preserve"> visit sections of the </w:t>
      </w:r>
      <w:r w:rsidR="002268CD">
        <w:rPr>
          <w:rFonts w:cs="Arial"/>
        </w:rPr>
        <w:t>m</w:t>
      </w:r>
      <w:r w:rsidRPr="00BA2CA4">
        <w:rPr>
          <w:rFonts w:cs="Arial"/>
        </w:rPr>
        <w:t>useum to find out more about their activities.</w:t>
      </w:r>
    </w:p>
    <w:p w14:paraId="60596386" w14:textId="77777777" w:rsidR="00BA2CA4" w:rsidRPr="00BA2CA4" w:rsidRDefault="00BA2CA4" w:rsidP="00BA2CA4">
      <w:pPr>
        <w:spacing w:after="200" w:line="276" w:lineRule="auto"/>
        <w:rPr>
          <w:b/>
          <w:sz w:val="36"/>
        </w:rPr>
      </w:pPr>
      <w:r w:rsidRPr="00BA2CA4">
        <w:br w:type="page"/>
      </w:r>
    </w:p>
    <w:p w14:paraId="0D7E28AD" w14:textId="77777777" w:rsidR="00AA1D8D" w:rsidRDefault="00BA2CA4" w:rsidP="00C9424C">
      <w:pPr>
        <w:pStyle w:val="Heading2"/>
      </w:pPr>
      <w:r w:rsidRPr="00C9424C">
        <w:lastRenderedPageBreak/>
        <w:t>Strategic Direction 5:</w:t>
      </w:r>
    </w:p>
    <w:p w14:paraId="0C399C09" w14:textId="3BEB3270" w:rsidR="00BA2CA4" w:rsidRDefault="00BA2CA4" w:rsidP="00C9424C">
      <w:pPr>
        <w:pStyle w:val="Heading2"/>
      </w:pPr>
      <w:r w:rsidRPr="00C9424C">
        <w:t>Building Victoria’s Cultural Capital</w:t>
      </w:r>
    </w:p>
    <w:p w14:paraId="48FAD85D" w14:textId="77777777" w:rsidR="00AA1D8D" w:rsidRPr="00AA1D8D" w:rsidRDefault="00AA1D8D" w:rsidP="00AA1D8D"/>
    <w:p w14:paraId="1923CA22" w14:textId="77777777" w:rsidR="00BA2CA4" w:rsidRPr="00BA2CA4" w:rsidRDefault="00BA2CA4" w:rsidP="00C9424C">
      <w:pPr>
        <w:pStyle w:val="Heading3"/>
      </w:pPr>
      <w:r w:rsidRPr="00BA2CA4">
        <w:t>Developing and Protecting the State Collection</w:t>
      </w:r>
    </w:p>
    <w:p w14:paraId="5C5868B9" w14:textId="19009244" w:rsidR="00EC39E5" w:rsidRPr="00EC39E5" w:rsidRDefault="00EC39E5" w:rsidP="00EC39E5">
      <w:r w:rsidRPr="002521F4">
        <w:t>Museum Victoria completed a four-year program of works associated with the Interim Collection Storage Project to address several urgent storage issues. Th</w:t>
      </w:r>
      <w:r w:rsidR="00D2661C">
        <w:t>is</w:t>
      </w:r>
      <w:r w:rsidR="007D693B">
        <w:t xml:space="preserve"> included</w:t>
      </w:r>
      <w:r w:rsidRPr="002521F4">
        <w:t xml:space="preserve"> install</w:t>
      </w:r>
      <w:r w:rsidR="00D2661C">
        <w:t>ing</w:t>
      </w:r>
      <w:r w:rsidRPr="002521F4">
        <w:t xml:space="preserve"> </w:t>
      </w:r>
      <w:r w:rsidR="007D693B">
        <w:t xml:space="preserve">new </w:t>
      </w:r>
      <w:r w:rsidRPr="002521F4">
        <w:t>compactus systems, collection relocation and construct</w:t>
      </w:r>
      <w:r w:rsidR="00D2661C">
        <w:t xml:space="preserve">ing </w:t>
      </w:r>
      <w:r w:rsidRPr="002521F4">
        <w:t>offices and laboratories at Melbourne Museum. A</w:t>
      </w:r>
      <w:r w:rsidR="000B2131">
        <w:t xml:space="preserve"> key a</w:t>
      </w:r>
      <w:r w:rsidRPr="002521F4">
        <w:t>chievement</w:t>
      </w:r>
      <w:r w:rsidR="000B2131">
        <w:t xml:space="preserve"> was</w:t>
      </w:r>
      <w:r w:rsidRPr="002521F4">
        <w:t xml:space="preserve"> a major</w:t>
      </w:r>
      <w:r w:rsidR="000B2131">
        <w:t>,</w:t>
      </w:r>
      <w:r w:rsidRPr="002521F4">
        <w:t xml:space="preserve"> final move of </w:t>
      </w:r>
      <w:r>
        <w:t>the g</w:t>
      </w:r>
      <w:r w:rsidRPr="002521F4">
        <w:t xml:space="preserve">eology and </w:t>
      </w:r>
      <w:r>
        <w:t>p</w:t>
      </w:r>
      <w:r w:rsidRPr="002521F4">
        <w:t>alaeontology collection</w:t>
      </w:r>
      <w:r>
        <w:t>s</w:t>
      </w:r>
      <w:r w:rsidRPr="002521F4">
        <w:t xml:space="preserve">, laboratory and staff facilities from </w:t>
      </w:r>
      <w:r w:rsidR="000B2131">
        <w:t xml:space="preserve">the </w:t>
      </w:r>
      <w:r w:rsidRPr="002521F4">
        <w:t xml:space="preserve">substandard conditions </w:t>
      </w:r>
      <w:r w:rsidR="000B2131">
        <w:t>of</w:t>
      </w:r>
      <w:r w:rsidR="000B2131" w:rsidRPr="002521F4">
        <w:t xml:space="preserve"> </w:t>
      </w:r>
      <w:r w:rsidRPr="002521F4">
        <w:t xml:space="preserve">the </w:t>
      </w:r>
      <w:r w:rsidR="000B2131" w:rsidRPr="002521F4">
        <w:t xml:space="preserve">Royal Exhibition Building </w:t>
      </w:r>
      <w:r w:rsidRPr="002521F4">
        <w:t>basement. Museum Victoria remains committed to finding solutions for several longer</w:t>
      </w:r>
      <w:r w:rsidR="000B2131">
        <w:t xml:space="preserve"> </w:t>
      </w:r>
      <w:r w:rsidRPr="002521F4">
        <w:t>term collection storage issues and the investigation of inter-agency collection storage initiatives.</w:t>
      </w:r>
    </w:p>
    <w:p w14:paraId="73969478" w14:textId="77777777" w:rsidR="00BA2CA4" w:rsidRPr="00BA2CA4" w:rsidRDefault="00BA2CA4" w:rsidP="00BA2CA4"/>
    <w:p w14:paraId="6077469A" w14:textId="67B67FEB" w:rsidR="00BA2CA4" w:rsidRDefault="00BA2CA4" w:rsidP="00BA2CA4">
      <w:r w:rsidRPr="00451BC0">
        <w:t xml:space="preserve">The Ian Potter Australian Wildlife BioBank was established at Melbourne Museum, providing Australia’s first </w:t>
      </w:r>
      <w:r w:rsidR="000B2131">
        <w:t>‘</w:t>
      </w:r>
      <w:r w:rsidRPr="00451BC0">
        <w:t>bio</w:t>
      </w:r>
      <w:r w:rsidR="000B2131">
        <w:t xml:space="preserve"> </w:t>
      </w:r>
      <w:r w:rsidRPr="00451BC0">
        <w:t>bank</w:t>
      </w:r>
      <w:r w:rsidR="000B2131">
        <w:t>’</w:t>
      </w:r>
      <w:r w:rsidRPr="00451BC0">
        <w:t xml:space="preserve"> for mass and long-term storage of wildlife tissue samples in liquid nitrogen</w:t>
      </w:r>
      <w:r w:rsidR="000B2131">
        <w:t>. This is</w:t>
      </w:r>
      <w:r w:rsidRPr="00451BC0">
        <w:t xml:space="preserve"> the animal equivalent of a national seed</w:t>
      </w:r>
      <w:r w:rsidR="000B2131">
        <w:t xml:space="preserve"> </w:t>
      </w:r>
      <w:r w:rsidRPr="00451BC0">
        <w:t>bank. The facility dramatically transforms Museum Victoria’s capacities and opens up significant opportunities to actively participate in endangered species recovery, captive breedin</w:t>
      </w:r>
      <w:r w:rsidR="0017394E">
        <w:t xml:space="preserve">g and reintroduction programs. </w:t>
      </w:r>
    </w:p>
    <w:p w14:paraId="5A4B5448" w14:textId="77777777" w:rsidR="00AA1D8D" w:rsidRPr="00451BC0" w:rsidRDefault="00AA1D8D" w:rsidP="00BA2CA4"/>
    <w:p w14:paraId="3688179A" w14:textId="45F0FC6B" w:rsidR="00BA2CA4" w:rsidRPr="00BA2CA4" w:rsidRDefault="00BA2CA4" w:rsidP="00C9424C">
      <w:pPr>
        <w:pStyle w:val="Heading3"/>
      </w:pPr>
      <w:r w:rsidRPr="00BA2CA4">
        <w:t>Scienceworks Precinct</w:t>
      </w:r>
    </w:p>
    <w:p w14:paraId="3F7D35B8" w14:textId="1E92E9D5" w:rsidR="00BA2CA4" w:rsidRDefault="00BA2CA4" w:rsidP="00BA2CA4">
      <w:pPr>
        <w:rPr>
          <w:rFonts w:cs="Arial"/>
        </w:rPr>
      </w:pPr>
      <w:r w:rsidRPr="00BA2CA4">
        <w:rPr>
          <w:rFonts w:cs="Arial"/>
        </w:rPr>
        <w:t xml:space="preserve">A </w:t>
      </w:r>
      <w:r w:rsidR="00EC39E5">
        <w:rPr>
          <w:rFonts w:cs="Arial"/>
        </w:rPr>
        <w:t>s</w:t>
      </w:r>
      <w:r w:rsidRPr="00BA2CA4">
        <w:rPr>
          <w:rFonts w:cs="Arial"/>
        </w:rPr>
        <w:t xml:space="preserve">trategic </w:t>
      </w:r>
      <w:r w:rsidR="00EC39E5">
        <w:rPr>
          <w:rFonts w:cs="Arial"/>
        </w:rPr>
        <w:t>a</w:t>
      </w:r>
      <w:r w:rsidRPr="00BA2CA4">
        <w:rPr>
          <w:rFonts w:cs="Arial"/>
        </w:rPr>
        <w:t xml:space="preserve">ssessment for the capital development of the Scienceworks site was completed and submitted to Creative Victoria. The next stage </w:t>
      </w:r>
      <w:r w:rsidR="000B2131">
        <w:rPr>
          <w:rFonts w:cs="Arial"/>
        </w:rPr>
        <w:t>is</w:t>
      </w:r>
      <w:r w:rsidR="00EC39E5" w:rsidRPr="00BA2CA4">
        <w:rPr>
          <w:rFonts w:cs="Arial"/>
        </w:rPr>
        <w:t xml:space="preserve"> </w:t>
      </w:r>
      <w:r w:rsidRPr="00BA2CA4">
        <w:rPr>
          <w:rFonts w:cs="Arial"/>
        </w:rPr>
        <w:t>to undertake a business</w:t>
      </w:r>
      <w:r w:rsidR="000B2131">
        <w:rPr>
          <w:rFonts w:cs="Arial"/>
        </w:rPr>
        <w:t>-</w:t>
      </w:r>
      <w:r w:rsidR="0017394E">
        <w:rPr>
          <w:rFonts w:cs="Arial"/>
        </w:rPr>
        <w:t>case assessment.</w:t>
      </w:r>
    </w:p>
    <w:p w14:paraId="39D50C3E" w14:textId="77777777" w:rsidR="009E51A8" w:rsidRPr="0017394E" w:rsidRDefault="009E51A8" w:rsidP="00BA2CA4">
      <w:pPr>
        <w:rPr>
          <w:rFonts w:cs="Arial"/>
        </w:rPr>
      </w:pPr>
    </w:p>
    <w:p w14:paraId="41829B2D" w14:textId="491081BE" w:rsidR="00BA2CA4" w:rsidRPr="00BA2CA4" w:rsidRDefault="00BA2CA4" w:rsidP="00B471ED">
      <w:pPr>
        <w:pStyle w:val="Heading3"/>
      </w:pPr>
      <w:r w:rsidRPr="00BA2CA4">
        <w:t>Carlton Gardens Precinct</w:t>
      </w:r>
    </w:p>
    <w:p w14:paraId="4A87E430" w14:textId="671EE800" w:rsidR="00BA2CA4" w:rsidRPr="00BA2CA4" w:rsidRDefault="00BA2CA4" w:rsidP="00BA2CA4">
      <w:r w:rsidRPr="00BA2CA4">
        <w:t>The third and final stage of the IMAX Theatre upgrade project was completed</w:t>
      </w:r>
      <w:r w:rsidR="000B2131">
        <w:t xml:space="preserve"> during the year</w:t>
      </w:r>
      <w:r w:rsidRPr="00BA2CA4">
        <w:t xml:space="preserve">, with the </w:t>
      </w:r>
      <w:r w:rsidR="000B2131" w:rsidRPr="00BA2CA4">
        <w:t xml:space="preserve">installation </w:t>
      </w:r>
      <w:r w:rsidRPr="00BA2CA4">
        <w:t xml:space="preserve">of the new IMAX </w:t>
      </w:r>
      <w:r w:rsidR="001268E2">
        <w:t>l</w:t>
      </w:r>
      <w:r w:rsidRPr="00BA2CA4">
        <w:t>aser</w:t>
      </w:r>
      <w:r w:rsidR="000B2131">
        <w:t>-</w:t>
      </w:r>
      <w:r w:rsidR="001268E2">
        <w:t>p</w:t>
      </w:r>
      <w:r w:rsidRPr="00BA2CA4">
        <w:t xml:space="preserve">rojection system in September. This </w:t>
      </w:r>
      <w:r w:rsidR="001268E2">
        <w:t xml:space="preserve">is </w:t>
      </w:r>
      <w:r w:rsidRPr="00BA2CA4">
        <w:t xml:space="preserve">the first </w:t>
      </w:r>
      <w:r w:rsidR="001268E2">
        <w:t>l</w:t>
      </w:r>
      <w:r w:rsidRPr="00BA2CA4">
        <w:t xml:space="preserve">aser system to be installed in Australia and the fifth </w:t>
      </w:r>
      <w:r w:rsidR="000B2131">
        <w:t xml:space="preserve">in an </w:t>
      </w:r>
      <w:r w:rsidRPr="00BA2CA4">
        <w:t>IMAX system worldwide, t</w:t>
      </w:r>
      <w:r w:rsidR="00B471ED">
        <w:t>he first outside North America.</w:t>
      </w:r>
    </w:p>
    <w:p w14:paraId="5A49F348" w14:textId="77777777" w:rsidR="00BA2CA4" w:rsidRPr="00BA2CA4" w:rsidRDefault="00BA2CA4" w:rsidP="00BA2CA4"/>
    <w:p w14:paraId="6206F5EF" w14:textId="531AC69D" w:rsidR="00BA2CA4" w:rsidRPr="00BA2CA4" w:rsidRDefault="00BA2CA4" w:rsidP="00BA2CA4">
      <w:r w:rsidRPr="00BA2CA4">
        <w:t xml:space="preserve">The timing of this new-to-market technology </w:t>
      </w:r>
      <w:r w:rsidR="000B2131">
        <w:t>coincided with</w:t>
      </w:r>
      <w:r w:rsidRPr="00BA2CA4">
        <w:t xml:space="preserve"> the release of </w:t>
      </w:r>
      <w:r w:rsidRPr="00BA2CA4">
        <w:rPr>
          <w:i/>
        </w:rPr>
        <w:t>Star Wars: The Force Awakens 3D</w:t>
      </w:r>
      <w:r w:rsidRPr="00BA2CA4">
        <w:t xml:space="preserve">, which delivered </w:t>
      </w:r>
      <w:r w:rsidR="001268E2">
        <w:t>IMAX’s</w:t>
      </w:r>
      <w:r w:rsidRPr="00BA2CA4">
        <w:t xml:space="preserve"> highest grossing box office revenue take for a seven</w:t>
      </w:r>
      <w:r w:rsidR="001268E2">
        <w:t>-</w:t>
      </w:r>
      <w:r w:rsidRPr="00BA2CA4">
        <w:t xml:space="preserve">day period. </w:t>
      </w:r>
      <w:r w:rsidRPr="00BA2CA4">
        <w:rPr>
          <w:i/>
        </w:rPr>
        <w:t xml:space="preserve">Star Wars </w:t>
      </w:r>
      <w:r w:rsidRPr="00BA2CA4">
        <w:t>went on to become the theatre’s second</w:t>
      </w:r>
      <w:r w:rsidR="000B2131">
        <w:t xml:space="preserve"> </w:t>
      </w:r>
      <w:r w:rsidRPr="00BA2CA4">
        <w:t xml:space="preserve">highest grossing title (behind </w:t>
      </w:r>
      <w:r w:rsidRPr="00BA2CA4">
        <w:rPr>
          <w:i/>
        </w:rPr>
        <w:t>Avatar</w:t>
      </w:r>
      <w:r w:rsidRPr="00BA2CA4">
        <w:t>), with almost 65,000 people seeing the film in IMAX, generating $2</w:t>
      </w:r>
      <w:r w:rsidR="000B2131">
        <w:t> </w:t>
      </w:r>
      <w:r w:rsidRPr="00BA2CA4">
        <w:t>million in box office revenue.</w:t>
      </w:r>
    </w:p>
    <w:p w14:paraId="4015B76D" w14:textId="77777777" w:rsidR="00BA2CA4" w:rsidRPr="00BA2CA4" w:rsidRDefault="00BA2CA4" w:rsidP="00BA2CA4">
      <w:pPr>
        <w:rPr>
          <w:rFonts w:cs="Arial"/>
        </w:rPr>
      </w:pPr>
    </w:p>
    <w:p w14:paraId="2D99C830" w14:textId="76BDFC18" w:rsidR="00BA2CA4" w:rsidRDefault="001268E2" w:rsidP="00BA2CA4">
      <w:pPr>
        <w:rPr>
          <w:rFonts w:cs="Arial"/>
        </w:rPr>
      </w:pPr>
      <w:r>
        <w:rPr>
          <w:rFonts w:cs="Arial"/>
        </w:rPr>
        <w:t xml:space="preserve">The </w:t>
      </w:r>
      <w:r w:rsidR="00BA2CA4" w:rsidRPr="00BA2CA4">
        <w:rPr>
          <w:rFonts w:cs="Arial"/>
        </w:rPr>
        <w:t xml:space="preserve">Melbourne Museum </w:t>
      </w:r>
      <w:r w:rsidR="000B2131">
        <w:rPr>
          <w:rFonts w:cs="Arial"/>
        </w:rPr>
        <w:t>p</w:t>
      </w:r>
      <w:r w:rsidR="00BA2CA4" w:rsidRPr="00BA2CA4">
        <w:rPr>
          <w:rFonts w:cs="Arial"/>
        </w:rPr>
        <w:t>recinct was confirmed the new cultural hub for Australia’s largest consumer fashion show, the Virgin Australia Melbourne Fashion Festival. In March, the festival activated various spaces across the precinct</w:t>
      </w:r>
      <w:r w:rsidR="00E2234B">
        <w:rPr>
          <w:rFonts w:cs="Arial"/>
        </w:rPr>
        <w:t>,</w:t>
      </w:r>
      <w:r w:rsidR="00BA2CA4" w:rsidRPr="00BA2CA4">
        <w:rPr>
          <w:rFonts w:cs="Arial"/>
        </w:rPr>
        <w:t xml:space="preserve"> including the Royal Exhibition Building, Melbourne Museum and the </w:t>
      </w:r>
      <w:r w:rsidR="00E2234B">
        <w:rPr>
          <w:rFonts w:cs="Arial"/>
        </w:rPr>
        <w:t>m</w:t>
      </w:r>
      <w:r w:rsidR="00BA2CA4" w:rsidRPr="00BA2CA4">
        <w:rPr>
          <w:rFonts w:cs="Arial"/>
        </w:rPr>
        <w:t xml:space="preserve">useum </w:t>
      </w:r>
      <w:r w:rsidR="00E2234B">
        <w:rPr>
          <w:rFonts w:cs="Arial"/>
        </w:rPr>
        <w:t>p</w:t>
      </w:r>
      <w:r w:rsidR="00BA2CA4" w:rsidRPr="00BA2CA4">
        <w:rPr>
          <w:rFonts w:cs="Arial"/>
        </w:rPr>
        <w:t>laza</w:t>
      </w:r>
      <w:r>
        <w:rPr>
          <w:rFonts w:cs="Arial"/>
        </w:rPr>
        <w:t>,</w:t>
      </w:r>
      <w:r w:rsidR="00BA2CA4" w:rsidRPr="00BA2CA4">
        <w:rPr>
          <w:rFonts w:cs="Arial"/>
        </w:rPr>
        <w:t xml:space="preserve"> bringing </w:t>
      </w:r>
      <w:r w:rsidR="00E2234B" w:rsidRPr="00BA2CA4">
        <w:rPr>
          <w:rFonts w:cs="Arial"/>
        </w:rPr>
        <w:t xml:space="preserve">the precinct to </w:t>
      </w:r>
      <w:r w:rsidR="00B471ED">
        <w:rPr>
          <w:rFonts w:cs="Arial"/>
        </w:rPr>
        <w:t>life.</w:t>
      </w:r>
    </w:p>
    <w:p w14:paraId="16ED2899" w14:textId="77777777" w:rsidR="00AA1D8D" w:rsidRPr="0017394E" w:rsidRDefault="00AA1D8D" w:rsidP="00BA2CA4">
      <w:pPr>
        <w:rPr>
          <w:rFonts w:cs="Arial"/>
        </w:rPr>
      </w:pPr>
    </w:p>
    <w:p w14:paraId="59BFC1B3" w14:textId="77777777" w:rsidR="00BA2CA4" w:rsidRPr="00BA2CA4" w:rsidRDefault="00BA2CA4" w:rsidP="0017394E">
      <w:pPr>
        <w:pStyle w:val="Heading3"/>
      </w:pPr>
      <w:r w:rsidRPr="00BA2CA4">
        <w:t>Royal Exhibition Bui</w:t>
      </w:r>
      <w:r w:rsidRPr="00B471ED">
        <w:rPr>
          <w:rStyle w:val="Heading3Char"/>
        </w:rPr>
        <w:t>l</w:t>
      </w:r>
      <w:r w:rsidRPr="00BA2CA4">
        <w:t>ding</w:t>
      </w:r>
    </w:p>
    <w:p w14:paraId="73ACD067" w14:textId="339273C5" w:rsidR="00BA2CA4" w:rsidRPr="0017394E" w:rsidRDefault="00BA2CA4" w:rsidP="00BA2CA4">
      <w:r w:rsidRPr="00BA2CA4">
        <w:t>Work is well underway on the Royal Exhibition Building Protection and Promotion Project with Melbourne-based heritage architects Lovell Chen.</w:t>
      </w:r>
      <w:r w:rsidR="00427B40" w:rsidRPr="00427B40">
        <w:t xml:space="preserve"> </w:t>
      </w:r>
      <w:r w:rsidR="00A226DC" w:rsidRPr="00BA2CA4">
        <w:t>Due for completion in</w:t>
      </w:r>
      <w:r w:rsidR="009E51A8">
        <w:t xml:space="preserve"> </w:t>
      </w:r>
      <w:r w:rsidR="00791B87">
        <w:t>early 2018</w:t>
      </w:r>
      <w:r w:rsidR="00A226DC">
        <w:t>,</w:t>
      </w:r>
      <w:r w:rsidR="00A226DC" w:rsidRPr="00BA2CA4">
        <w:t xml:space="preserve"> the project </w:t>
      </w:r>
      <w:r w:rsidR="00E2234B">
        <w:t>will</w:t>
      </w:r>
      <w:r w:rsidR="00A226DC" w:rsidRPr="00BA2CA4">
        <w:t xml:space="preserve"> reinstate the magnificent </w:t>
      </w:r>
      <w:r w:rsidR="00E2234B">
        <w:t>‘d</w:t>
      </w:r>
      <w:r w:rsidR="00A226DC" w:rsidRPr="00BA2CA4">
        <w:t xml:space="preserve">ome </w:t>
      </w:r>
      <w:r w:rsidR="00E2234B">
        <w:t>p</w:t>
      </w:r>
      <w:r w:rsidR="00A226DC" w:rsidRPr="00BA2CA4">
        <w:t>romenade</w:t>
      </w:r>
      <w:r w:rsidR="00E2234B">
        <w:t>’</w:t>
      </w:r>
      <w:r w:rsidR="00A226DC" w:rsidRPr="00BA2CA4">
        <w:t xml:space="preserve"> on the World Heritage</w:t>
      </w:r>
      <w:r w:rsidR="00A226DC">
        <w:rPr>
          <w:rFonts w:cs="Arial"/>
        </w:rPr>
        <w:t>–</w:t>
      </w:r>
      <w:r w:rsidR="00A226DC">
        <w:t>listed building and provide 21st-</w:t>
      </w:r>
      <w:r w:rsidR="00A226DC" w:rsidRPr="00BA2CA4">
        <w:t xml:space="preserve">century visitors with a 360-degree view of </w:t>
      </w:r>
      <w:r w:rsidR="00A226DC" w:rsidRPr="002521F4">
        <w:t>Marvellous Melbourne</w:t>
      </w:r>
      <w:r w:rsidR="000617EF">
        <w:t>. The promenade</w:t>
      </w:r>
      <w:r w:rsidR="00A226DC">
        <w:t xml:space="preserve"> </w:t>
      </w:r>
      <w:r w:rsidR="00A226DC" w:rsidRPr="00BA2CA4">
        <w:t>was a great attraction at the international exhibitions in the 1880s.</w:t>
      </w:r>
      <w:r w:rsidR="00A226DC">
        <w:t xml:space="preserve"> </w:t>
      </w:r>
    </w:p>
    <w:p w14:paraId="47C401F1" w14:textId="782DA67E" w:rsidR="00BA2CA4" w:rsidRPr="00BA2CA4" w:rsidRDefault="003060C2" w:rsidP="00C9424C">
      <w:pPr>
        <w:pStyle w:val="Heading3"/>
      </w:pPr>
      <w:r>
        <w:lastRenderedPageBreak/>
        <w:t xml:space="preserve">Building </w:t>
      </w:r>
      <w:r w:rsidR="00BA2CA4" w:rsidRPr="00BA2CA4">
        <w:t>Intercultural Understanding</w:t>
      </w:r>
    </w:p>
    <w:p w14:paraId="458B6493" w14:textId="0ACB4396" w:rsidR="00BA2CA4" w:rsidRPr="00BA2CA4" w:rsidRDefault="00A226DC" w:rsidP="00BA2CA4">
      <w:pPr>
        <w:rPr>
          <w:rFonts w:cs="Arial"/>
        </w:rPr>
      </w:pPr>
      <w:r>
        <w:rPr>
          <w:rFonts w:cs="Arial"/>
          <w:color w:val="000000"/>
        </w:rPr>
        <w:t>Sharing Stories, a</w:t>
      </w:r>
      <w:r w:rsidR="00BA2CA4" w:rsidRPr="00BA2CA4">
        <w:rPr>
          <w:rFonts w:cs="Arial"/>
          <w:color w:val="000000"/>
        </w:rPr>
        <w:t xml:space="preserve"> new outreach program</w:t>
      </w:r>
      <w:r>
        <w:rPr>
          <w:rFonts w:cs="Arial"/>
          <w:color w:val="000000"/>
        </w:rPr>
        <w:t>,</w:t>
      </w:r>
      <w:r w:rsidR="00BA2CA4" w:rsidRPr="00BA2CA4">
        <w:rPr>
          <w:rFonts w:cs="Arial"/>
          <w:color w:val="000000"/>
        </w:rPr>
        <w:t xml:space="preserve"> is a </w:t>
      </w:r>
      <w:r w:rsidR="00BA2CA4" w:rsidRPr="00BA2CA4">
        <w:rPr>
          <w:rFonts w:cs="Arial"/>
        </w:rPr>
        <w:t>hands-on, inquiry</w:t>
      </w:r>
      <w:r>
        <w:rPr>
          <w:rFonts w:cs="Arial"/>
        </w:rPr>
        <w:t>-</w:t>
      </w:r>
      <w:r w:rsidR="00BA2CA4" w:rsidRPr="00BA2CA4">
        <w:rPr>
          <w:rFonts w:cs="Arial"/>
        </w:rPr>
        <w:t xml:space="preserve">based history program </w:t>
      </w:r>
      <w:r w:rsidR="00BA2CA4" w:rsidRPr="00BA2CA4">
        <w:rPr>
          <w:rFonts w:cs="Arial"/>
          <w:color w:val="000000"/>
        </w:rPr>
        <w:t xml:space="preserve">for </w:t>
      </w:r>
      <w:r>
        <w:rPr>
          <w:rFonts w:cs="Arial"/>
          <w:color w:val="000000"/>
        </w:rPr>
        <w:t>p</w:t>
      </w:r>
      <w:r w:rsidR="00BA2CA4" w:rsidRPr="00BA2CA4">
        <w:rPr>
          <w:rFonts w:cs="Arial"/>
          <w:color w:val="000000"/>
        </w:rPr>
        <w:t xml:space="preserve">rimary </w:t>
      </w:r>
      <w:r>
        <w:rPr>
          <w:rFonts w:cs="Arial"/>
          <w:color w:val="000000"/>
        </w:rPr>
        <w:t>s</w:t>
      </w:r>
      <w:r w:rsidR="00BA2CA4" w:rsidRPr="00BA2CA4">
        <w:rPr>
          <w:rFonts w:cs="Arial"/>
          <w:color w:val="000000"/>
        </w:rPr>
        <w:t xml:space="preserve">chool students </w:t>
      </w:r>
      <w:r w:rsidR="00E2234B">
        <w:rPr>
          <w:rFonts w:cs="Arial"/>
          <w:color w:val="000000"/>
        </w:rPr>
        <w:t>that</w:t>
      </w:r>
      <w:r w:rsidR="00E2234B" w:rsidRPr="00BA2CA4">
        <w:rPr>
          <w:rFonts w:cs="Arial"/>
          <w:color w:val="000000"/>
        </w:rPr>
        <w:t xml:space="preserve"> </w:t>
      </w:r>
      <w:r w:rsidR="00BA2CA4" w:rsidRPr="00BA2CA4">
        <w:rPr>
          <w:rFonts w:cs="Arial"/>
          <w:color w:val="000000"/>
        </w:rPr>
        <w:t xml:space="preserve">draws on the </w:t>
      </w:r>
      <w:r w:rsidR="00E2234B">
        <w:rPr>
          <w:rFonts w:cs="Arial"/>
          <w:color w:val="000000"/>
        </w:rPr>
        <w:t>m</w:t>
      </w:r>
      <w:r w:rsidR="00BA2CA4" w:rsidRPr="00BA2CA4">
        <w:rPr>
          <w:rFonts w:cs="Arial"/>
          <w:color w:val="000000"/>
        </w:rPr>
        <w:t>useum</w:t>
      </w:r>
      <w:r w:rsidR="00E2234B">
        <w:rPr>
          <w:rFonts w:cs="Arial"/>
          <w:color w:val="000000"/>
        </w:rPr>
        <w:t>’s</w:t>
      </w:r>
      <w:r w:rsidR="00BA2CA4" w:rsidRPr="00BA2CA4">
        <w:rPr>
          <w:rFonts w:cs="Arial"/>
          <w:color w:val="000000"/>
        </w:rPr>
        <w:t xml:space="preserve"> </w:t>
      </w:r>
      <w:r w:rsidR="00E2234B">
        <w:rPr>
          <w:rFonts w:cs="Arial"/>
          <w:color w:val="000000"/>
        </w:rPr>
        <w:t>m</w:t>
      </w:r>
      <w:r w:rsidR="00BA2CA4" w:rsidRPr="00BA2CA4">
        <w:rPr>
          <w:rFonts w:cs="Arial"/>
          <w:color w:val="000000"/>
        </w:rPr>
        <w:t xml:space="preserve">igration </w:t>
      </w:r>
      <w:r w:rsidR="00E2234B">
        <w:rPr>
          <w:rFonts w:cs="Arial"/>
          <w:color w:val="000000"/>
        </w:rPr>
        <w:t>c</w:t>
      </w:r>
      <w:r w:rsidR="00BA2CA4" w:rsidRPr="00BA2CA4">
        <w:rPr>
          <w:rFonts w:cs="Arial"/>
          <w:color w:val="000000"/>
        </w:rPr>
        <w:t xml:space="preserve">ollection. A partnership with Goldfields Library Co-operation supported evaluation </w:t>
      </w:r>
      <w:r w:rsidR="007B52BE">
        <w:rPr>
          <w:rFonts w:cs="Arial"/>
          <w:color w:val="000000"/>
        </w:rPr>
        <w:t xml:space="preserve">of the program </w:t>
      </w:r>
      <w:r w:rsidR="00BA2CA4" w:rsidRPr="00BA2CA4">
        <w:rPr>
          <w:rFonts w:cs="Arial"/>
          <w:color w:val="000000"/>
        </w:rPr>
        <w:t xml:space="preserve">with local Bendigo schools. </w:t>
      </w:r>
    </w:p>
    <w:p w14:paraId="0F9E3612" w14:textId="77777777" w:rsidR="00BA2CA4" w:rsidRPr="00BA2CA4" w:rsidRDefault="00BA2CA4" w:rsidP="00C9424C">
      <w:pPr>
        <w:contextualSpacing/>
        <w:rPr>
          <w:rFonts w:ascii="Calibri" w:eastAsiaTheme="minorHAnsi" w:hAnsi="Calibri" w:cs="Arial"/>
          <w:szCs w:val="22"/>
          <w:lang w:eastAsia="en-US"/>
        </w:rPr>
      </w:pPr>
    </w:p>
    <w:p w14:paraId="6792F95F" w14:textId="02D02B38" w:rsidR="00BA2CA4" w:rsidRDefault="00A226DC" w:rsidP="00BA2CA4">
      <w:r>
        <w:t>An ARC</w:t>
      </w:r>
      <w:r w:rsidRPr="002521F4">
        <w:t xml:space="preserve"> </w:t>
      </w:r>
      <w:r w:rsidR="00E2234B">
        <w:t>l</w:t>
      </w:r>
      <w:r w:rsidRPr="002521F4">
        <w:t xml:space="preserve">inkage </w:t>
      </w:r>
      <w:r w:rsidR="00E2234B">
        <w:t>p</w:t>
      </w:r>
      <w:r w:rsidRPr="002521F4">
        <w:t xml:space="preserve">roject on the impact of the </w:t>
      </w:r>
      <w:r w:rsidRPr="002521F4">
        <w:rPr>
          <w:i/>
        </w:rPr>
        <w:t>Identity: Yours, Mine, Ours</w:t>
      </w:r>
      <w:r w:rsidRPr="002521F4">
        <w:t xml:space="preserve"> exhibition</w:t>
      </w:r>
      <w:r w:rsidR="002031AF">
        <w:t xml:space="preserve"> </w:t>
      </w:r>
      <w:r w:rsidRPr="002521F4">
        <w:t>at the Immigration Museum</w:t>
      </w:r>
      <w:r>
        <w:t xml:space="preserve"> has been completed, </w:t>
      </w:r>
      <w:r>
        <w:rPr>
          <w:rFonts w:cs="Arial"/>
        </w:rPr>
        <w:t>with the final report</w:t>
      </w:r>
      <w:r w:rsidR="002031AF">
        <w:rPr>
          <w:rFonts w:cs="Arial"/>
        </w:rPr>
        <w:t xml:space="preserve"> published</w:t>
      </w:r>
      <w:r>
        <w:rPr>
          <w:rFonts w:cs="Arial"/>
        </w:rPr>
        <w:t xml:space="preserve"> and the findings </w:t>
      </w:r>
      <w:r w:rsidR="002031AF">
        <w:rPr>
          <w:rFonts w:cs="Arial"/>
        </w:rPr>
        <w:t xml:space="preserve">presented </w:t>
      </w:r>
      <w:r>
        <w:rPr>
          <w:rFonts w:cs="Arial"/>
        </w:rPr>
        <w:t>at the Museums Australasia Conference. Museum Victoria ran a session</w:t>
      </w:r>
      <w:r>
        <w:t xml:space="preserve"> </w:t>
      </w:r>
      <w:r w:rsidR="00BA2CA4" w:rsidRPr="00451BC0">
        <w:t xml:space="preserve">on the impact of museum programs on children’s attitudes to race and identity </w:t>
      </w:r>
      <w:r>
        <w:t>at</w:t>
      </w:r>
      <w:r w:rsidR="00BA2CA4" w:rsidRPr="00451BC0">
        <w:t xml:space="preserve"> the </w:t>
      </w:r>
      <w:r w:rsidR="002031AF">
        <w:t>a</w:t>
      </w:r>
      <w:r w:rsidR="00BA2CA4" w:rsidRPr="00451BC0">
        <w:t xml:space="preserve">nnual </w:t>
      </w:r>
      <w:r w:rsidR="002031AF">
        <w:t>m</w:t>
      </w:r>
      <w:r w:rsidR="00BA2CA4" w:rsidRPr="00451BC0">
        <w:t>eeting of the American Alliance of Museums in May</w:t>
      </w:r>
      <w:r>
        <w:t>.</w:t>
      </w:r>
    </w:p>
    <w:p w14:paraId="233B3247" w14:textId="77777777" w:rsidR="00AA1D8D" w:rsidRPr="00BA2CA4" w:rsidRDefault="00AA1D8D" w:rsidP="00BA2CA4"/>
    <w:p w14:paraId="0C75A761" w14:textId="77777777" w:rsidR="00BA2CA4" w:rsidRPr="00BA2CA4" w:rsidRDefault="00BA2CA4" w:rsidP="00C9424C">
      <w:pPr>
        <w:pStyle w:val="Heading3"/>
      </w:pPr>
      <w:r w:rsidRPr="00BA2CA4">
        <w:t>Engaging with Asia</w:t>
      </w:r>
    </w:p>
    <w:p w14:paraId="4E027031" w14:textId="32EC7682" w:rsidR="00BA2CA4" w:rsidRPr="00EC39E5" w:rsidRDefault="00BA2CA4" w:rsidP="00BA2CA4">
      <w:r w:rsidRPr="00451BC0">
        <w:t xml:space="preserve">In July, Museum Victoria signed a </w:t>
      </w:r>
      <w:r w:rsidR="00427B40">
        <w:t>m</w:t>
      </w:r>
      <w:r w:rsidRPr="00451BC0">
        <w:t xml:space="preserve">emorandum of </w:t>
      </w:r>
      <w:r w:rsidR="00427B40">
        <w:t>u</w:t>
      </w:r>
      <w:r w:rsidRPr="00451BC0">
        <w:t>nderstanding with Singapore’s National Heritage Board. The five-year agreement aim</w:t>
      </w:r>
      <w:r w:rsidR="00427B40">
        <w:t>s to</w:t>
      </w:r>
      <w:r w:rsidRPr="00451BC0">
        <w:t xml:space="preserve"> strengthen existing collaboration between the two institutions</w:t>
      </w:r>
      <w:r w:rsidR="002031AF">
        <w:t>. This will</w:t>
      </w:r>
      <w:r w:rsidRPr="00451BC0">
        <w:t xml:space="preserve"> enabl</w:t>
      </w:r>
      <w:r w:rsidR="00427B40">
        <w:t>e</w:t>
      </w:r>
      <w:r w:rsidRPr="00451BC0">
        <w:t xml:space="preserve"> development of exhibition and loan exchanges, </w:t>
      </w:r>
      <w:r w:rsidR="002031AF">
        <w:t>and create</w:t>
      </w:r>
      <w:r w:rsidRPr="00451BC0">
        <w:t xml:space="preserve"> stronger links through staff exch</w:t>
      </w:r>
      <w:r w:rsidR="00C9424C">
        <w:t>anges and partnership projects.</w:t>
      </w:r>
    </w:p>
    <w:p w14:paraId="52997DCD" w14:textId="77777777" w:rsidR="00BA2CA4" w:rsidRPr="00BA2CA4" w:rsidRDefault="00BA2CA4" w:rsidP="00BA2CA4"/>
    <w:p w14:paraId="2E7892C9" w14:textId="38CB81CD" w:rsidR="00427B40" w:rsidRPr="00BA2CA4" w:rsidRDefault="00427B40" w:rsidP="00427B40">
      <w:pPr>
        <w:rPr>
          <w:rFonts w:cs="Arial"/>
        </w:rPr>
      </w:pPr>
      <w:r>
        <w:rPr>
          <w:rFonts w:cs="Arial"/>
        </w:rPr>
        <w:t>Under the</w:t>
      </w:r>
      <w:r w:rsidRPr="00BA2CA4">
        <w:rPr>
          <w:rFonts w:cs="Arial"/>
        </w:rPr>
        <w:t xml:space="preserve"> </w:t>
      </w:r>
      <w:r>
        <w:rPr>
          <w:rFonts w:cs="Arial"/>
        </w:rPr>
        <w:t>memorandum of understanding,</w:t>
      </w:r>
      <w:r w:rsidRPr="00BA2CA4">
        <w:rPr>
          <w:rFonts w:cs="Arial"/>
        </w:rPr>
        <w:t xml:space="preserve"> Museum Victoria hosted visits by the Deputy Director, Curatorial Heritage Institutions, Exhibitions Department</w:t>
      </w:r>
      <w:r>
        <w:rPr>
          <w:rFonts w:cs="Arial"/>
        </w:rPr>
        <w:t xml:space="preserve"> of the </w:t>
      </w:r>
      <w:r w:rsidRPr="00BA2CA4">
        <w:rPr>
          <w:rFonts w:cs="Arial"/>
        </w:rPr>
        <w:t>National Museum of Singapore</w:t>
      </w:r>
      <w:r w:rsidR="002031AF">
        <w:rPr>
          <w:rFonts w:cs="Arial"/>
        </w:rPr>
        <w:t>,</w:t>
      </w:r>
      <w:r w:rsidRPr="00BA2CA4">
        <w:rPr>
          <w:rFonts w:cs="Arial"/>
        </w:rPr>
        <w:t xml:space="preserve"> and staff from the Malay Heritage Centre.</w:t>
      </w:r>
    </w:p>
    <w:p w14:paraId="62A3E3C3" w14:textId="77777777" w:rsidR="00427B40" w:rsidRPr="00BA2CA4" w:rsidRDefault="00427B40" w:rsidP="00427B40"/>
    <w:p w14:paraId="0A609256" w14:textId="062394CF" w:rsidR="0017394E" w:rsidRDefault="007D693B">
      <w:pPr>
        <w:rPr>
          <w:rFonts w:cs="Arial"/>
        </w:rPr>
      </w:pPr>
      <w:r>
        <w:rPr>
          <w:rFonts w:cs="Arial"/>
        </w:rPr>
        <w:t xml:space="preserve">The 2015 </w:t>
      </w:r>
      <w:r w:rsidR="00791B87">
        <w:rPr>
          <w:rFonts w:cs="Arial"/>
        </w:rPr>
        <w:t xml:space="preserve">the </w:t>
      </w:r>
      <w:r w:rsidR="003E5B2D" w:rsidRPr="00BA2CA4">
        <w:rPr>
          <w:rFonts w:cs="Arial"/>
        </w:rPr>
        <w:t xml:space="preserve">Museums and the Web Asia </w:t>
      </w:r>
      <w:r>
        <w:rPr>
          <w:rFonts w:cs="Arial"/>
        </w:rPr>
        <w:t>C</w:t>
      </w:r>
      <w:r w:rsidR="003E5B2D" w:rsidRPr="00BA2CA4">
        <w:rPr>
          <w:rFonts w:cs="Arial"/>
        </w:rPr>
        <w:t>onference</w:t>
      </w:r>
      <w:r>
        <w:rPr>
          <w:rFonts w:cs="Arial"/>
        </w:rPr>
        <w:t xml:space="preserve"> was</w:t>
      </w:r>
      <w:r w:rsidR="003E5B2D" w:rsidRPr="00BA2CA4">
        <w:rPr>
          <w:rFonts w:cs="Arial"/>
        </w:rPr>
        <w:t xml:space="preserve"> held in Melbourne</w:t>
      </w:r>
      <w:r w:rsidR="002031AF">
        <w:rPr>
          <w:rFonts w:cs="Arial"/>
        </w:rPr>
        <w:t xml:space="preserve"> and</w:t>
      </w:r>
      <w:r w:rsidR="003E5B2D" w:rsidRPr="00BA2CA4">
        <w:rPr>
          <w:rFonts w:cs="Arial"/>
        </w:rPr>
        <w:t xml:space="preserve"> attracted 264 delegates from 12 countries and 128 organisations. An impressive range of international keynote and featured speakers enhanced a diverse local line-up</w:t>
      </w:r>
      <w:r w:rsidR="002031AF">
        <w:rPr>
          <w:rFonts w:cs="Arial"/>
        </w:rPr>
        <w:t>,</w:t>
      </w:r>
      <w:r w:rsidR="003E5B2D" w:rsidRPr="00BA2CA4">
        <w:rPr>
          <w:rFonts w:cs="Arial"/>
        </w:rPr>
        <w:t xml:space="preserve"> challeng</w:t>
      </w:r>
      <w:r w:rsidR="002031AF">
        <w:rPr>
          <w:rFonts w:cs="Arial"/>
        </w:rPr>
        <w:t>ing</w:t>
      </w:r>
      <w:r w:rsidR="003E5B2D" w:rsidRPr="00BA2CA4">
        <w:rPr>
          <w:rFonts w:cs="Arial"/>
        </w:rPr>
        <w:t xml:space="preserve"> and inspir</w:t>
      </w:r>
      <w:r w:rsidR="002031AF">
        <w:rPr>
          <w:rFonts w:cs="Arial"/>
        </w:rPr>
        <w:t>ing</w:t>
      </w:r>
      <w:r w:rsidR="003E5B2D" w:rsidRPr="00BA2CA4">
        <w:rPr>
          <w:rFonts w:cs="Arial"/>
        </w:rPr>
        <w:t xml:space="preserve"> digital workers from the museum community. Melbourne</w:t>
      </w:r>
      <w:r w:rsidR="007E3763">
        <w:rPr>
          <w:rFonts w:cs="Arial"/>
        </w:rPr>
        <w:t>’s</w:t>
      </w:r>
      <w:r w:rsidR="003E5B2D" w:rsidRPr="00BA2CA4">
        <w:rPr>
          <w:rFonts w:cs="Arial"/>
        </w:rPr>
        <w:t xml:space="preserve"> cultural attractions were showcased</w:t>
      </w:r>
      <w:r w:rsidR="004D1BB6">
        <w:rPr>
          <w:rFonts w:cs="Arial"/>
        </w:rPr>
        <w:t xml:space="preserve"> through day and evening event</w:t>
      </w:r>
      <w:r w:rsidR="007E3763">
        <w:rPr>
          <w:rFonts w:cs="Arial"/>
        </w:rPr>
        <w:t>s</w:t>
      </w:r>
      <w:r w:rsidR="004D1BB6">
        <w:rPr>
          <w:rFonts w:cs="Arial"/>
        </w:rPr>
        <w:t>.</w:t>
      </w:r>
    </w:p>
    <w:p w14:paraId="3F8A54B1" w14:textId="77777777" w:rsidR="00C80CE8" w:rsidRDefault="00C80CE8">
      <w:pPr>
        <w:rPr>
          <w:rFonts w:cs="Arial"/>
        </w:rPr>
        <w:sectPr w:rsidR="00C80CE8" w:rsidSect="00665EED">
          <w:pgSz w:w="11906" w:h="16838"/>
          <w:pgMar w:top="1440" w:right="1797" w:bottom="1440" w:left="1797" w:header="720" w:footer="720" w:gutter="0"/>
          <w:cols w:space="720"/>
          <w:docGrid w:linePitch="360"/>
        </w:sectPr>
      </w:pPr>
    </w:p>
    <w:p w14:paraId="0412D7CA" w14:textId="139468EF" w:rsidR="004D1BB6" w:rsidRDefault="004D1BB6">
      <w:pPr>
        <w:rPr>
          <w:rFonts w:cs="Arial"/>
        </w:rPr>
        <w:sectPr w:rsidR="004D1BB6" w:rsidSect="00665EED">
          <w:pgSz w:w="11906" w:h="16838"/>
          <w:pgMar w:top="1440" w:right="1797" w:bottom="1440" w:left="1797" w:header="720" w:footer="720" w:gutter="0"/>
          <w:cols w:space="720"/>
          <w:docGrid w:linePitch="360"/>
        </w:sectPr>
      </w:pPr>
    </w:p>
    <w:p w14:paraId="3FAE3AE4" w14:textId="1EB92DAB" w:rsidR="00B30FE4" w:rsidRDefault="00B30FE4" w:rsidP="00B471ED">
      <w:pPr>
        <w:pStyle w:val="Heading2"/>
      </w:pPr>
      <w:r w:rsidRPr="0006717D">
        <w:t xml:space="preserve">Future </w:t>
      </w:r>
      <w:r w:rsidRPr="00B471ED">
        <w:t>Priorities</w:t>
      </w:r>
    </w:p>
    <w:p w14:paraId="1B06F57F" w14:textId="77777777" w:rsidR="00C80CE8" w:rsidRPr="00C80CE8" w:rsidRDefault="00C80CE8" w:rsidP="00C80CE8"/>
    <w:p w14:paraId="1A162522" w14:textId="6009768F" w:rsidR="00B30FE4" w:rsidRDefault="00807C6E" w:rsidP="00B30FE4">
      <w:pPr>
        <w:rPr>
          <w:rFonts w:cs="Arial"/>
          <w:szCs w:val="22"/>
        </w:rPr>
      </w:pPr>
      <w:r>
        <w:t>Museum Victoria will focus on</w:t>
      </w:r>
      <w:r w:rsidR="00A073A7">
        <w:t xml:space="preserve"> the following s</w:t>
      </w:r>
      <w:r w:rsidR="00B30FE4">
        <w:t xml:space="preserve">trategic plan initiatives in the forthcoming year: </w:t>
      </w:r>
    </w:p>
    <w:p w14:paraId="739B4543" w14:textId="661640D6" w:rsidR="0011015F" w:rsidRPr="005E4D55" w:rsidRDefault="0011015F" w:rsidP="0011015F">
      <w:pPr>
        <w:numPr>
          <w:ilvl w:val="0"/>
          <w:numId w:val="4"/>
        </w:numPr>
        <w:ind w:left="426" w:hanging="426"/>
      </w:pPr>
      <w:r>
        <w:t>f</w:t>
      </w:r>
      <w:r w:rsidRPr="005E4D55">
        <w:t>urther develop</w:t>
      </w:r>
      <w:r>
        <w:t>ing</w:t>
      </w:r>
      <w:r w:rsidRPr="005E4D55">
        <w:t xml:space="preserve"> the customer relationship management system </w:t>
      </w:r>
      <w:r w:rsidR="00807C6E">
        <w:t>for</w:t>
      </w:r>
      <w:r w:rsidRPr="005E4D55">
        <w:t xml:space="preserve"> seamless collation a</w:t>
      </w:r>
      <w:r>
        <w:t>nd analysis of stakeholder data</w:t>
      </w:r>
    </w:p>
    <w:p w14:paraId="26BD1B78" w14:textId="77777777" w:rsidR="0011015F" w:rsidRPr="005E4D55" w:rsidRDefault="0011015F" w:rsidP="0011015F">
      <w:pPr>
        <w:numPr>
          <w:ilvl w:val="0"/>
          <w:numId w:val="4"/>
        </w:numPr>
        <w:ind w:left="426" w:hanging="426"/>
      </w:pPr>
      <w:r>
        <w:t>c</w:t>
      </w:r>
      <w:r w:rsidRPr="005E4D55">
        <w:t>ontributing and responding to national curriculum content to provide inspiring experiences for sc</w:t>
      </w:r>
      <w:r>
        <w:t>hool students at all our venues</w:t>
      </w:r>
    </w:p>
    <w:p w14:paraId="3FD39573" w14:textId="48B2E2A3" w:rsidR="0011015F" w:rsidRDefault="0011015F" w:rsidP="0011015F">
      <w:pPr>
        <w:numPr>
          <w:ilvl w:val="0"/>
          <w:numId w:val="4"/>
        </w:numPr>
        <w:ind w:left="426" w:hanging="426"/>
      </w:pPr>
      <w:r>
        <w:t>c</w:t>
      </w:r>
      <w:r w:rsidRPr="005E4D55">
        <w:t>ontinuing renewal of long-term exhibitions at our museum</w:t>
      </w:r>
      <w:r>
        <w:t>s</w:t>
      </w:r>
      <w:r w:rsidRPr="005E4D55">
        <w:t xml:space="preserve"> to deliver 21st-century learning experiences </w:t>
      </w:r>
      <w:r>
        <w:t>and relevant education content</w:t>
      </w:r>
    </w:p>
    <w:p w14:paraId="331921DD" w14:textId="77777777" w:rsidR="0011015F" w:rsidRPr="005E4D55" w:rsidRDefault="0011015F" w:rsidP="0011015F">
      <w:pPr>
        <w:numPr>
          <w:ilvl w:val="0"/>
          <w:numId w:val="4"/>
        </w:numPr>
        <w:ind w:left="426" w:hanging="426"/>
      </w:pPr>
      <w:r>
        <w:t>d</w:t>
      </w:r>
      <w:r w:rsidRPr="005E4D55">
        <w:t>evelop</w:t>
      </w:r>
      <w:r>
        <w:t xml:space="preserve">ing </w:t>
      </w:r>
      <w:r w:rsidRPr="005E4D55">
        <w:t>health and safety tools</w:t>
      </w:r>
      <w:r>
        <w:t xml:space="preserve"> and</w:t>
      </w:r>
      <w:r w:rsidRPr="005E4D55">
        <w:t xml:space="preserve"> training</w:t>
      </w:r>
      <w:r>
        <w:t>,</w:t>
      </w:r>
      <w:r w:rsidRPr="005E4D55">
        <w:t xml:space="preserve"> and </w:t>
      </w:r>
      <w:r>
        <w:t>hazard-identification processes</w:t>
      </w:r>
    </w:p>
    <w:p w14:paraId="6634E0E4" w14:textId="77777777" w:rsidR="0011015F" w:rsidRDefault="0011015F" w:rsidP="0011015F">
      <w:pPr>
        <w:numPr>
          <w:ilvl w:val="0"/>
          <w:numId w:val="4"/>
        </w:numPr>
        <w:ind w:left="426" w:hanging="426"/>
      </w:pPr>
      <w:r>
        <w:t>e</w:t>
      </w:r>
      <w:r w:rsidRPr="005E4D55">
        <w:t>nsuring health and safety accountabilities are integrated i</w:t>
      </w:r>
      <w:r>
        <w:t>nto management responsibilities</w:t>
      </w:r>
    </w:p>
    <w:p w14:paraId="15A48138" w14:textId="11AD55E5" w:rsidR="0011015F" w:rsidRDefault="0011015F" w:rsidP="0011015F">
      <w:pPr>
        <w:numPr>
          <w:ilvl w:val="0"/>
          <w:numId w:val="4"/>
        </w:numPr>
        <w:ind w:left="426" w:hanging="426"/>
      </w:pPr>
      <w:r>
        <w:t>b</w:t>
      </w:r>
      <w:r w:rsidRPr="005E4D55">
        <w:t>uilding capacity t</w:t>
      </w:r>
      <w:r>
        <w:t>o attract philanthropic support</w:t>
      </w:r>
    </w:p>
    <w:p w14:paraId="62FDF485" w14:textId="41C4DB07" w:rsidR="0011015F" w:rsidRPr="005E4D55" w:rsidRDefault="0011015F" w:rsidP="0011015F">
      <w:pPr>
        <w:numPr>
          <w:ilvl w:val="0"/>
          <w:numId w:val="4"/>
        </w:numPr>
        <w:ind w:left="426" w:hanging="426"/>
      </w:pPr>
      <w:r>
        <w:t xml:space="preserve">building </w:t>
      </w:r>
      <w:r w:rsidR="00807C6E">
        <w:t xml:space="preserve">the </w:t>
      </w:r>
      <w:r>
        <w:t>corporate partnership program to secure partnerships consistent with our goals and values</w:t>
      </w:r>
    </w:p>
    <w:p w14:paraId="439A6E7A" w14:textId="77777777" w:rsidR="0011015F" w:rsidRPr="005E4D55" w:rsidRDefault="0011015F" w:rsidP="0011015F">
      <w:pPr>
        <w:numPr>
          <w:ilvl w:val="0"/>
          <w:numId w:val="4"/>
        </w:numPr>
        <w:ind w:left="426" w:hanging="426"/>
      </w:pPr>
      <w:r>
        <w:t>e</w:t>
      </w:r>
      <w:r w:rsidRPr="005E4D55">
        <w:t>stablish</w:t>
      </w:r>
      <w:r>
        <w:t>ing</w:t>
      </w:r>
      <w:r w:rsidRPr="005E4D55">
        <w:t xml:space="preserve"> a strong and inspiring</w:t>
      </w:r>
      <w:r w:rsidRPr="00DB4FE5">
        <w:t xml:space="preserve"> </w:t>
      </w:r>
      <w:r w:rsidRPr="005E4D55">
        <w:t>vision for the Scienceworks precinct,</w:t>
      </w:r>
      <w:r>
        <w:t xml:space="preserve"> including the former ACI site</w:t>
      </w:r>
    </w:p>
    <w:p w14:paraId="168D2832" w14:textId="77777777" w:rsidR="0011015F" w:rsidRPr="005E4D55" w:rsidRDefault="0011015F" w:rsidP="0011015F">
      <w:pPr>
        <w:numPr>
          <w:ilvl w:val="0"/>
          <w:numId w:val="4"/>
        </w:numPr>
        <w:ind w:left="426" w:hanging="426"/>
      </w:pPr>
      <w:r>
        <w:t>u</w:t>
      </w:r>
      <w:r w:rsidRPr="005E4D55">
        <w:t xml:space="preserve">ndertaking a program of advocacy to build support for the </w:t>
      </w:r>
      <w:r>
        <w:t>Scienceworks precinct-development project</w:t>
      </w:r>
    </w:p>
    <w:p w14:paraId="404BD2E4" w14:textId="78DD483B" w:rsidR="0011015F" w:rsidRPr="005E4D55" w:rsidRDefault="0011015F" w:rsidP="0011015F">
      <w:pPr>
        <w:numPr>
          <w:ilvl w:val="0"/>
          <w:numId w:val="4"/>
        </w:numPr>
        <w:ind w:left="426" w:hanging="426"/>
      </w:pPr>
      <w:r>
        <w:t>i</w:t>
      </w:r>
      <w:r w:rsidRPr="005E4D55">
        <w:t>mplement</w:t>
      </w:r>
      <w:r>
        <w:t>ing</w:t>
      </w:r>
      <w:r w:rsidRPr="005E4D55">
        <w:t xml:space="preserve"> the Royal Exhibition Building </w:t>
      </w:r>
      <w:r w:rsidR="007E3763">
        <w:t xml:space="preserve">Protection </w:t>
      </w:r>
      <w:r>
        <w:t xml:space="preserve">and </w:t>
      </w:r>
      <w:r w:rsidR="007E3763">
        <w:t>P</w:t>
      </w:r>
      <w:r>
        <w:t xml:space="preserve">romotion </w:t>
      </w:r>
      <w:r w:rsidR="007E3763">
        <w:t>P</w:t>
      </w:r>
      <w:r>
        <w:t>roject</w:t>
      </w:r>
    </w:p>
    <w:p w14:paraId="37E64EAB" w14:textId="0A592EC8" w:rsidR="0011015F" w:rsidRDefault="0011015F" w:rsidP="0011015F">
      <w:pPr>
        <w:numPr>
          <w:ilvl w:val="0"/>
          <w:numId w:val="4"/>
        </w:numPr>
        <w:ind w:left="426" w:hanging="426"/>
      </w:pPr>
      <w:r>
        <w:t>c</w:t>
      </w:r>
      <w:r w:rsidRPr="005E4D55">
        <w:t xml:space="preserve">ollaborating with </w:t>
      </w:r>
      <w:r w:rsidR="00A1180B">
        <w:t xml:space="preserve">Visit </w:t>
      </w:r>
      <w:r w:rsidRPr="005E4D55">
        <w:t>Victoria and other networks to maximise opportunities associated with the</w:t>
      </w:r>
      <w:r>
        <w:t xml:space="preserve"> Carlton Gardens</w:t>
      </w:r>
      <w:r w:rsidRPr="005E4D55">
        <w:t xml:space="preserve"> precinct</w:t>
      </w:r>
    </w:p>
    <w:p w14:paraId="36135CF1" w14:textId="6180182B" w:rsidR="0011015F" w:rsidRDefault="0011015F" w:rsidP="0011015F">
      <w:pPr>
        <w:numPr>
          <w:ilvl w:val="0"/>
          <w:numId w:val="4"/>
        </w:numPr>
        <w:ind w:left="426" w:hanging="426"/>
      </w:pPr>
      <w:r>
        <w:t xml:space="preserve">addressing urgent collection storage issues so </w:t>
      </w:r>
      <w:r w:rsidR="00807C6E">
        <w:t xml:space="preserve">that </w:t>
      </w:r>
      <w:r>
        <w:t>our collections are protected into the future</w:t>
      </w:r>
    </w:p>
    <w:p w14:paraId="1FE1554E" w14:textId="77777777" w:rsidR="0011015F" w:rsidRDefault="0011015F" w:rsidP="0011015F">
      <w:pPr>
        <w:numPr>
          <w:ilvl w:val="0"/>
          <w:numId w:val="4"/>
        </w:numPr>
        <w:ind w:left="426" w:hanging="426"/>
      </w:pPr>
      <w:r>
        <w:t>continuing to deliver community festivals at the Immigration Museum</w:t>
      </w:r>
    </w:p>
    <w:p w14:paraId="22925D51" w14:textId="62FFAFF5" w:rsidR="0011015F" w:rsidRDefault="0011015F" w:rsidP="0011015F">
      <w:pPr>
        <w:numPr>
          <w:ilvl w:val="0"/>
          <w:numId w:val="4"/>
        </w:numPr>
        <w:ind w:left="426" w:hanging="426"/>
      </w:pPr>
      <w:r>
        <w:t xml:space="preserve">planning a major exhibition for the Melbourne Museum Touring Hall for </w:t>
      </w:r>
      <w:r w:rsidR="00807C6E">
        <w:t>w</w:t>
      </w:r>
      <w:r>
        <w:t>inter 2017</w:t>
      </w:r>
    </w:p>
    <w:p w14:paraId="3A9B666F" w14:textId="37468DCA" w:rsidR="0011015F" w:rsidRDefault="0011015F" w:rsidP="0011015F">
      <w:pPr>
        <w:numPr>
          <w:ilvl w:val="0"/>
          <w:numId w:val="4"/>
        </w:numPr>
        <w:ind w:left="426" w:hanging="426"/>
      </w:pPr>
      <w:r>
        <w:t xml:space="preserve">implementing </w:t>
      </w:r>
      <w:r w:rsidR="0083327A">
        <w:t>the</w:t>
      </w:r>
      <w:r>
        <w:t xml:space="preserve"> </w:t>
      </w:r>
      <w:r w:rsidR="00B65182">
        <w:t>E</w:t>
      </w:r>
      <w:r>
        <w:t>nergy</w:t>
      </w:r>
      <w:r w:rsidR="00B65182">
        <w:t xml:space="preserve"> M</w:t>
      </w:r>
      <w:r w:rsidR="0083327A">
        <w:t xml:space="preserve">anagement </w:t>
      </w:r>
      <w:r w:rsidR="00B65182">
        <w:t>Program</w:t>
      </w:r>
      <w:r>
        <w:t xml:space="preserve"> to reduce energy consumption across Museum Victoria</w:t>
      </w:r>
    </w:p>
    <w:p w14:paraId="73AECA51" w14:textId="77777777" w:rsidR="00C80CE8" w:rsidRDefault="0011015F" w:rsidP="00C80CE8">
      <w:pPr>
        <w:numPr>
          <w:ilvl w:val="0"/>
          <w:numId w:val="4"/>
        </w:numPr>
        <w:ind w:left="426" w:hanging="426"/>
      </w:pPr>
      <w:r>
        <w:t>further develop</w:t>
      </w:r>
      <w:r w:rsidR="00807C6E">
        <w:t>ing</w:t>
      </w:r>
      <w:r>
        <w:t xml:space="preserve"> </w:t>
      </w:r>
      <w:r w:rsidR="0083327A">
        <w:t xml:space="preserve">and upgrading </w:t>
      </w:r>
      <w:r>
        <w:t xml:space="preserve">our </w:t>
      </w:r>
      <w:r w:rsidR="0083327A">
        <w:t>digital</w:t>
      </w:r>
      <w:r>
        <w:t xml:space="preserve"> systems to improve ease-of-use, convenience and security</w:t>
      </w:r>
      <w:r w:rsidR="0083327A">
        <w:t>.</w:t>
      </w:r>
    </w:p>
    <w:p w14:paraId="2F69C843" w14:textId="77777777" w:rsidR="00C80CE8" w:rsidRDefault="00C80CE8" w:rsidP="00C80CE8">
      <w:pPr>
        <w:numPr>
          <w:ilvl w:val="0"/>
          <w:numId w:val="4"/>
        </w:numPr>
        <w:ind w:left="426" w:hanging="426"/>
        <w:sectPr w:rsidR="00C80CE8" w:rsidSect="00665EED">
          <w:type w:val="continuous"/>
          <w:pgSz w:w="11906" w:h="16838"/>
          <w:pgMar w:top="1440" w:right="1797" w:bottom="1440" w:left="1797" w:header="708" w:footer="708" w:gutter="0"/>
          <w:cols w:space="708"/>
          <w:docGrid w:linePitch="360"/>
        </w:sectPr>
      </w:pPr>
    </w:p>
    <w:p w14:paraId="4698D7CD" w14:textId="38DFE929" w:rsidR="00C80CE8" w:rsidRPr="00C80CE8" w:rsidRDefault="00C80CE8" w:rsidP="00C80CE8">
      <w:pPr>
        <w:rPr>
          <w:szCs w:val="22"/>
        </w:rPr>
      </w:pPr>
    </w:p>
    <w:p w14:paraId="30BC6B50" w14:textId="1B2D169D" w:rsidR="00B30FE4" w:rsidRPr="00B30FE4" w:rsidRDefault="00B30FE4" w:rsidP="00B471ED">
      <w:pPr>
        <w:pStyle w:val="Heading2"/>
      </w:pPr>
      <w:r w:rsidRPr="00B471ED">
        <w:t>Corporate</w:t>
      </w:r>
      <w:r w:rsidRPr="00B30FE4">
        <w:t xml:space="preserve"> Governance</w:t>
      </w:r>
    </w:p>
    <w:p w14:paraId="476D9B27" w14:textId="77777777" w:rsidR="00B30FE4" w:rsidRPr="00B30FE4" w:rsidRDefault="00B30FE4" w:rsidP="00B471ED">
      <w:pPr>
        <w:pStyle w:val="Heading3"/>
      </w:pPr>
      <w:r w:rsidRPr="00B30FE4">
        <w:t>Museums Board of Victoria</w:t>
      </w:r>
    </w:p>
    <w:p w14:paraId="52E5FEC2" w14:textId="2BDE2239" w:rsidR="00B30FE4" w:rsidRPr="00B30FE4" w:rsidRDefault="00B30FE4" w:rsidP="00B30FE4">
      <w:pPr>
        <w:widowControl w:val="0"/>
      </w:pPr>
      <w:r w:rsidRPr="00B30FE4">
        <w:t xml:space="preserve">Museum Victoria is governed by the Museums Board of Victoria, a statutory body established under the </w:t>
      </w:r>
      <w:r w:rsidRPr="00B30FE4">
        <w:rPr>
          <w:i/>
          <w:iCs/>
        </w:rPr>
        <w:t>Museums Act 1983</w:t>
      </w:r>
      <w:r w:rsidRPr="00B30FE4">
        <w:t xml:space="preserve"> (Vic.). It comprises a maximum of 11 members appointed by the Governor-in-Council, and is subject to the direction and control of the Victorian Minister for </w:t>
      </w:r>
      <w:r w:rsidR="00E05C0E">
        <w:t>Creative Industries</w:t>
      </w:r>
      <w:r w:rsidRPr="00B30FE4">
        <w:t>.</w:t>
      </w:r>
    </w:p>
    <w:p w14:paraId="5C6B3F47" w14:textId="77777777" w:rsidR="00B30FE4" w:rsidRPr="00B30FE4" w:rsidRDefault="00B30FE4" w:rsidP="00B30FE4">
      <w:pPr>
        <w:widowControl w:val="0"/>
      </w:pPr>
    </w:p>
    <w:p w14:paraId="196768BA" w14:textId="672AD124" w:rsidR="00B30FE4" w:rsidRPr="00B30FE4" w:rsidRDefault="00B30FE4" w:rsidP="00B30FE4">
      <w:pPr>
        <w:widowControl w:val="0"/>
      </w:pPr>
      <w:r w:rsidRPr="00B30FE4">
        <w:t xml:space="preserve">The Museums Board of Victoria is directly accountable to the Victorian Government through the </w:t>
      </w:r>
      <w:r w:rsidRPr="00E05C0E">
        <w:t xml:space="preserve">Minister for </w:t>
      </w:r>
      <w:r w:rsidR="00E05C0E">
        <w:t>Creative Industries</w:t>
      </w:r>
      <w:r w:rsidRPr="00E05C0E">
        <w:t>,</w:t>
      </w:r>
      <w:r w:rsidRPr="00B30FE4">
        <w:t xml:space="preserve"> and works closely with </w:t>
      </w:r>
      <w:r w:rsidR="00E05C0E">
        <w:t>Creative</w:t>
      </w:r>
      <w:r w:rsidR="00E05C0E" w:rsidRPr="00B30FE4">
        <w:t xml:space="preserve"> </w:t>
      </w:r>
      <w:r w:rsidRPr="00B30FE4">
        <w:t>Victoria to deliver policy objectives.</w:t>
      </w:r>
    </w:p>
    <w:p w14:paraId="2F296A8F" w14:textId="77777777" w:rsidR="00B30FE4" w:rsidRPr="00B30FE4" w:rsidRDefault="00B30FE4" w:rsidP="00B30FE4">
      <w:pPr>
        <w:widowControl w:val="0"/>
      </w:pPr>
    </w:p>
    <w:p w14:paraId="62E9B242" w14:textId="35F4B9BF" w:rsidR="00B30FE4" w:rsidRPr="00B30FE4" w:rsidRDefault="00B30FE4" w:rsidP="00B30FE4">
      <w:pPr>
        <w:widowControl w:val="0"/>
      </w:pPr>
      <w:r w:rsidRPr="00B30FE4">
        <w:t>The Board is responsible for maintaining the standards of Museum Victoria’s management and has the following functions:</w:t>
      </w:r>
    </w:p>
    <w:p w14:paraId="3A6884AA" w14:textId="5E19AA10" w:rsidR="00B30FE4" w:rsidRPr="00B30FE4" w:rsidRDefault="00B30FE4" w:rsidP="00B30FE4">
      <w:pPr>
        <w:numPr>
          <w:ilvl w:val="0"/>
          <w:numId w:val="4"/>
        </w:numPr>
        <w:ind w:left="426" w:hanging="426"/>
      </w:pPr>
      <w:r w:rsidRPr="00B30FE4">
        <w:t>to contr</w:t>
      </w:r>
      <w:r w:rsidR="00B471ED">
        <w:t>ol, manage, operate, promote, d</w:t>
      </w:r>
      <w:r w:rsidR="009E51A8">
        <w:t>e</w:t>
      </w:r>
      <w:r w:rsidRPr="00B30FE4">
        <w:t>velop and maintain Museum Victoria</w:t>
      </w:r>
    </w:p>
    <w:p w14:paraId="56B63CCE" w14:textId="08869C3F" w:rsidR="00B30FE4" w:rsidRPr="00B30FE4" w:rsidRDefault="00B30FE4" w:rsidP="00B30FE4">
      <w:pPr>
        <w:numPr>
          <w:ilvl w:val="0"/>
          <w:numId w:val="4"/>
        </w:numPr>
        <w:ind w:left="426" w:hanging="426"/>
      </w:pPr>
      <w:r w:rsidRPr="00B30FE4">
        <w:t xml:space="preserve">to control, manage, operate, promote, develop and maintain the exhibition land as a place for holding public exhibitions and for the assembly, education, instruction, entertainment </w:t>
      </w:r>
      <w:r w:rsidR="00CD03A5">
        <w:t>and</w:t>
      </w:r>
      <w:r w:rsidR="00CD03A5" w:rsidRPr="00B30FE4">
        <w:t xml:space="preserve"> </w:t>
      </w:r>
      <w:r w:rsidRPr="00B30FE4">
        <w:t>recreation of the public</w:t>
      </w:r>
    </w:p>
    <w:p w14:paraId="28479CE1" w14:textId="3376E4A8" w:rsidR="00B30FE4" w:rsidRPr="00B30FE4" w:rsidRDefault="00B30FE4" w:rsidP="00B30FE4">
      <w:pPr>
        <w:numPr>
          <w:ilvl w:val="0"/>
          <w:numId w:val="4"/>
        </w:numPr>
        <w:ind w:left="426" w:hanging="426"/>
      </w:pPr>
      <w:r w:rsidRPr="00B30FE4">
        <w:t xml:space="preserve">to develop and maintain the </w:t>
      </w:r>
      <w:r w:rsidR="00CD03A5">
        <w:t>S</w:t>
      </w:r>
      <w:r w:rsidRPr="00B30FE4">
        <w:t xml:space="preserve">tate </w:t>
      </w:r>
      <w:r w:rsidR="00CD03A5">
        <w:t>C</w:t>
      </w:r>
      <w:r w:rsidRPr="00B30FE4">
        <w:t>ollections of natural sciences, Indigenous cultures, social history and science and technology</w:t>
      </w:r>
    </w:p>
    <w:p w14:paraId="5E5A28BF" w14:textId="77777777" w:rsidR="00B30FE4" w:rsidRPr="00B30FE4" w:rsidRDefault="00B30FE4" w:rsidP="00B30FE4">
      <w:pPr>
        <w:numPr>
          <w:ilvl w:val="0"/>
          <w:numId w:val="4"/>
        </w:numPr>
        <w:ind w:left="426" w:hanging="426"/>
      </w:pPr>
      <w:r w:rsidRPr="00B30FE4">
        <w:t>to exhibit material from those collections for the purposes of education and entertainment</w:t>
      </w:r>
    </w:p>
    <w:p w14:paraId="43DA0C64" w14:textId="77777777" w:rsidR="00B30FE4" w:rsidRPr="00B30FE4" w:rsidRDefault="00B30FE4" w:rsidP="00B30FE4">
      <w:pPr>
        <w:numPr>
          <w:ilvl w:val="0"/>
          <w:numId w:val="4"/>
        </w:numPr>
        <w:ind w:left="426" w:hanging="426"/>
      </w:pPr>
      <w:r w:rsidRPr="00B30FE4">
        <w:t>to promote the use of those collections for scientific research</w:t>
      </w:r>
    </w:p>
    <w:p w14:paraId="1F1A2C7A" w14:textId="77777777" w:rsidR="00B30FE4" w:rsidRPr="00B30FE4" w:rsidRDefault="00B30FE4" w:rsidP="00B30FE4">
      <w:pPr>
        <w:numPr>
          <w:ilvl w:val="0"/>
          <w:numId w:val="4"/>
        </w:numPr>
        <w:ind w:left="426" w:hanging="426"/>
      </w:pPr>
      <w:r w:rsidRPr="00B30FE4">
        <w:t>to promote the use of Museum Victoria’s resources for education in Victoria</w:t>
      </w:r>
    </w:p>
    <w:p w14:paraId="4A28F71F" w14:textId="77777777" w:rsidR="00B30FE4" w:rsidRPr="00B30FE4" w:rsidRDefault="00B30FE4" w:rsidP="00B30FE4">
      <w:pPr>
        <w:numPr>
          <w:ilvl w:val="0"/>
          <w:numId w:val="4"/>
        </w:numPr>
        <w:ind w:left="426" w:hanging="426"/>
      </w:pPr>
      <w:r w:rsidRPr="00B30FE4">
        <w:t>to research, present and promote issues of public relevance and benefit</w:t>
      </w:r>
    </w:p>
    <w:p w14:paraId="209D3FF3" w14:textId="77777777" w:rsidR="00B30FE4" w:rsidRPr="00B30FE4" w:rsidRDefault="00B30FE4" w:rsidP="00B30FE4">
      <w:pPr>
        <w:numPr>
          <w:ilvl w:val="0"/>
          <w:numId w:val="4"/>
        </w:numPr>
        <w:ind w:left="426" w:hanging="426"/>
      </w:pPr>
      <w:r w:rsidRPr="00B30FE4">
        <w:t>to act as a repository for specimens upon which scientific studies have been made or which may have special cultural or historical significance</w:t>
      </w:r>
    </w:p>
    <w:p w14:paraId="4BAAFF08" w14:textId="580E9AB3" w:rsidR="00B30FE4" w:rsidRPr="00B30FE4" w:rsidRDefault="00B30FE4" w:rsidP="00B30FE4">
      <w:pPr>
        <w:numPr>
          <w:ilvl w:val="0"/>
          <w:numId w:val="4"/>
        </w:numPr>
        <w:ind w:left="426" w:hanging="426"/>
      </w:pPr>
      <w:r w:rsidRPr="00B30FE4">
        <w:t>to provide leadership to museums in Victoria</w:t>
      </w:r>
    </w:p>
    <w:p w14:paraId="74A79BBB" w14:textId="4635A07C" w:rsidR="005A0D86" w:rsidRPr="00B30FE4" w:rsidRDefault="00B30FE4" w:rsidP="005A0D86">
      <w:pPr>
        <w:numPr>
          <w:ilvl w:val="0"/>
          <w:numId w:val="4"/>
        </w:numPr>
        <w:ind w:left="426" w:hanging="426"/>
      </w:pPr>
      <w:r w:rsidRPr="00B30FE4">
        <w:t xml:space="preserve">to advise the Victorian </w:t>
      </w:r>
      <w:r w:rsidRPr="00E05C0E">
        <w:t xml:space="preserve">Minister for </w:t>
      </w:r>
      <w:r w:rsidR="00E05C0E">
        <w:t>Creative Industries</w:t>
      </w:r>
      <w:r w:rsidRPr="00B30FE4">
        <w:t xml:space="preserve"> on matters relating to museums and the coordination of museum services in Victoria.</w:t>
      </w:r>
    </w:p>
    <w:p w14:paraId="6B521DEC" w14:textId="77777777" w:rsidR="00B30FE4" w:rsidRDefault="00B30FE4" w:rsidP="00B30FE4"/>
    <w:p w14:paraId="125A8A9E" w14:textId="6A2969FE" w:rsidR="005A0D86" w:rsidRPr="00665EED" w:rsidRDefault="005A0D86" w:rsidP="00B30FE4">
      <w:pPr>
        <w:rPr>
          <w:i/>
        </w:rPr>
      </w:pPr>
      <w:r>
        <w:t xml:space="preserve">The Museums Board of Victoria functions are listed </w:t>
      </w:r>
      <w:r w:rsidR="00B65182">
        <w:t>under section 23 of</w:t>
      </w:r>
      <w:r>
        <w:t xml:space="preserve"> the </w:t>
      </w:r>
      <w:r>
        <w:rPr>
          <w:i/>
        </w:rPr>
        <w:t xml:space="preserve">Museums Act 1983 </w:t>
      </w:r>
      <w:r w:rsidRPr="00665EED">
        <w:t>(Vic.)</w:t>
      </w:r>
      <w:r>
        <w:t>.</w:t>
      </w:r>
    </w:p>
    <w:p w14:paraId="36849382" w14:textId="77777777" w:rsidR="005A0D86" w:rsidRPr="00B30FE4" w:rsidRDefault="005A0D86" w:rsidP="00B30FE4"/>
    <w:p w14:paraId="4852D2DB" w14:textId="6F8B1F3A" w:rsidR="00B30FE4" w:rsidRPr="00B30FE4" w:rsidRDefault="00B30FE4" w:rsidP="00B30FE4">
      <w:r w:rsidRPr="00B30FE4">
        <w:t>Number of meetings during the financial year: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Board members"/>
        <w:tblDescription w:val="Table shows number of Board meetings attended by each member."/>
      </w:tblPr>
      <w:tblGrid>
        <w:gridCol w:w="4795"/>
        <w:gridCol w:w="3501"/>
      </w:tblGrid>
      <w:tr w:rsidR="00B30FE4" w:rsidRPr="00B30FE4" w14:paraId="1669B1D7" w14:textId="77777777" w:rsidTr="00DE1B1B">
        <w:tc>
          <w:tcPr>
            <w:tcW w:w="4795" w:type="dxa"/>
          </w:tcPr>
          <w:p w14:paraId="2C6FF998" w14:textId="77777777" w:rsidR="00B30FE4" w:rsidRPr="00B30FE4" w:rsidRDefault="00B30FE4" w:rsidP="00B30FE4">
            <w:pPr>
              <w:rPr>
                <w:rFonts w:cs="Arial"/>
                <w:b/>
                <w:szCs w:val="22"/>
              </w:rPr>
            </w:pPr>
            <w:r w:rsidRPr="00B30FE4">
              <w:rPr>
                <w:rFonts w:cs="Arial"/>
                <w:b/>
                <w:szCs w:val="22"/>
              </w:rPr>
              <w:t>Board Member</w:t>
            </w:r>
          </w:p>
        </w:tc>
        <w:tc>
          <w:tcPr>
            <w:tcW w:w="3501" w:type="dxa"/>
          </w:tcPr>
          <w:p w14:paraId="5EC7147C" w14:textId="77777777" w:rsidR="00B30FE4" w:rsidRPr="00B30FE4" w:rsidRDefault="00B30FE4" w:rsidP="00B30FE4">
            <w:pPr>
              <w:rPr>
                <w:rFonts w:cs="Arial"/>
                <w:b/>
                <w:szCs w:val="22"/>
                <w:highlight w:val="yellow"/>
              </w:rPr>
            </w:pPr>
            <w:r w:rsidRPr="00B30FE4">
              <w:rPr>
                <w:rFonts w:cs="Arial"/>
                <w:b/>
                <w:szCs w:val="22"/>
              </w:rPr>
              <w:t>No. of Meetings Attended</w:t>
            </w:r>
          </w:p>
        </w:tc>
      </w:tr>
      <w:tr w:rsidR="00B30FE4" w:rsidRPr="00B30FE4" w14:paraId="40EBAF45" w14:textId="77777777" w:rsidTr="00DE1B1B">
        <w:tc>
          <w:tcPr>
            <w:tcW w:w="4795" w:type="dxa"/>
          </w:tcPr>
          <w:p w14:paraId="6FD841F2" w14:textId="77777777" w:rsidR="00B30FE4" w:rsidRPr="00B30FE4" w:rsidRDefault="00B30FE4" w:rsidP="00B30FE4">
            <w:pPr>
              <w:widowControl w:val="0"/>
              <w:rPr>
                <w:rFonts w:cs="Arial"/>
                <w:bCs/>
                <w:iCs/>
              </w:rPr>
            </w:pPr>
            <w:r w:rsidRPr="00B30FE4">
              <w:rPr>
                <w:rFonts w:cs="Arial"/>
                <w:bCs/>
                <w:iCs/>
              </w:rPr>
              <w:t xml:space="preserve">Professor Margaret Gardner AO (President) </w:t>
            </w:r>
          </w:p>
        </w:tc>
        <w:tc>
          <w:tcPr>
            <w:tcW w:w="3501" w:type="dxa"/>
          </w:tcPr>
          <w:p w14:paraId="5666CDA2" w14:textId="4739E6B6" w:rsidR="00B30FE4" w:rsidRPr="002324E6" w:rsidRDefault="002324E6" w:rsidP="00B30FE4">
            <w:pPr>
              <w:rPr>
                <w:rFonts w:cs="Arial"/>
                <w:szCs w:val="22"/>
              </w:rPr>
            </w:pPr>
            <w:r w:rsidRPr="000720D0">
              <w:rPr>
                <w:rFonts w:cs="Arial"/>
                <w:szCs w:val="22"/>
              </w:rPr>
              <w:t>6</w:t>
            </w:r>
          </w:p>
        </w:tc>
      </w:tr>
      <w:tr w:rsidR="00B30FE4" w:rsidRPr="00B30FE4" w14:paraId="5996BE74" w14:textId="77777777" w:rsidTr="00DE1B1B">
        <w:tc>
          <w:tcPr>
            <w:tcW w:w="4795" w:type="dxa"/>
          </w:tcPr>
          <w:p w14:paraId="2CAFC7BA" w14:textId="77777777" w:rsidR="00B30FE4" w:rsidRPr="00B30FE4" w:rsidRDefault="00B30FE4" w:rsidP="00B30FE4">
            <w:pPr>
              <w:widowControl w:val="0"/>
              <w:rPr>
                <w:rFonts w:cs="Arial"/>
                <w:bCs/>
                <w:iCs/>
              </w:rPr>
            </w:pPr>
            <w:r w:rsidRPr="00B30FE4">
              <w:rPr>
                <w:rFonts w:cs="Arial"/>
                <w:bCs/>
                <w:iCs/>
              </w:rPr>
              <w:t xml:space="preserve">Mr Andrew Butcher </w:t>
            </w:r>
          </w:p>
        </w:tc>
        <w:tc>
          <w:tcPr>
            <w:tcW w:w="3501" w:type="dxa"/>
          </w:tcPr>
          <w:p w14:paraId="6E8E065B" w14:textId="1354AAAA" w:rsidR="00B30FE4" w:rsidRPr="002324E6" w:rsidRDefault="002324E6" w:rsidP="00B30FE4">
            <w:pPr>
              <w:rPr>
                <w:rFonts w:cs="Arial"/>
                <w:szCs w:val="22"/>
              </w:rPr>
            </w:pPr>
            <w:r w:rsidRPr="000720D0">
              <w:rPr>
                <w:rFonts w:cs="Arial"/>
                <w:szCs w:val="22"/>
              </w:rPr>
              <w:t>4</w:t>
            </w:r>
          </w:p>
        </w:tc>
      </w:tr>
      <w:tr w:rsidR="00B30FE4" w:rsidRPr="00B30FE4" w14:paraId="4C020704" w14:textId="77777777" w:rsidTr="00DE1B1B">
        <w:tc>
          <w:tcPr>
            <w:tcW w:w="4795" w:type="dxa"/>
          </w:tcPr>
          <w:p w14:paraId="0715497A" w14:textId="77777777" w:rsidR="00B30FE4" w:rsidRPr="00B30FE4" w:rsidRDefault="00B30FE4" w:rsidP="00B30FE4">
            <w:pPr>
              <w:widowControl w:val="0"/>
              <w:rPr>
                <w:rFonts w:cs="Arial"/>
                <w:bCs/>
                <w:iCs/>
              </w:rPr>
            </w:pPr>
            <w:r w:rsidRPr="00B30FE4">
              <w:rPr>
                <w:rFonts w:cs="Arial"/>
                <w:bCs/>
                <w:iCs/>
              </w:rPr>
              <w:t>Professor Edwina Cornish AO</w:t>
            </w:r>
          </w:p>
        </w:tc>
        <w:tc>
          <w:tcPr>
            <w:tcW w:w="3501" w:type="dxa"/>
          </w:tcPr>
          <w:p w14:paraId="56B07EEC" w14:textId="3223E75E" w:rsidR="00B30FE4" w:rsidRPr="002324E6" w:rsidRDefault="002324E6" w:rsidP="00B30FE4">
            <w:pPr>
              <w:rPr>
                <w:rFonts w:cs="Arial"/>
                <w:szCs w:val="22"/>
              </w:rPr>
            </w:pPr>
            <w:r w:rsidRPr="000720D0">
              <w:rPr>
                <w:rFonts w:cs="Arial"/>
                <w:szCs w:val="22"/>
              </w:rPr>
              <w:t>4</w:t>
            </w:r>
          </w:p>
        </w:tc>
      </w:tr>
      <w:tr w:rsidR="00B30FE4" w:rsidRPr="00B30FE4" w14:paraId="640A8105" w14:textId="77777777" w:rsidTr="00DE1B1B">
        <w:tc>
          <w:tcPr>
            <w:tcW w:w="4795" w:type="dxa"/>
          </w:tcPr>
          <w:p w14:paraId="04D3F1C8" w14:textId="77777777" w:rsidR="00B30FE4" w:rsidRPr="00B30FE4" w:rsidRDefault="00B30FE4" w:rsidP="00B30FE4">
            <w:pPr>
              <w:widowControl w:val="0"/>
              <w:rPr>
                <w:rFonts w:cs="Arial"/>
                <w:bCs/>
                <w:iCs/>
              </w:rPr>
            </w:pPr>
            <w:r w:rsidRPr="00B30FE4">
              <w:rPr>
                <w:rFonts w:cs="Arial"/>
                <w:bCs/>
                <w:iCs/>
              </w:rPr>
              <w:t>Mr Jim Cousins AO</w:t>
            </w:r>
          </w:p>
        </w:tc>
        <w:tc>
          <w:tcPr>
            <w:tcW w:w="3501" w:type="dxa"/>
          </w:tcPr>
          <w:p w14:paraId="51EF4A84" w14:textId="266FD00D" w:rsidR="00B30FE4" w:rsidRPr="002324E6" w:rsidRDefault="002324E6" w:rsidP="00B30FE4">
            <w:pPr>
              <w:rPr>
                <w:rFonts w:cs="Arial"/>
                <w:b/>
                <w:szCs w:val="22"/>
              </w:rPr>
            </w:pPr>
            <w:r w:rsidRPr="000720D0">
              <w:rPr>
                <w:rFonts w:cs="Arial"/>
                <w:szCs w:val="22"/>
              </w:rPr>
              <w:t>6</w:t>
            </w:r>
          </w:p>
        </w:tc>
      </w:tr>
      <w:tr w:rsidR="00B30FE4" w:rsidRPr="00B30FE4" w14:paraId="2BA1CF11" w14:textId="77777777" w:rsidTr="00DE1B1B">
        <w:tc>
          <w:tcPr>
            <w:tcW w:w="4795" w:type="dxa"/>
          </w:tcPr>
          <w:p w14:paraId="02047935" w14:textId="77777777" w:rsidR="00B30FE4" w:rsidRPr="00B30FE4" w:rsidRDefault="00B30FE4" w:rsidP="00B30FE4">
            <w:pPr>
              <w:widowControl w:val="0"/>
              <w:rPr>
                <w:rFonts w:cs="Arial"/>
                <w:bCs/>
                <w:iCs/>
              </w:rPr>
            </w:pPr>
            <w:r w:rsidRPr="00B30FE4">
              <w:rPr>
                <w:rFonts w:cs="Arial"/>
                <w:bCs/>
                <w:iCs/>
              </w:rPr>
              <w:t>Ms Sylvia Falzon</w:t>
            </w:r>
          </w:p>
        </w:tc>
        <w:tc>
          <w:tcPr>
            <w:tcW w:w="3501" w:type="dxa"/>
          </w:tcPr>
          <w:p w14:paraId="00AA984F" w14:textId="2A8D4077" w:rsidR="00B30FE4" w:rsidRPr="002324E6" w:rsidRDefault="002324E6" w:rsidP="00B30FE4">
            <w:pPr>
              <w:rPr>
                <w:rFonts w:cs="Arial"/>
                <w:b/>
                <w:szCs w:val="22"/>
              </w:rPr>
            </w:pPr>
            <w:r w:rsidRPr="000720D0">
              <w:rPr>
                <w:rFonts w:cs="Arial"/>
                <w:szCs w:val="22"/>
              </w:rPr>
              <w:t>6</w:t>
            </w:r>
          </w:p>
        </w:tc>
      </w:tr>
      <w:tr w:rsidR="00B30FE4" w:rsidRPr="00B30FE4" w14:paraId="2438E129" w14:textId="77777777" w:rsidTr="00DE1B1B">
        <w:tc>
          <w:tcPr>
            <w:tcW w:w="4795" w:type="dxa"/>
          </w:tcPr>
          <w:p w14:paraId="79918AC5" w14:textId="7014BF0D" w:rsidR="00B30FE4" w:rsidRPr="00B30FE4" w:rsidRDefault="00B30FE4" w:rsidP="00B30FE4">
            <w:pPr>
              <w:widowControl w:val="0"/>
              <w:rPr>
                <w:rFonts w:cs="Arial"/>
                <w:bCs/>
                <w:iCs/>
              </w:rPr>
            </w:pPr>
            <w:r w:rsidRPr="00B30FE4">
              <w:rPr>
                <w:rFonts w:cs="Arial"/>
                <w:bCs/>
                <w:iCs/>
              </w:rPr>
              <w:t>Mr Wilkin Fon (reappointed 4 August</w:t>
            </w:r>
            <w:r w:rsidR="0083327A">
              <w:rPr>
                <w:rFonts w:cs="Arial"/>
                <w:bCs/>
                <w:iCs/>
              </w:rPr>
              <w:t xml:space="preserve"> 2015</w:t>
            </w:r>
            <w:r w:rsidRPr="00B30FE4">
              <w:rPr>
                <w:rFonts w:cs="Arial"/>
                <w:bCs/>
                <w:iCs/>
              </w:rPr>
              <w:t>)</w:t>
            </w:r>
          </w:p>
        </w:tc>
        <w:tc>
          <w:tcPr>
            <w:tcW w:w="3501" w:type="dxa"/>
          </w:tcPr>
          <w:p w14:paraId="5F859F30" w14:textId="07EEE27C" w:rsidR="00B30FE4" w:rsidRPr="002324E6" w:rsidRDefault="002324E6" w:rsidP="00B30FE4">
            <w:pPr>
              <w:rPr>
                <w:rFonts w:cs="Arial"/>
                <w:b/>
                <w:szCs w:val="22"/>
              </w:rPr>
            </w:pPr>
            <w:r w:rsidRPr="000720D0">
              <w:rPr>
                <w:rFonts w:cs="Arial"/>
                <w:szCs w:val="22"/>
              </w:rPr>
              <w:t>6</w:t>
            </w:r>
          </w:p>
        </w:tc>
      </w:tr>
      <w:tr w:rsidR="00B30FE4" w:rsidRPr="00B30FE4" w14:paraId="0414AE17" w14:textId="77777777" w:rsidTr="00DE1B1B">
        <w:tc>
          <w:tcPr>
            <w:tcW w:w="4795" w:type="dxa"/>
          </w:tcPr>
          <w:p w14:paraId="3522AAE0" w14:textId="77777777" w:rsidR="00B30FE4" w:rsidRPr="00B30FE4" w:rsidRDefault="00B30FE4" w:rsidP="00B30FE4">
            <w:pPr>
              <w:widowControl w:val="0"/>
              <w:rPr>
                <w:rFonts w:cs="Arial"/>
                <w:bCs/>
                <w:iCs/>
              </w:rPr>
            </w:pPr>
            <w:r w:rsidRPr="00B30FE4">
              <w:rPr>
                <w:rFonts w:cs="Arial"/>
                <w:bCs/>
                <w:iCs/>
              </w:rPr>
              <w:t>Mr Colin Golvan QC</w:t>
            </w:r>
          </w:p>
        </w:tc>
        <w:tc>
          <w:tcPr>
            <w:tcW w:w="3501" w:type="dxa"/>
          </w:tcPr>
          <w:p w14:paraId="0E022A12" w14:textId="72736CEF" w:rsidR="00B30FE4" w:rsidRPr="002324E6" w:rsidRDefault="002324E6" w:rsidP="00B30FE4">
            <w:pPr>
              <w:rPr>
                <w:rFonts w:cs="Arial"/>
                <w:b/>
                <w:szCs w:val="22"/>
              </w:rPr>
            </w:pPr>
            <w:r w:rsidRPr="000720D0">
              <w:rPr>
                <w:rFonts w:cs="Arial"/>
                <w:szCs w:val="22"/>
              </w:rPr>
              <w:t>6</w:t>
            </w:r>
          </w:p>
        </w:tc>
      </w:tr>
      <w:tr w:rsidR="00B30FE4" w:rsidRPr="00B30FE4" w14:paraId="4449041A" w14:textId="77777777" w:rsidTr="00DE1B1B">
        <w:tc>
          <w:tcPr>
            <w:tcW w:w="4795" w:type="dxa"/>
          </w:tcPr>
          <w:p w14:paraId="286748A7" w14:textId="77777777" w:rsidR="00B30FE4" w:rsidRPr="00B30FE4" w:rsidRDefault="00B30FE4" w:rsidP="00B30FE4">
            <w:pPr>
              <w:widowControl w:val="0"/>
              <w:rPr>
                <w:rFonts w:cs="Arial"/>
                <w:bCs/>
                <w:iCs/>
              </w:rPr>
            </w:pPr>
            <w:r w:rsidRPr="00B30FE4">
              <w:rPr>
                <w:rFonts w:cs="Arial"/>
                <w:bCs/>
                <w:iCs/>
              </w:rPr>
              <w:t>Dr Alison Inglis (appointed 4 August 2015)</w:t>
            </w:r>
          </w:p>
        </w:tc>
        <w:tc>
          <w:tcPr>
            <w:tcW w:w="3501" w:type="dxa"/>
          </w:tcPr>
          <w:p w14:paraId="1D5AED29" w14:textId="51270E60" w:rsidR="00B30FE4" w:rsidRPr="000720D0" w:rsidRDefault="002324E6" w:rsidP="00B30FE4">
            <w:pPr>
              <w:rPr>
                <w:rFonts w:cs="Arial"/>
                <w:szCs w:val="22"/>
              </w:rPr>
            </w:pPr>
            <w:r w:rsidRPr="000720D0">
              <w:rPr>
                <w:rFonts w:cs="Arial"/>
                <w:szCs w:val="22"/>
              </w:rPr>
              <w:t>4</w:t>
            </w:r>
          </w:p>
        </w:tc>
      </w:tr>
      <w:tr w:rsidR="00B30FE4" w:rsidRPr="00B30FE4" w14:paraId="7E6C6D21" w14:textId="77777777" w:rsidTr="00DE1B1B">
        <w:tc>
          <w:tcPr>
            <w:tcW w:w="4795" w:type="dxa"/>
          </w:tcPr>
          <w:p w14:paraId="30D58A1F" w14:textId="77777777" w:rsidR="00B30FE4" w:rsidRPr="00B30FE4" w:rsidRDefault="00B30FE4" w:rsidP="00B30FE4">
            <w:pPr>
              <w:widowControl w:val="0"/>
              <w:rPr>
                <w:rFonts w:cs="Arial"/>
                <w:bCs/>
                <w:iCs/>
              </w:rPr>
            </w:pPr>
            <w:r w:rsidRPr="00B30FE4">
              <w:rPr>
                <w:rFonts w:cs="Arial"/>
                <w:bCs/>
                <w:iCs/>
              </w:rPr>
              <w:t xml:space="preserve">Mr Trevor Tappenden </w:t>
            </w:r>
          </w:p>
        </w:tc>
        <w:tc>
          <w:tcPr>
            <w:tcW w:w="3501" w:type="dxa"/>
          </w:tcPr>
          <w:p w14:paraId="0B20A527" w14:textId="09FE2D83" w:rsidR="00B30FE4" w:rsidRPr="000720D0" w:rsidRDefault="002324E6" w:rsidP="00B30FE4">
            <w:pPr>
              <w:rPr>
                <w:rFonts w:cs="Arial"/>
                <w:szCs w:val="22"/>
              </w:rPr>
            </w:pPr>
            <w:r w:rsidRPr="000720D0">
              <w:rPr>
                <w:rFonts w:cs="Arial"/>
                <w:szCs w:val="22"/>
              </w:rPr>
              <w:t>6</w:t>
            </w:r>
          </w:p>
        </w:tc>
      </w:tr>
      <w:tr w:rsidR="00B30FE4" w:rsidRPr="00B30FE4" w14:paraId="5CF998B8" w14:textId="77777777" w:rsidTr="00DE1B1B">
        <w:tc>
          <w:tcPr>
            <w:tcW w:w="4795" w:type="dxa"/>
          </w:tcPr>
          <w:p w14:paraId="20A39263" w14:textId="77777777" w:rsidR="00B30FE4" w:rsidRPr="00B30FE4" w:rsidRDefault="00B30FE4" w:rsidP="00B30FE4">
            <w:pPr>
              <w:widowControl w:val="0"/>
              <w:rPr>
                <w:rFonts w:cs="Arial"/>
                <w:bCs/>
                <w:iCs/>
              </w:rPr>
            </w:pPr>
            <w:r w:rsidRPr="00B30FE4">
              <w:rPr>
                <w:rFonts w:cs="Arial"/>
                <w:bCs/>
                <w:iCs/>
              </w:rPr>
              <w:t xml:space="preserve">Ms Annette Vickery </w:t>
            </w:r>
          </w:p>
        </w:tc>
        <w:tc>
          <w:tcPr>
            <w:tcW w:w="3501" w:type="dxa"/>
          </w:tcPr>
          <w:p w14:paraId="3E339C22" w14:textId="05321D07" w:rsidR="00B30FE4" w:rsidRPr="002324E6" w:rsidRDefault="002324E6" w:rsidP="00B30FE4">
            <w:pPr>
              <w:rPr>
                <w:rFonts w:cs="Arial"/>
                <w:szCs w:val="22"/>
              </w:rPr>
            </w:pPr>
            <w:r w:rsidRPr="000720D0">
              <w:rPr>
                <w:rFonts w:cs="Arial"/>
                <w:szCs w:val="22"/>
              </w:rPr>
              <w:t>4</w:t>
            </w:r>
          </w:p>
        </w:tc>
      </w:tr>
    </w:tbl>
    <w:p w14:paraId="2916BC54" w14:textId="77777777" w:rsidR="00B30FE4" w:rsidRPr="00B30FE4" w:rsidRDefault="00B30FE4" w:rsidP="00B30FE4">
      <w:pPr>
        <w:rPr>
          <w:b/>
          <w:sz w:val="36"/>
        </w:rPr>
      </w:pPr>
      <w:r w:rsidRPr="00B30FE4">
        <w:br w:type="page"/>
      </w:r>
    </w:p>
    <w:p w14:paraId="6843BBC1" w14:textId="77777777" w:rsidR="00B30FE4" w:rsidRPr="00B30FE4" w:rsidRDefault="00B30FE4" w:rsidP="0010399B">
      <w:pPr>
        <w:pStyle w:val="Heading3"/>
      </w:pPr>
      <w:r w:rsidRPr="00B30FE4">
        <w:lastRenderedPageBreak/>
        <w:t>Committees</w:t>
      </w:r>
    </w:p>
    <w:p w14:paraId="0986C1C5" w14:textId="77777777" w:rsidR="00B30FE4" w:rsidRPr="00B30FE4" w:rsidRDefault="00B30FE4" w:rsidP="00B30FE4">
      <w:r w:rsidRPr="00B30FE4">
        <w:t xml:space="preserve">The Board has established a number of committees under the Act. </w:t>
      </w:r>
    </w:p>
    <w:p w14:paraId="11C45033" w14:textId="77777777" w:rsidR="00B30FE4" w:rsidRPr="00B30FE4" w:rsidRDefault="00B30FE4" w:rsidP="00B30FE4"/>
    <w:p w14:paraId="33457FC2" w14:textId="77777777" w:rsidR="00B30FE4" w:rsidRPr="00B30FE4" w:rsidRDefault="00B30FE4" w:rsidP="0010399B">
      <w:pPr>
        <w:pStyle w:val="Heading4"/>
      </w:pPr>
      <w:r w:rsidRPr="0010399B">
        <w:t>Aboriginal</w:t>
      </w:r>
      <w:r w:rsidRPr="00B30FE4">
        <w:t xml:space="preserve"> Cultural Heritage Advisory Committee</w:t>
      </w:r>
    </w:p>
    <w:p w14:paraId="0C42F70B" w14:textId="1D7D9E7B" w:rsidR="00B30FE4" w:rsidRPr="00B30FE4" w:rsidRDefault="00B30FE4" w:rsidP="00B30FE4">
      <w:pPr>
        <w:widowControl w:val="0"/>
      </w:pPr>
      <w:r w:rsidRPr="00B30FE4">
        <w:t>The committee advises the Board on all matters relevant to Aboriginal cultural heritage. Its members include representatives from Aboriginal communities throughout Victoria.</w:t>
      </w:r>
      <w:r w:rsidRPr="00B30FE4">
        <w:rPr>
          <w:i/>
          <w:iCs/>
        </w:rPr>
        <w:t xml:space="preserve"> </w:t>
      </w:r>
    </w:p>
    <w:p w14:paraId="000C1201" w14:textId="77777777" w:rsidR="00B30FE4" w:rsidRPr="00B30FE4" w:rsidRDefault="00B30FE4" w:rsidP="00B30FE4">
      <w:pPr>
        <w:rPr>
          <w:b/>
        </w:rPr>
      </w:pPr>
    </w:p>
    <w:p w14:paraId="6A1B5BE5" w14:textId="4351A024" w:rsidR="00B30FE4" w:rsidRPr="00D13D2D" w:rsidRDefault="00B30FE4" w:rsidP="00B30FE4">
      <w:r w:rsidRPr="00153FF3">
        <w:t>Number of meetings during the financial year</w:t>
      </w:r>
      <w:r w:rsidRPr="00D13D2D">
        <w:t>:</w:t>
      </w:r>
      <w:r w:rsidRPr="00D13D2D">
        <w:rPr>
          <w:rFonts w:cs="Arial"/>
          <w:szCs w:val="22"/>
        </w:rPr>
        <w:t xml:space="preserve"> </w:t>
      </w:r>
      <w:r w:rsidR="002C560F" w:rsidRPr="00D13D2D">
        <w:rPr>
          <w:rFonts w:cs="Arial"/>
          <w:szCs w:val="22"/>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boriginal Cultural Heritage Advisory Committee"/>
        <w:tblDescription w:val="Table shows number of Aboriginal Cultural Heritage Advisory Committee meetings attended by each member."/>
      </w:tblPr>
      <w:tblGrid>
        <w:gridCol w:w="4797"/>
        <w:gridCol w:w="3505"/>
      </w:tblGrid>
      <w:tr w:rsidR="00B30FE4" w:rsidRPr="00D13D2D" w14:paraId="515D19C5" w14:textId="77777777" w:rsidTr="00944749">
        <w:tc>
          <w:tcPr>
            <w:tcW w:w="4928" w:type="dxa"/>
          </w:tcPr>
          <w:p w14:paraId="36A14E7D" w14:textId="77777777" w:rsidR="00B30FE4" w:rsidRPr="00AB5546" w:rsidRDefault="00B30FE4" w:rsidP="00B30FE4">
            <w:pPr>
              <w:rPr>
                <w:rFonts w:cs="Arial"/>
                <w:b/>
                <w:szCs w:val="22"/>
              </w:rPr>
            </w:pPr>
            <w:r w:rsidRPr="00AB5546">
              <w:rPr>
                <w:rFonts w:cs="Arial"/>
                <w:b/>
                <w:szCs w:val="22"/>
              </w:rPr>
              <w:t>Committee Member</w:t>
            </w:r>
          </w:p>
        </w:tc>
        <w:tc>
          <w:tcPr>
            <w:tcW w:w="3594" w:type="dxa"/>
          </w:tcPr>
          <w:p w14:paraId="654CE0E8" w14:textId="77777777" w:rsidR="00B30FE4" w:rsidRPr="00EB17C3" w:rsidRDefault="00B30FE4" w:rsidP="00B30FE4">
            <w:pPr>
              <w:rPr>
                <w:rFonts w:cs="Arial"/>
                <w:b/>
                <w:szCs w:val="22"/>
              </w:rPr>
            </w:pPr>
            <w:r w:rsidRPr="00EB17C3">
              <w:rPr>
                <w:rFonts w:cs="Arial"/>
                <w:b/>
                <w:szCs w:val="22"/>
              </w:rPr>
              <w:t>No. of Meetings Attended</w:t>
            </w:r>
          </w:p>
        </w:tc>
      </w:tr>
      <w:tr w:rsidR="00B30FE4" w:rsidRPr="00D13D2D" w14:paraId="3C13052D" w14:textId="77777777" w:rsidTr="00944749">
        <w:tc>
          <w:tcPr>
            <w:tcW w:w="4928" w:type="dxa"/>
          </w:tcPr>
          <w:p w14:paraId="7BB26D36" w14:textId="57790367" w:rsidR="00B30FE4" w:rsidRPr="00D13D2D" w:rsidRDefault="00CD03A5" w:rsidP="00B30FE4">
            <w:pPr>
              <w:widowControl w:val="0"/>
              <w:rPr>
                <w:rFonts w:cs="Arial"/>
                <w:bCs/>
                <w:iCs/>
              </w:rPr>
            </w:pPr>
            <w:r w:rsidRPr="00D13D2D">
              <w:rPr>
                <w:rFonts w:cs="Arial"/>
                <w:bCs/>
                <w:iCs/>
              </w:rPr>
              <w:t xml:space="preserve">Ms </w:t>
            </w:r>
            <w:r w:rsidR="00B30FE4" w:rsidRPr="00D13D2D">
              <w:rPr>
                <w:rFonts w:cs="Arial"/>
                <w:bCs/>
                <w:iCs/>
              </w:rPr>
              <w:t>Annette Vickery (Chair)</w:t>
            </w:r>
          </w:p>
        </w:tc>
        <w:tc>
          <w:tcPr>
            <w:tcW w:w="3594" w:type="dxa"/>
          </w:tcPr>
          <w:p w14:paraId="071497DF" w14:textId="2D795A20" w:rsidR="00B30FE4" w:rsidRPr="00D13D2D" w:rsidRDefault="002C560F" w:rsidP="00B30FE4">
            <w:pPr>
              <w:rPr>
                <w:rFonts w:cs="Arial"/>
                <w:b/>
                <w:szCs w:val="22"/>
              </w:rPr>
            </w:pPr>
            <w:r w:rsidRPr="00D13D2D">
              <w:rPr>
                <w:rFonts w:cs="Arial"/>
                <w:szCs w:val="22"/>
              </w:rPr>
              <w:t>3</w:t>
            </w:r>
          </w:p>
        </w:tc>
      </w:tr>
      <w:tr w:rsidR="00B30FE4" w:rsidRPr="00D13D2D" w14:paraId="55FDA2AC" w14:textId="77777777" w:rsidTr="00944749">
        <w:tc>
          <w:tcPr>
            <w:tcW w:w="4928" w:type="dxa"/>
          </w:tcPr>
          <w:p w14:paraId="40BA6DE8" w14:textId="77777777" w:rsidR="00B30FE4" w:rsidRPr="00D13D2D" w:rsidRDefault="00B30FE4" w:rsidP="00B30FE4">
            <w:pPr>
              <w:widowControl w:val="0"/>
              <w:rPr>
                <w:rFonts w:cs="Arial"/>
                <w:bCs/>
                <w:iCs/>
              </w:rPr>
            </w:pPr>
            <w:r w:rsidRPr="00D13D2D">
              <w:rPr>
                <w:rFonts w:cs="Arial"/>
                <w:bCs/>
                <w:iCs/>
              </w:rPr>
              <w:t>Ms Julie Andrews</w:t>
            </w:r>
          </w:p>
        </w:tc>
        <w:tc>
          <w:tcPr>
            <w:tcW w:w="3594" w:type="dxa"/>
          </w:tcPr>
          <w:p w14:paraId="4B173FF6" w14:textId="03D8C86E" w:rsidR="00B30FE4" w:rsidRPr="00D13D2D" w:rsidRDefault="00153FF3" w:rsidP="00B30FE4">
            <w:pPr>
              <w:rPr>
                <w:rFonts w:cs="Arial"/>
                <w:b/>
                <w:szCs w:val="22"/>
              </w:rPr>
            </w:pPr>
            <w:r w:rsidRPr="00D13D2D">
              <w:rPr>
                <w:rFonts w:cs="Arial"/>
                <w:szCs w:val="22"/>
              </w:rPr>
              <w:t>1</w:t>
            </w:r>
          </w:p>
        </w:tc>
      </w:tr>
      <w:tr w:rsidR="00B30FE4" w:rsidRPr="00D13D2D" w14:paraId="2EF90DB3" w14:textId="77777777" w:rsidTr="00944749">
        <w:tc>
          <w:tcPr>
            <w:tcW w:w="4928" w:type="dxa"/>
          </w:tcPr>
          <w:p w14:paraId="7E56864F" w14:textId="77777777" w:rsidR="00B30FE4" w:rsidRPr="00D13D2D" w:rsidRDefault="00B30FE4" w:rsidP="00B30FE4">
            <w:pPr>
              <w:widowControl w:val="0"/>
              <w:rPr>
                <w:rFonts w:cs="Arial"/>
                <w:bCs/>
                <w:iCs/>
              </w:rPr>
            </w:pPr>
            <w:r w:rsidRPr="00D13D2D">
              <w:rPr>
                <w:rFonts w:cs="Arial"/>
                <w:bCs/>
                <w:iCs/>
              </w:rPr>
              <w:t>Professor Henry Atkinson</w:t>
            </w:r>
          </w:p>
        </w:tc>
        <w:tc>
          <w:tcPr>
            <w:tcW w:w="3594" w:type="dxa"/>
          </w:tcPr>
          <w:p w14:paraId="586B7F22" w14:textId="23833752" w:rsidR="00B30FE4" w:rsidRPr="00D13D2D" w:rsidRDefault="002C560F" w:rsidP="00B30FE4">
            <w:pPr>
              <w:rPr>
                <w:rFonts w:cs="Arial"/>
                <w:b/>
                <w:szCs w:val="22"/>
              </w:rPr>
            </w:pPr>
            <w:r w:rsidRPr="00D13D2D">
              <w:rPr>
                <w:rFonts w:cs="Arial"/>
                <w:szCs w:val="22"/>
              </w:rPr>
              <w:t>3</w:t>
            </w:r>
          </w:p>
        </w:tc>
      </w:tr>
      <w:tr w:rsidR="00B30FE4" w:rsidRPr="00D13D2D" w14:paraId="532C9948" w14:textId="77777777" w:rsidTr="00944749">
        <w:tc>
          <w:tcPr>
            <w:tcW w:w="4928" w:type="dxa"/>
          </w:tcPr>
          <w:p w14:paraId="238F5768" w14:textId="77777777" w:rsidR="00B30FE4" w:rsidRPr="00D13D2D" w:rsidRDefault="00B30FE4" w:rsidP="00B30FE4">
            <w:pPr>
              <w:widowControl w:val="0"/>
              <w:rPr>
                <w:rFonts w:cs="Arial"/>
                <w:bCs/>
                <w:iCs/>
              </w:rPr>
            </w:pPr>
            <w:r w:rsidRPr="00D13D2D">
              <w:rPr>
                <w:rFonts w:cs="Arial"/>
                <w:bCs/>
                <w:iCs/>
              </w:rPr>
              <w:t>Ms Carolyn Briggs</w:t>
            </w:r>
          </w:p>
        </w:tc>
        <w:tc>
          <w:tcPr>
            <w:tcW w:w="3594" w:type="dxa"/>
          </w:tcPr>
          <w:p w14:paraId="4D190048" w14:textId="2E8DDCC2" w:rsidR="00B30FE4" w:rsidRPr="00D13D2D" w:rsidRDefault="00153FF3" w:rsidP="00B30FE4">
            <w:pPr>
              <w:rPr>
                <w:rFonts w:cs="Arial"/>
                <w:b/>
                <w:szCs w:val="22"/>
              </w:rPr>
            </w:pPr>
            <w:r w:rsidRPr="00D13D2D">
              <w:rPr>
                <w:rFonts w:cs="Arial"/>
                <w:szCs w:val="22"/>
              </w:rPr>
              <w:t>1</w:t>
            </w:r>
          </w:p>
        </w:tc>
      </w:tr>
      <w:tr w:rsidR="00B30FE4" w:rsidRPr="00D13D2D" w14:paraId="1DB7DABD" w14:textId="77777777" w:rsidTr="00944749">
        <w:tc>
          <w:tcPr>
            <w:tcW w:w="4928" w:type="dxa"/>
          </w:tcPr>
          <w:p w14:paraId="710131CD" w14:textId="135ACC2E" w:rsidR="00B30FE4" w:rsidRPr="00D13D2D" w:rsidRDefault="00B30FE4" w:rsidP="00B30FE4">
            <w:pPr>
              <w:widowControl w:val="0"/>
              <w:rPr>
                <w:rFonts w:cs="Arial"/>
                <w:bCs/>
                <w:iCs/>
              </w:rPr>
            </w:pPr>
            <w:r w:rsidRPr="00D13D2D">
              <w:rPr>
                <w:rFonts w:cs="Arial"/>
                <w:bCs/>
                <w:iCs/>
              </w:rPr>
              <w:t xml:space="preserve">Mr Colin Golvan </w:t>
            </w:r>
            <w:r w:rsidR="0083327A" w:rsidRPr="00D13D2D">
              <w:rPr>
                <w:rFonts w:cs="Arial"/>
                <w:bCs/>
                <w:iCs/>
              </w:rPr>
              <w:t>Q</w:t>
            </w:r>
            <w:r w:rsidRPr="00D13D2D">
              <w:rPr>
                <w:rFonts w:cs="Arial"/>
                <w:bCs/>
                <w:iCs/>
              </w:rPr>
              <w:t>C</w:t>
            </w:r>
          </w:p>
        </w:tc>
        <w:tc>
          <w:tcPr>
            <w:tcW w:w="3594" w:type="dxa"/>
          </w:tcPr>
          <w:p w14:paraId="55E06CB9" w14:textId="7BEE1961" w:rsidR="00B30FE4" w:rsidRPr="00D13D2D" w:rsidRDefault="002C560F" w:rsidP="00B30FE4">
            <w:pPr>
              <w:rPr>
                <w:rFonts w:cs="Arial"/>
                <w:b/>
                <w:szCs w:val="22"/>
              </w:rPr>
            </w:pPr>
            <w:r w:rsidRPr="00D13D2D">
              <w:rPr>
                <w:rFonts w:cs="Arial"/>
                <w:szCs w:val="22"/>
              </w:rPr>
              <w:t>2</w:t>
            </w:r>
          </w:p>
        </w:tc>
      </w:tr>
      <w:tr w:rsidR="00B30FE4" w:rsidRPr="00D13D2D" w14:paraId="3DEA8677" w14:textId="77777777" w:rsidTr="00944749">
        <w:tc>
          <w:tcPr>
            <w:tcW w:w="4928" w:type="dxa"/>
          </w:tcPr>
          <w:p w14:paraId="314F3CDC" w14:textId="77777777" w:rsidR="00B30FE4" w:rsidRPr="00D13D2D" w:rsidRDefault="00B30FE4" w:rsidP="00B30FE4">
            <w:pPr>
              <w:widowControl w:val="0"/>
              <w:rPr>
                <w:rFonts w:cs="Arial"/>
                <w:bCs/>
                <w:iCs/>
              </w:rPr>
            </w:pPr>
            <w:r w:rsidRPr="00D13D2D">
              <w:rPr>
                <w:rFonts w:cs="Arial"/>
                <w:bCs/>
                <w:iCs/>
              </w:rPr>
              <w:t>Dr J. Patrick Greene OBE</w:t>
            </w:r>
          </w:p>
        </w:tc>
        <w:tc>
          <w:tcPr>
            <w:tcW w:w="3594" w:type="dxa"/>
          </w:tcPr>
          <w:p w14:paraId="47DE803D" w14:textId="7850A136" w:rsidR="00B30FE4" w:rsidRPr="00D13D2D" w:rsidRDefault="002C560F" w:rsidP="00B30FE4">
            <w:pPr>
              <w:rPr>
                <w:rFonts w:cs="Arial"/>
                <w:b/>
                <w:szCs w:val="22"/>
              </w:rPr>
            </w:pPr>
            <w:r w:rsidRPr="00D13D2D">
              <w:rPr>
                <w:rFonts w:cs="Arial"/>
                <w:szCs w:val="22"/>
              </w:rPr>
              <w:t>3</w:t>
            </w:r>
          </w:p>
        </w:tc>
      </w:tr>
      <w:tr w:rsidR="00B30FE4" w:rsidRPr="00D13D2D" w14:paraId="0CE11884" w14:textId="77777777" w:rsidTr="00944749">
        <w:tc>
          <w:tcPr>
            <w:tcW w:w="4928" w:type="dxa"/>
          </w:tcPr>
          <w:p w14:paraId="6935690E" w14:textId="77777777" w:rsidR="00B30FE4" w:rsidRPr="00D13D2D" w:rsidRDefault="00B30FE4" w:rsidP="00B30FE4">
            <w:pPr>
              <w:widowControl w:val="0"/>
              <w:rPr>
                <w:rFonts w:cs="Arial"/>
                <w:bCs/>
                <w:iCs/>
              </w:rPr>
            </w:pPr>
            <w:r w:rsidRPr="00D13D2D">
              <w:rPr>
                <w:rFonts w:cs="Arial"/>
                <w:bCs/>
                <w:iCs/>
              </w:rPr>
              <w:t>Ms Gail Harradine</w:t>
            </w:r>
          </w:p>
        </w:tc>
        <w:tc>
          <w:tcPr>
            <w:tcW w:w="3594" w:type="dxa"/>
          </w:tcPr>
          <w:p w14:paraId="410C3885" w14:textId="484581F0" w:rsidR="00B30FE4" w:rsidRPr="00D13D2D" w:rsidRDefault="002C560F" w:rsidP="00B30FE4">
            <w:pPr>
              <w:rPr>
                <w:rFonts w:cs="Arial"/>
                <w:b/>
                <w:szCs w:val="22"/>
              </w:rPr>
            </w:pPr>
            <w:r w:rsidRPr="00D13D2D">
              <w:rPr>
                <w:rFonts w:cs="Arial"/>
                <w:szCs w:val="22"/>
              </w:rPr>
              <w:t>2</w:t>
            </w:r>
          </w:p>
        </w:tc>
      </w:tr>
      <w:tr w:rsidR="00B30FE4" w:rsidRPr="00D13D2D" w14:paraId="084227B4" w14:textId="77777777" w:rsidTr="00944749">
        <w:tc>
          <w:tcPr>
            <w:tcW w:w="4928" w:type="dxa"/>
          </w:tcPr>
          <w:p w14:paraId="32763D65" w14:textId="77777777" w:rsidR="00B30FE4" w:rsidRPr="00D13D2D" w:rsidRDefault="00B30FE4" w:rsidP="00B30FE4">
            <w:pPr>
              <w:widowControl w:val="0"/>
              <w:rPr>
                <w:rFonts w:cs="Arial"/>
                <w:bCs/>
                <w:iCs/>
              </w:rPr>
            </w:pPr>
            <w:r w:rsidRPr="00D13D2D">
              <w:rPr>
                <w:rFonts w:cs="Arial"/>
                <w:bCs/>
                <w:iCs/>
              </w:rPr>
              <w:t>Ms Diane Kerr</w:t>
            </w:r>
          </w:p>
        </w:tc>
        <w:tc>
          <w:tcPr>
            <w:tcW w:w="3594" w:type="dxa"/>
          </w:tcPr>
          <w:p w14:paraId="7D1E236E" w14:textId="4ABC2F2F" w:rsidR="00B30FE4" w:rsidRPr="00D13D2D" w:rsidRDefault="00153FF3" w:rsidP="00B30FE4">
            <w:pPr>
              <w:rPr>
                <w:rFonts w:cs="Arial"/>
                <w:b/>
                <w:szCs w:val="22"/>
              </w:rPr>
            </w:pPr>
            <w:r w:rsidRPr="00D13D2D">
              <w:rPr>
                <w:rFonts w:cs="Arial"/>
                <w:szCs w:val="22"/>
              </w:rPr>
              <w:t>0</w:t>
            </w:r>
          </w:p>
        </w:tc>
      </w:tr>
      <w:tr w:rsidR="00B30FE4" w:rsidRPr="00D13D2D" w14:paraId="3EFFF054" w14:textId="77777777" w:rsidTr="00944749">
        <w:tc>
          <w:tcPr>
            <w:tcW w:w="4928" w:type="dxa"/>
          </w:tcPr>
          <w:p w14:paraId="6CF9D7DD" w14:textId="77777777" w:rsidR="00B30FE4" w:rsidRPr="00D13D2D" w:rsidRDefault="00B30FE4" w:rsidP="00B30FE4">
            <w:pPr>
              <w:widowControl w:val="0"/>
              <w:rPr>
                <w:rFonts w:cs="Arial"/>
                <w:bCs/>
                <w:iCs/>
              </w:rPr>
            </w:pPr>
            <w:r w:rsidRPr="00D13D2D">
              <w:rPr>
                <w:rFonts w:cs="Arial"/>
                <w:bCs/>
                <w:iCs/>
              </w:rPr>
              <w:t>Ms Caroline Martin</w:t>
            </w:r>
          </w:p>
        </w:tc>
        <w:tc>
          <w:tcPr>
            <w:tcW w:w="3594" w:type="dxa"/>
          </w:tcPr>
          <w:p w14:paraId="47DB3152" w14:textId="560D0CE0" w:rsidR="00B30FE4" w:rsidRPr="00D13D2D" w:rsidRDefault="00B30FE4">
            <w:pPr>
              <w:rPr>
                <w:rFonts w:cs="Arial"/>
                <w:b/>
                <w:szCs w:val="22"/>
              </w:rPr>
            </w:pPr>
            <w:r w:rsidRPr="00D13D2D">
              <w:rPr>
                <w:rFonts w:cs="Arial"/>
                <w:szCs w:val="22"/>
              </w:rPr>
              <w:t>0</w:t>
            </w:r>
            <w:r w:rsidR="00153FF3" w:rsidRPr="00D13D2D">
              <w:rPr>
                <w:rFonts w:cs="Arial"/>
                <w:szCs w:val="22"/>
              </w:rPr>
              <w:t xml:space="preserve"> (of </w:t>
            </w:r>
            <w:r w:rsidR="009E51A8">
              <w:rPr>
                <w:rFonts w:cs="Arial"/>
                <w:szCs w:val="22"/>
              </w:rPr>
              <w:t>2</w:t>
            </w:r>
            <w:r w:rsidR="00153FF3" w:rsidRPr="00D13D2D">
              <w:rPr>
                <w:rFonts w:cs="Arial"/>
                <w:szCs w:val="22"/>
              </w:rPr>
              <w:t>)</w:t>
            </w:r>
          </w:p>
        </w:tc>
      </w:tr>
      <w:tr w:rsidR="00B30FE4" w:rsidRPr="00D13D2D" w14:paraId="58AC7602" w14:textId="77777777" w:rsidTr="00944749">
        <w:trPr>
          <w:trHeight w:val="64"/>
        </w:trPr>
        <w:tc>
          <w:tcPr>
            <w:tcW w:w="4928" w:type="dxa"/>
          </w:tcPr>
          <w:p w14:paraId="7BB3A2AD" w14:textId="77777777" w:rsidR="00B30FE4" w:rsidRPr="00D13D2D" w:rsidRDefault="00B30FE4" w:rsidP="00B30FE4">
            <w:pPr>
              <w:widowControl w:val="0"/>
              <w:rPr>
                <w:rFonts w:cs="Arial"/>
                <w:bCs/>
                <w:iCs/>
              </w:rPr>
            </w:pPr>
            <w:r w:rsidRPr="00D13D2D">
              <w:rPr>
                <w:rFonts w:cs="Arial"/>
                <w:bCs/>
                <w:iCs/>
              </w:rPr>
              <w:t>Mr Ricky Mullett</w:t>
            </w:r>
          </w:p>
        </w:tc>
        <w:tc>
          <w:tcPr>
            <w:tcW w:w="3594" w:type="dxa"/>
          </w:tcPr>
          <w:p w14:paraId="3574B0B9" w14:textId="46A95D26" w:rsidR="00B30FE4" w:rsidRPr="00D13D2D" w:rsidRDefault="00153FF3" w:rsidP="00B30FE4">
            <w:pPr>
              <w:rPr>
                <w:rFonts w:cs="Arial"/>
                <w:b/>
                <w:szCs w:val="22"/>
              </w:rPr>
            </w:pPr>
            <w:r w:rsidRPr="00D13D2D">
              <w:rPr>
                <w:rFonts w:cs="Arial"/>
                <w:szCs w:val="22"/>
              </w:rPr>
              <w:t>1</w:t>
            </w:r>
          </w:p>
        </w:tc>
      </w:tr>
    </w:tbl>
    <w:p w14:paraId="601F5452" w14:textId="77777777" w:rsidR="00B30FE4" w:rsidRPr="00B30FE4" w:rsidRDefault="00B30FE4" w:rsidP="00B30FE4">
      <w:pPr>
        <w:rPr>
          <w:rFonts w:cs="Arial"/>
          <w:color w:val="000000"/>
          <w:szCs w:val="22"/>
        </w:rPr>
      </w:pPr>
    </w:p>
    <w:p w14:paraId="2CF2A7A1" w14:textId="77777777" w:rsidR="00B30FE4" w:rsidRPr="00B30FE4" w:rsidRDefault="00B30FE4" w:rsidP="0010399B">
      <w:pPr>
        <w:pStyle w:val="Heading4"/>
      </w:pPr>
      <w:r w:rsidRPr="00B30FE4">
        <w:t>Finance, Audit and Risk Committee</w:t>
      </w:r>
    </w:p>
    <w:p w14:paraId="74159D28" w14:textId="6E903D07" w:rsidR="00B30FE4" w:rsidRPr="00B30FE4" w:rsidRDefault="00B30FE4" w:rsidP="00B30FE4">
      <w:pPr>
        <w:widowControl w:val="0"/>
      </w:pPr>
      <w:r w:rsidRPr="00B30FE4">
        <w:t xml:space="preserve">The committee assists the Board in fulfilling its responsibilities concerning financial reporting, audit activities, accounting and reporting practices, and financial and operational risk management as prescribed by the Act. All members of the </w:t>
      </w:r>
      <w:r w:rsidR="00CD03A5">
        <w:t>c</w:t>
      </w:r>
      <w:r w:rsidRPr="00B30FE4">
        <w:t>ommittee are independent.</w:t>
      </w:r>
    </w:p>
    <w:p w14:paraId="7C3B0748" w14:textId="77777777" w:rsidR="00B30FE4" w:rsidRPr="00B30FE4" w:rsidRDefault="00B30FE4" w:rsidP="00B30FE4">
      <w:pPr>
        <w:rPr>
          <w:b/>
        </w:rPr>
      </w:pPr>
    </w:p>
    <w:p w14:paraId="7F9349D1" w14:textId="44A72786" w:rsidR="00B30FE4" w:rsidRPr="00B30FE4" w:rsidRDefault="00B30FE4" w:rsidP="00B30FE4">
      <w:r w:rsidRPr="00B30FE4">
        <w:t>Number of meetings during the financial year: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inance, Audit and Risk Committee"/>
        <w:tblDescription w:val="Table shows number of Finance, Audit and Risk Committee meetings attended by each member."/>
      </w:tblPr>
      <w:tblGrid>
        <w:gridCol w:w="4793"/>
        <w:gridCol w:w="3503"/>
      </w:tblGrid>
      <w:tr w:rsidR="00B30FE4" w:rsidRPr="00B30FE4" w14:paraId="0BF2D0F0" w14:textId="77777777" w:rsidTr="00DE1B1B">
        <w:tc>
          <w:tcPr>
            <w:tcW w:w="4793" w:type="dxa"/>
          </w:tcPr>
          <w:p w14:paraId="5083D016" w14:textId="77777777" w:rsidR="00B30FE4" w:rsidRPr="00B30FE4" w:rsidRDefault="00B30FE4" w:rsidP="00B30FE4">
            <w:pPr>
              <w:rPr>
                <w:rFonts w:cs="Arial"/>
                <w:b/>
                <w:szCs w:val="22"/>
              </w:rPr>
            </w:pPr>
            <w:r w:rsidRPr="00B30FE4">
              <w:rPr>
                <w:rFonts w:cs="Arial"/>
                <w:b/>
                <w:szCs w:val="22"/>
              </w:rPr>
              <w:t>Committee Member</w:t>
            </w:r>
          </w:p>
        </w:tc>
        <w:tc>
          <w:tcPr>
            <w:tcW w:w="3503" w:type="dxa"/>
          </w:tcPr>
          <w:p w14:paraId="6BD2AAE4" w14:textId="77777777" w:rsidR="00B30FE4" w:rsidRPr="00B30FE4" w:rsidRDefault="00B30FE4" w:rsidP="00B30FE4">
            <w:pPr>
              <w:rPr>
                <w:rFonts w:cs="Arial"/>
                <w:b/>
                <w:szCs w:val="22"/>
              </w:rPr>
            </w:pPr>
            <w:r w:rsidRPr="00B30FE4">
              <w:rPr>
                <w:rFonts w:cs="Arial"/>
                <w:b/>
                <w:szCs w:val="22"/>
              </w:rPr>
              <w:t>No. of Meetings Attended</w:t>
            </w:r>
          </w:p>
        </w:tc>
      </w:tr>
      <w:tr w:rsidR="00B30FE4" w:rsidRPr="00B30FE4" w14:paraId="43E8A0DE" w14:textId="77777777" w:rsidTr="00DE1B1B">
        <w:tc>
          <w:tcPr>
            <w:tcW w:w="4793" w:type="dxa"/>
          </w:tcPr>
          <w:p w14:paraId="7D462E12" w14:textId="77777777" w:rsidR="00B30FE4" w:rsidRPr="00B30FE4" w:rsidRDefault="00B30FE4" w:rsidP="00B30FE4">
            <w:pPr>
              <w:widowControl w:val="0"/>
              <w:rPr>
                <w:rFonts w:cs="Arial"/>
                <w:snapToGrid w:val="0"/>
              </w:rPr>
            </w:pPr>
            <w:r w:rsidRPr="00B30FE4">
              <w:rPr>
                <w:rFonts w:cs="Arial"/>
                <w:snapToGrid w:val="0"/>
              </w:rPr>
              <w:t>Mr Trevor Tappenden (Chair)</w:t>
            </w:r>
          </w:p>
        </w:tc>
        <w:tc>
          <w:tcPr>
            <w:tcW w:w="3503" w:type="dxa"/>
          </w:tcPr>
          <w:p w14:paraId="08627329" w14:textId="5BA40A02" w:rsidR="00B30FE4" w:rsidRPr="000720D0" w:rsidRDefault="002324E6" w:rsidP="00B30FE4">
            <w:pPr>
              <w:rPr>
                <w:rFonts w:cs="Arial"/>
                <w:szCs w:val="22"/>
              </w:rPr>
            </w:pPr>
            <w:r w:rsidRPr="000720D0">
              <w:rPr>
                <w:rFonts w:cs="Arial"/>
                <w:szCs w:val="22"/>
              </w:rPr>
              <w:t>5</w:t>
            </w:r>
          </w:p>
        </w:tc>
      </w:tr>
      <w:tr w:rsidR="00B30FE4" w:rsidRPr="00B30FE4" w14:paraId="777DD482" w14:textId="77777777" w:rsidTr="00DE1B1B">
        <w:tc>
          <w:tcPr>
            <w:tcW w:w="4793" w:type="dxa"/>
          </w:tcPr>
          <w:p w14:paraId="4E704E99" w14:textId="77777777" w:rsidR="00B30FE4" w:rsidRPr="00B30FE4" w:rsidRDefault="00B30FE4" w:rsidP="00B30FE4">
            <w:pPr>
              <w:widowControl w:val="0"/>
              <w:rPr>
                <w:rFonts w:cs="Arial"/>
                <w:snapToGrid w:val="0"/>
              </w:rPr>
            </w:pPr>
            <w:r w:rsidRPr="00B30FE4">
              <w:rPr>
                <w:rFonts w:cs="Arial"/>
                <w:snapToGrid w:val="0"/>
              </w:rPr>
              <w:t>Mr Jim Cousins AO</w:t>
            </w:r>
          </w:p>
        </w:tc>
        <w:tc>
          <w:tcPr>
            <w:tcW w:w="3503" w:type="dxa"/>
          </w:tcPr>
          <w:p w14:paraId="45841747" w14:textId="2BE73643" w:rsidR="00B30FE4" w:rsidRPr="000720D0" w:rsidRDefault="002324E6" w:rsidP="00B30FE4">
            <w:pPr>
              <w:rPr>
                <w:rFonts w:cs="Arial"/>
                <w:szCs w:val="22"/>
              </w:rPr>
            </w:pPr>
            <w:r w:rsidRPr="000720D0">
              <w:rPr>
                <w:rFonts w:cs="Arial"/>
                <w:szCs w:val="22"/>
              </w:rPr>
              <w:t>5</w:t>
            </w:r>
          </w:p>
        </w:tc>
      </w:tr>
      <w:tr w:rsidR="00B30FE4" w:rsidRPr="00B30FE4" w14:paraId="6D04AB7B" w14:textId="77777777" w:rsidTr="00DE1B1B">
        <w:tc>
          <w:tcPr>
            <w:tcW w:w="4793" w:type="dxa"/>
          </w:tcPr>
          <w:p w14:paraId="314E77A3" w14:textId="77777777" w:rsidR="00B30FE4" w:rsidRPr="00B30FE4" w:rsidRDefault="00B30FE4" w:rsidP="00B30FE4">
            <w:pPr>
              <w:widowControl w:val="0"/>
              <w:rPr>
                <w:rFonts w:cs="Arial"/>
                <w:snapToGrid w:val="0"/>
              </w:rPr>
            </w:pPr>
            <w:r w:rsidRPr="00B30FE4">
              <w:rPr>
                <w:rFonts w:cs="Arial"/>
                <w:snapToGrid w:val="0"/>
              </w:rPr>
              <w:t xml:space="preserve">Ms Sylvia Falzon </w:t>
            </w:r>
          </w:p>
        </w:tc>
        <w:tc>
          <w:tcPr>
            <w:tcW w:w="3503" w:type="dxa"/>
          </w:tcPr>
          <w:p w14:paraId="2A507E29" w14:textId="0F7A01C5" w:rsidR="00B30FE4" w:rsidRPr="002324E6" w:rsidRDefault="002324E6" w:rsidP="00B30FE4">
            <w:pPr>
              <w:rPr>
                <w:rFonts w:cs="Arial"/>
                <w:snapToGrid w:val="0"/>
              </w:rPr>
            </w:pPr>
            <w:r w:rsidRPr="000720D0">
              <w:rPr>
                <w:rFonts w:cs="Arial"/>
                <w:szCs w:val="22"/>
              </w:rPr>
              <w:t>6</w:t>
            </w:r>
          </w:p>
        </w:tc>
      </w:tr>
      <w:tr w:rsidR="00B30FE4" w:rsidRPr="00B30FE4" w14:paraId="50793ECF" w14:textId="77777777" w:rsidTr="00DE1B1B">
        <w:tc>
          <w:tcPr>
            <w:tcW w:w="4793" w:type="dxa"/>
          </w:tcPr>
          <w:p w14:paraId="67337D8D" w14:textId="3DCB2610" w:rsidR="00B30FE4" w:rsidRPr="00B30FE4" w:rsidRDefault="00B30FE4" w:rsidP="00B30FE4">
            <w:pPr>
              <w:widowControl w:val="0"/>
              <w:rPr>
                <w:rFonts w:cs="Arial"/>
                <w:snapToGrid w:val="0"/>
              </w:rPr>
            </w:pPr>
            <w:r w:rsidRPr="00B30FE4">
              <w:rPr>
                <w:rFonts w:cs="Arial"/>
                <w:snapToGrid w:val="0"/>
              </w:rPr>
              <w:t>Mr Wilkin Fon</w:t>
            </w:r>
            <w:r w:rsidR="009E51A8">
              <w:rPr>
                <w:rFonts w:cs="Arial"/>
                <w:snapToGrid w:val="0"/>
              </w:rPr>
              <w:t xml:space="preserve"> </w:t>
            </w:r>
            <w:r w:rsidR="009E51A8" w:rsidRPr="00B30FE4">
              <w:rPr>
                <w:rFonts w:cs="Arial"/>
                <w:bCs/>
                <w:iCs/>
              </w:rPr>
              <w:t>(reappointed 4 August</w:t>
            </w:r>
            <w:r w:rsidR="009E51A8">
              <w:rPr>
                <w:rFonts w:cs="Arial"/>
                <w:bCs/>
                <w:iCs/>
              </w:rPr>
              <w:t xml:space="preserve"> 2015</w:t>
            </w:r>
            <w:r w:rsidR="009E51A8" w:rsidRPr="00B30FE4">
              <w:rPr>
                <w:rFonts w:cs="Arial"/>
                <w:bCs/>
                <w:iCs/>
              </w:rPr>
              <w:t>)</w:t>
            </w:r>
          </w:p>
        </w:tc>
        <w:tc>
          <w:tcPr>
            <w:tcW w:w="3503" w:type="dxa"/>
          </w:tcPr>
          <w:p w14:paraId="3D646B68" w14:textId="56A2948B" w:rsidR="00B30FE4" w:rsidRPr="002324E6" w:rsidRDefault="002324E6" w:rsidP="00B30FE4">
            <w:pPr>
              <w:rPr>
                <w:rFonts w:cs="Arial"/>
                <w:snapToGrid w:val="0"/>
              </w:rPr>
            </w:pPr>
            <w:r w:rsidRPr="000720D0">
              <w:rPr>
                <w:rFonts w:cs="Arial"/>
                <w:szCs w:val="22"/>
              </w:rPr>
              <w:t>5</w:t>
            </w:r>
          </w:p>
        </w:tc>
      </w:tr>
    </w:tbl>
    <w:p w14:paraId="36CDF4B9" w14:textId="77777777" w:rsidR="00B30FE4" w:rsidRDefault="00B30FE4" w:rsidP="00B30FE4"/>
    <w:p w14:paraId="2B6A10E3" w14:textId="77777777" w:rsidR="0083327A" w:rsidRDefault="0083327A" w:rsidP="00B30FE4"/>
    <w:p w14:paraId="180EF5E4" w14:textId="23563629" w:rsidR="0083327A" w:rsidRPr="00DE1B1B" w:rsidRDefault="0083327A" w:rsidP="0010399B">
      <w:pPr>
        <w:pStyle w:val="Heading4"/>
      </w:pPr>
      <w:r w:rsidRPr="00DE1B1B">
        <w:t>Fundraising Committee</w:t>
      </w:r>
    </w:p>
    <w:p w14:paraId="0B0868FC" w14:textId="0C9C4CBD" w:rsidR="0047085F" w:rsidRPr="00B30FE4" w:rsidRDefault="0047085F" w:rsidP="0047085F">
      <w:pPr>
        <w:widowControl w:val="0"/>
      </w:pPr>
      <w:r w:rsidRPr="00B30FE4">
        <w:t xml:space="preserve">The committee </w:t>
      </w:r>
      <w:r w:rsidR="001F30FA" w:rsidRPr="0094180C">
        <w:t>has oversight of the planning, coordination and implementation of all fundraising activities and actively engages in establishing and maintaining fundraising networks for Museum Victoria.</w:t>
      </w:r>
      <w:r w:rsidR="001F30FA" w:rsidRPr="009E51A8" w:rsidDel="001F30FA">
        <w:t xml:space="preserve"> </w:t>
      </w:r>
      <w:r w:rsidRPr="00B30FE4">
        <w:t xml:space="preserve">All members of the </w:t>
      </w:r>
      <w:r w:rsidR="001506A4">
        <w:t>c</w:t>
      </w:r>
      <w:r>
        <w:t xml:space="preserve">ommittee </w:t>
      </w:r>
      <w:r w:rsidRPr="00B30FE4">
        <w:t>are independent.</w:t>
      </w:r>
    </w:p>
    <w:p w14:paraId="5CB05473" w14:textId="77777777" w:rsidR="0047085F" w:rsidRPr="00B30FE4" w:rsidRDefault="0047085F" w:rsidP="0047085F">
      <w:pPr>
        <w:rPr>
          <w:b/>
        </w:rPr>
      </w:pPr>
    </w:p>
    <w:p w14:paraId="73A4B5DD" w14:textId="58FA4D35" w:rsidR="0047085F" w:rsidRPr="00D13D2D" w:rsidRDefault="0047085F" w:rsidP="0047085F">
      <w:r w:rsidRPr="00B30FE4">
        <w:t>Number of meeti</w:t>
      </w:r>
      <w:r>
        <w:t xml:space="preserve">ngs during the financial year: </w:t>
      </w:r>
      <w:r w:rsidR="001F30FA" w:rsidRPr="00165A1A">
        <w:rPr>
          <w:rFonts w:cs="Arial"/>
          <w:szCs w:val="22"/>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inance, Audit and Risk Committee"/>
        <w:tblDescription w:val="Table shows number of Finance, Audit and Risk Committee meetings attended by each member."/>
      </w:tblPr>
      <w:tblGrid>
        <w:gridCol w:w="4793"/>
        <w:gridCol w:w="3503"/>
      </w:tblGrid>
      <w:tr w:rsidR="00D13D2D" w:rsidRPr="00D13D2D" w14:paraId="1106A801" w14:textId="77777777" w:rsidTr="000720D0">
        <w:tc>
          <w:tcPr>
            <w:tcW w:w="4793" w:type="dxa"/>
          </w:tcPr>
          <w:p w14:paraId="10E1C351" w14:textId="77777777" w:rsidR="0047085F" w:rsidRPr="00D13D2D" w:rsidRDefault="0047085F" w:rsidP="000720D0">
            <w:pPr>
              <w:rPr>
                <w:rFonts w:cs="Arial"/>
                <w:b/>
                <w:szCs w:val="22"/>
              </w:rPr>
            </w:pPr>
            <w:r w:rsidRPr="00D13D2D">
              <w:rPr>
                <w:rFonts w:cs="Arial"/>
                <w:b/>
                <w:szCs w:val="22"/>
              </w:rPr>
              <w:t>Committee Member</w:t>
            </w:r>
          </w:p>
        </w:tc>
        <w:tc>
          <w:tcPr>
            <w:tcW w:w="3503" w:type="dxa"/>
          </w:tcPr>
          <w:p w14:paraId="400EC0C9" w14:textId="77777777" w:rsidR="0047085F" w:rsidRPr="00AB5546" w:rsidRDefault="0047085F" w:rsidP="000720D0">
            <w:pPr>
              <w:rPr>
                <w:rFonts w:cs="Arial"/>
                <w:b/>
                <w:szCs w:val="22"/>
              </w:rPr>
            </w:pPr>
            <w:r w:rsidRPr="00AB5546">
              <w:rPr>
                <w:rFonts w:cs="Arial"/>
                <w:b/>
                <w:szCs w:val="22"/>
              </w:rPr>
              <w:t>No. of Meetings Attended</w:t>
            </w:r>
          </w:p>
        </w:tc>
      </w:tr>
      <w:tr w:rsidR="00D13D2D" w:rsidRPr="00D13D2D" w14:paraId="32FC3A47" w14:textId="77777777" w:rsidTr="000720D0">
        <w:tc>
          <w:tcPr>
            <w:tcW w:w="4793" w:type="dxa"/>
          </w:tcPr>
          <w:p w14:paraId="4767DEB1" w14:textId="1570D9E6" w:rsidR="0047085F" w:rsidRPr="00D13D2D" w:rsidRDefault="00D13D2D" w:rsidP="000720D0">
            <w:pPr>
              <w:widowControl w:val="0"/>
              <w:rPr>
                <w:rFonts w:cs="Arial"/>
                <w:snapToGrid w:val="0"/>
              </w:rPr>
            </w:pPr>
            <w:r>
              <w:rPr>
                <w:rFonts w:cs="Arial"/>
                <w:snapToGrid w:val="0"/>
              </w:rPr>
              <w:t>Mr Colin Golvan QC (Chair)</w:t>
            </w:r>
          </w:p>
        </w:tc>
        <w:tc>
          <w:tcPr>
            <w:tcW w:w="3503" w:type="dxa"/>
          </w:tcPr>
          <w:p w14:paraId="76D70C35" w14:textId="256418C2" w:rsidR="0047085F" w:rsidRPr="00165A1A" w:rsidRDefault="00D13D2D" w:rsidP="000720D0">
            <w:pPr>
              <w:rPr>
                <w:rFonts w:cs="Arial"/>
                <w:szCs w:val="22"/>
              </w:rPr>
            </w:pPr>
            <w:r>
              <w:rPr>
                <w:rFonts w:cs="Arial"/>
                <w:szCs w:val="22"/>
              </w:rPr>
              <w:t>4</w:t>
            </w:r>
          </w:p>
        </w:tc>
      </w:tr>
      <w:tr w:rsidR="00D13D2D" w:rsidRPr="00D13D2D" w14:paraId="67035CDE" w14:textId="77777777" w:rsidTr="000720D0">
        <w:tc>
          <w:tcPr>
            <w:tcW w:w="4793" w:type="dxa"/>
          </w:tcPr>
          <w:p w14:paraId="1154745C" w14:textId="555B8EAF" w:rsidR="0047085F" w:rsidRPr="00D13D2D" w:rsidRDefault="00D13D2D" w:rsidP="000720D0">
            <w:pPr>
              <w:widowControl w:val="0"/>
              <w:rPr>
                <w:rFonts w:cs="Arial"/>
                <w:snapToGrid w:val="0"/>
              </w:rPr>
            </w:pPr>
            <w:r>
              <w:rPr>
                <w:rFonts w:cs="Arial"/>
                <w:snapToGrid w:val="0"/>
              </w:rPr>
              <w:t>Ms Sylvia Falzon</w:t>
            </w:r>
          </w:p>
        </w:tc>
        <w:tc>
          <w:tcPr>
            <w:tcW w:w="3503" w:type="dxa"/>
          </w:tcPr>
          <w:p w14:paraId="7000BA98" w14:textId="347DC2BD" w:rsidR="0047085F" w:rsidRPr="00165A1A" w:rsidRDefault="00D13D2D" w:rsidP="000720D0">
            <w:pPr>
              <w:rPr>
                <w:rFonts w:cs="Arial"/>
                <w:szCs w:val="22"/>
              </w:rPr>
            </w:pPr>
            <w:r>
              <w:rPr>
                <w:rFonts w:cs="Arial"/>
                <w:szCs w:val="22"/>
              </w:rPr>
              <w:t>4</w:t>
            </w:r>
          </w:p>
        </w:tc>
      </w:tr>
      <w:tr w:rsidR="00D13D2D" w:rsidRPr="00D13D2D" w14:paraId="411B2DED" w14:textId="77777777" w:rsidTr="000720D0">
        <w:tc>
          <w:tcPr>
            <w:tcW w:w="4793" w:type="dxa"/>
          </w:tcPr>
          <w:p w14:paraId="47BE5E99" w14:textId="77777777" w:rsidR="00D13D2D" w:rsidRPr="00DE1B1B" w:rsidRDefault="00D13D2D" w:rsidP="00D13D2D">
            <w:pPr>
              <w:widowControl w:val="0"/>
              <w:rPr>
                <w:rFonts w:cs="Arial"/>
                <w:bCs/>
                <w:iCs/>
              </w:rPr>
            </w:pPr>
            <w:r>
              <w:rPr>
                <w:rFonts w:cs="Arial"/>
                <w:bCs/>
                <w:iCs/>
              </w:rPr>
              <w:t>Dr</w:t>
            </w:r>
            <w:r w:rsidRPr="00DE1B1B">
              <w:rPr>
                <w:rFonts w:cs="Arial"/>
                <w:bCs/>
                <w:iCs/>
              </w:rPr>
              <w:t xml:space="preserve"> Alison Inglis</w:t>
            </w:r>
            <w:r>
              <w:rPr>
                <w:rFonts w:cs="Arial"/>
                <w:bCs/>
                <w:iCs/>
              </w:rPr>
              <w:t xml:space="preserve"> (Observer)</w:t>
            </w:r>
          </w:p>
          <w:p w14:paraId="070E9009" w14:textId="652BFA96" w:rsidR="0047085F" w:rsidRPr="00D13D2D" w:rsidRDefault="00D13D2D" w:rsidP="00D13D2D">
            <w:pPr>
              <w:widowControl w:val="0"/>
              <w:rPr>
                <w:rFonts w:cs="Arial"/>
                <w:snapToGrid w:val="0"/>
              </w:rPr>
            </w:pPr>
            <w:r w:rsidRPr="00DE1B1B">
              <w:rPr>
                <w:rFonts w:cs="Arial"/>
                <w:bCs/>
                <w:iCs/>
              </w:rPr>
              <w:t xml:space="preserve">(appointed on </w:t>
            </w:r>
            <w:r>
              <w:rPr>
                <w:rFonts w:cs="Arial"/>
                <w:bCs/>
                <w:iCs/>
              </w:rPr>
              <w:t>4 August 2015</w:t>
            </w:r>
            <w:r w:rsidR="0047085F" w:rsidRPr="00D13D2D">
              <w:rPr>
                <w:rFonts w:cs="Arial"/>
                <w:snapToGrid w:val="0"/>
              </w:rPr>
              <w:t xml:space="preserve"> </w:t>
            </w:r>
          </w:p>
        </w:tc>
        <w:tc>
          <w:tcPr>
            <w:tcW w:w="3503" w:type="dxa"/>
          </w:tcPr>
          <w:p w14:paraId="54B86583" w14:textId="633947AC" w:rsidR="0047085F" w:rsidRPr="00D13D2D" w:rsidRDefault="00D13D2D" w:rsidP="000720D0">
            <w:pPr>
              <w:rPr>
                <w:rFonts w:cs="Arial"/>
                <w:snapToGrid w:val="0"/>
              </w:rPr>
            </w:pPr>
            <w:r>
              <w:rPr>
                <w:rFonts w:cs="Arial"/>
                <w:szCs w:val="22"/>
              </w:rPr>
              <w:t>2 (of 2)</w:t>
            </w:r>
          </w:p>
        </w:tc>
      </w:tr>
    </w:tbl>
    <w:p w14:paraId="42D5444E" w14:textId="68E70811" w:rsidR="005F5C34" w:rsidRDefault="0010399B" w:rsidP="0010399B">
      <w:pPr>
        <w:spacing w:after="200" w:line="276" w:lineRule="auto"/>
        <w:rPr>
          <w:b/>
          <w:sz w:val="24"/>
        </w:rPr>
      </w:pPr>
      <w:r>
        <w:rPr>
          <w:b/>
          <w:sz w:val="24"/>
        </w:rPr>
        <w:br w:type="page"/>
      </w:r>
    </w:p>
    <w:p w14:paraId="16323CD2" w14:textId="77777777" w:rsidR="00B30FE4" w:rsidRPr="00B30FE4" w:rsidRDefault="00B30FE4" w:rsidP="0010399B">
      <w:pPr>
        <w:pStyle w:val="Heading4"/>
      </w:pPr>
      <w:r w:rsidRPr="00B30FE4">
        <w:lastRenderedPageBreak/>
        <w:t>Nominations, Remuneration and Governance Committee</w:t>
      </w:r>
    </w:p>
    <w:p w14:paraId="2053EF13" w14:textId="422B59F7" w:rsidR="00B30FE4" w:rsidRPr="00B30FE4" w:rsidRDefault="00B30FE4" w:rsidP="00B30FE4">
      <w:r w:rsidRPr="00B30FE4">
        <w:t>The committee advises the Board on all staffing and governance matters.</w:t>
      </w:r>
      <w:r w:rsidR="00280AA6">
        <w:t xml:space="preserve"> </w:t>
      </w:r>
      <w:r w:rsidR="00280AA6" w:rsidRPr="00B30FE4">
        <w:t xml:space="preserve">All members of the </w:t>
      </w:r>
      <w:r w:rsidR="00280AA6">
        <w:t>c</w:t>
      </w:r>
      <w:r w:rsidR="00280AA6" w:rsidRPr="00B30FE4">
        <w:t>ommittee are independent.</w:t>
      </w:r>
    </w:p>
    <w:p w14:paraId="4F077AE0" w14:textId="77777777" w:rsidR="00B30FE4" w:rsidRPr="00B30FE4" w:rsidRDefault="00B30FE4" w:rsidP="00B30FE4"/>
    <w:p w14:paraId="6D01CE72" w14:textId="6FF734B2" w:rsidR="00B30FE4" w:rsidRPr="00B30FE4" w:rsidRDefault="00B30FE4" w:rsidP="00B30FE4">
      <w:r w:rsidRPr="00B30FE4">
        <w:t>Number of meetings during the financial year: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Nominations, Remuneration and Governance Committee"/>
        <w:tblDescription w:val="Table shows number of Nominations, Remuneration and Governance Committee meetings attended by each member."/>
      </w:tblPr>
      <w:tblGrid>
        <w:gridCol w:w="4793"/>
        <w:gridCol w:w="3503"/>
      </w:tblGrid>
      <w:tr w:rsidR="00B30FE4" w:rsidRPr="00B30FE4" w14:paraId="51EDF463" w14:textId="77777777" w:rsidTr="00DE1B1B">
        <w:tc>
          <w:tcPr>
            <w:tcW w:w="4793" w:type="dxa"/>
          </w:tcPr>
          <w:p w14:paraId="7959DAE7" w14:textId="77777777" w:rsidR="00B30FE4" w:rsidRPr="00B30FE4" w:rsidRDefault="00B30FE4" w:rsidP="00B30FE4">
            <w:pPr>
              <w:rPr>
                <w:rFonts w:cs="Arial"/>
                <w:b/>
                <w:szCs w:val="22"/>
              </w:rPr>
            </w:pPr>
            <w:r w:rsidRPr="00B30FE4">
              <w:rPr>
                <w:rFonts w:cs="Arial"/>
                <w:b/>
                <w:szCs w:val="22"/>
              </w:rPr>
              <w:t>Committee Member</w:t>
            </w:r>
          </w:p>
        </w:tc>
        <w:tc>
          <w:tcPr>
            <w:tcW w:w="3503" w:type="dxa"/>
          </w:tcPr>
          <w:p w14:paraId="072FDAEA" w14:textId="77777777" w:rsidR="00B30FE4" w:rsidRPr="00B30FE4" w:rsidRDefault="00B30FE4" w:rsidP="00B30FE4">
            <w:pPr>
              <w:rPr>
                <w:rFonts w:cs="Arial"/>
                <w:b/>
                <w:szCs w:val="22"/>
              </w:rPr>
            </w:pPr>
            <w:r w:rsidRPr="00B30FE4">
              <w:rPr>
                <w:rFonts w:cs="Arial"/>
                <w:b/>
                <w:szCs w:val="22"/>
              </w:rPr>
              <w:t>No. of Meetings Attended</w:t>
            </w:r>
          </w:p>
        </w:tc>
      </w:tr>
      <w:tr w:rsidR="00B30FE4" w:rsidRPr="00B30FE4" w14:paraId="743F2657" w14:textId="77777777" w:rsidTr="00DE1B1B">
        <w:tc>
          <w:tcPr>
            <w:tcW w:w="4793" w:type="dxa"/>
          </w:tcPr>
          <w:p w14:paraId="30C54857" w14:textId="77777777" w:rsidR="00B30FE4" w:rsidRPr="00B30FE4" w:rsidRDefault="00B30FE4" w:rsidP="00B30FE4">
            <w:pPr>
              <w:widowControl w:val="0"/>
              <w:rPr>
                <w:rFonts w:cs="Arial"/>
                <w:bCs/>
                <w:iCs/>
              </w:rPr>
            </w:pPr>
            <w:r w:rsidRPr="00B30FE4">
              <w:rPr>
                <w:rFonts w:cs="Arial"/>
                <w:bCs/>
                <w:iCs/>
              </w:rPr>
              <w:t>Professor Margaret Gardner AO (Chair)</w:t>
            </w:r>
          </w:p>
        </w:tc>
        <w:tc>
          <w:tcPr>
            <w:tcW w:w="3503" w:type="dxa"/>
          </w:tcPr>
          <w:p w14:paraId="1B750B4C" w14:textId="77777777" w:rsidR="00B30FE4" w:rsidRPr="002324E6" w:rsidRDefault="00B30FE4" w:rsidP="00B30FE4">
            <w:pPr>
              <w:rPr>
                <w:rFonts w:cs="Arial"/>
                <w:b/>
                <w:szCs w:val="22"/>
              </w:rPr>
            </w:pPr>
            <w:r w:rsidRPr="000720D0">
              <w:rPr>
                <w:rFonts w:cs="Arial"/>
                <w:szCs w:val="22"/>
              </w:rPr>
              <w:t>4</w:t>
            </w:r>
          </w:p>
        </w:tc>
      </w:tr>
      <w:tr w:rsidR="00B30FE4" w:rsidRPr="00B30FE4" w14:paraId="6C7EB5E6" w14:textId="77777777" w:rsidTr="00DE1B1B">
        <w:tc>
          <w:tcPr>
            <w:tcW w:w="4793" w:type="dxa"/>
          </w:tcPr>
          <w:p w14:paraId="35AEDF9A" w14:textId="77777777" w:rsidR="00B30FE4" w:rsidRPr="00B30FE4" w:rsidRDefault="00B30FE4" w:rsidP="00B30FE4">
            <w:pPr>
              <w:widowControl w:val="0"/>
              <w:rPr>
                <w:rFonts w:cs="Arial"/>
                <w:bCs/>
                <w:iCs/>
              </w:rPr>
            </w:pPr>
            <w:r w:rsidRPr="00B30FE4">
              <w:rPr>
                <w:rFonts w:cs="Arial"/>
                <w:bCs/>
                <w:iCs/>
              </w:rPr>
              <w:t>Mr Jim Cousins AO</w:t>
            </w:r>
          </w:p>
        </w:tc>
        <w:tc>
          <w:tcPr>
            <w:tcW w:w="3503" w:type="dxa"/>
          </w:tcPr>
          <w:p w14:paraId="10C4E480" w14:textId="77777777" w:rsidR="00B30FE4" w:rsidRPr="002324E6" w:rsidRDefault="00B30FE4" w:rsidP="00B30FE4">
            <w:pPr>
              <w:rPr>
                <w:rFonts w:cs="Arial"/>
                <w:b/>
                <w:szCs w:val="22"/>
              </w:rPr>
            </w:pPr>
            <w:r w:rsidRPr="000720D0">
              <w:rPr>
                <w:rFonts w:cs="Arial"/>
                <w:szCs w:val="22"/>
              </w:rPr>
              <w:t>4</w:t>
            </w:r>
          </w:p>
        </w:tc>
      </w:tr>
      <w:tr w:rsidR="00B30FE4" w:rsidRPr="00B30FE4" w14:paraId="2496A927" w14:textId="77777777" w:rsidTr="00DE1B1B">
        <w:tc>
          <w:tcPr>
            <w:tcW w:w="4793" w:type="dxa"/>
          </w:tcPr>
          <w:p w14:paraId="5415299F" w14:textId="4DB3E410" w:rsidR="00B30FE4" w:rsidRPr="00B30FE4" w:rsidRDefault="00B30FE4" w:rsidP="00B30FE4">
            <w:pPr>
              <w:widowControl w:val="0"/>
              <w:rPr>
                <w:rFonts w:cs="Arial"/>
                <w:bCs/>
                <w:iCs/>
              </w:rPr>
            </w:pPr>
            <w:r w:rsidRPr="00B30FE4">
              <w:rPr>
                <w:rFonts w:cs="Arial"/>
                <w:bCs/>
                <w:iCs/>
              </w:rPr>
              <w:t xml:space="preserve">Mr Colin Golvan </w:t>
            </w:r>
            <w:r w:rsidR="009E51A8">
              <w:rPr>
                <w:rFonts w:cs="Arial"/>
                <w:bCs/>
                <w:iCs/>
              </w:rPr>
              <w:t>Q</w:t>
            </w:r>
            <w:r w:rsidRPr="00B30FE4">
              <w:rPr>
                <w:rFonts w:cs="Arial"/>
                <w:bCs/>
                <w:iCs/>
              </w:rPr>
              <w:t xml:space="preserve">C </w:t>
            </w:r>
          </w:p>
        </w:tc>
        <w:tc>
          <w:tcPr>
            <w:tcW w:w="3503" w:type="dxa"/>
          </w:tcPr>
          <w:p w14:paraId="4AEA9659" w14:textId="77777777" w:rsidR="00B30FE4" w:rsidRPr="002324E6" w:rsidRDefault="00B30FE4" w:rsidP="00B30FE4">
            <w:pPr>
              <w:rPr>
                <w:rFonts w:cs="Arial"/>
                <w:b/>
                <w:szCs w:val="22"/>
              </w:rPr>
            </w:pPr>
            <w:r w:rsidRPr="000720D0">
              <w:rPr>
                <w:rFonts w:cs="Arial"/>
                <w:szCs w:val="22"/>
              </w:rPr>
              <w:t>4</w:t>
            </w:r>
          </w:p>
        </w:tc>
      </w:tr>
    </w:tbl>
    <w:p w14:paraId="5ED3D6E5" w14:textId="77777777" w:rsidR="00B30FE4" w:rsidRPr="00B30FE4" w:rsidRDefault="00B30FE4" w:rsidP="00B30FE4">
      <w:pPr>
        <w:rPr>
          <w:rFonts w:cs="Arial"/>
          <w:color w:val="000000"/>
          <w:szCs w:val="22"/>
        </w:rPr>
      </w:pPr>
    </w:p>
    <w:p w14:paraId="027B8033" w14:textId="77777777" w:rsidR="00B30FE4" w:rsidRPr="00B30FE4" w:rsidRDefault="00B30FE4" w:rsidP="0010399B">
      <w:pPr>
        <w:pStyle w:val="Heading4"/>
      </w:pPr>
      <w:r w:rsidRPr="00B30FE4">
        <w:t>Research Committee</w:t>
      </w:r>
    </w:p>
    <w:p w14:paraId="56F1C951" w14:textId="0C0494E8" w:rsidR="00B30FE4" w:rsidRPr="00B30FE4" w:rsidRDefault="00B30FE4" w:rsidP="00B30FE4">
      <w:pPr>
        <w:widowControl w:val="0"/>
        <w:rPr>
          <w:snapToGrid w:val="0"/>
        </w:rPr>
      </w:pPr>
      <w:r w:rsidRPr="00B30FE4">
        <w:rPr>
          <w:snapToGrid w:val="0"/>
        </w:rPr>
        <w:t xml:space="preserve">The committee advises the Board on strategic matters relating to research and collection development, and it oversees the implementation of the Board’s research strategy. The committee oversees the Museums Board of Victoria’s Animal Ethics Committee, which </w:t>
      </w:r>
      <w:r w:rsidR="009D595E">
        <w:rPr>
          <w:snapToGrid w:val="0"/>
        </w:rPr>
        <w:t>was established in February 2007.</w:t>
      </w:r>
    </w:p>
    <w:p w14:paraId="14C50963" w14:textId="77777777" w:rsidR="00B30FE4" w:rsidRPr="00B30FE4" w:rsidRDefault="00B30FE4" w:rsidP="00B30FE4">
      <w:pPr>
        <w:widowControl w:val="0"/>
        <w:rPr>
          <w:snapToGrid w:val="0"/>
        </w:rPr>
      </w:pPr>
    </w:p>
    <w:p w14:paraId="6605E717" w14:textId="168DB723" w:rsidR="00B30FE4" w:rsidRPr="00B30FE4" w:rsidRDefault="00B30FE4" w:rsidP="00B30FE4">
      <w:pPr>
        <w:widowControl w:val="0"/>
      </w:pPr>
      <w:r w:rsidRPr="00B30FE4">
        <w:t>Number of meetings during the financial year: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search Committee"/>
        <w:tblDescription w:val="Table shows number of Research Committee meetings attended by each member."/>
      </w:tblPr>
      <w:tblGrid>
        <w:gridCol w:w="4797"/>
        <w:gridCol w:w="3505"/>
      </w:tblGrid>
      <w:tr w:rsidR="00B30FE4" w:rsidRPr="00B30FE4" w14:paraId="0DC89E85" w14:textId="77777777" w:rsidTr="00944749">
        <w:tc>
          <w:tcPr>
            <w:tcW w:w="4928" w:type="dxa"/>
          </w:tcPr>
          <w:p w14:paraId="0B7F4C2E" w14:textId="77777777" w:rsidR="00B30FE4" w:rsidRPr="00B30FE4" w:rsidRDefault="00B30FE4" w:rsidP="00B30FE4">
            <w:pPr>
              <w:rPr>
                <w:rFonts w:cs="Arial"/>
                <w:b/>
                <w:szCs w:val="22"/>
              </w:rPr>
            </w:pPr>
            <w:r w:rsidRPr="00B30FE4">
              <w:rPr>
                <w:rFonts w:cs="Arial"/>
                <w:b/>
                <w:szCs w:val="22"/>
              </w:rPr>
              <w:t>Committee Member</w:t>
            </w:r>
          </w:p>
        </w:tc>
        <w:tc>
          <w:tcPr>
            <w:tcW w:w="3594" w:type="dxa"/>
          </w:tcPr>
          <w:p w14:paraId="2D9A26A0" w14:textId="77777777" w:rsidR="00B30FE4" w:rsidRPr="00B30FE4" w:rsidRDefault="00B30FE4" w:rsidP="00B30FE4">
            <w:pPr>
              <w:rPr>
                <w:rFonts w:cs="Arial"/>
                <w:b/>
                <w:szCs w:val="22"/>
              </w:rPr>
            </w:pPr>
            <w:r w:rsidRPr="00B30FE4">
              <w:rPr>
                <w:rFonts w:cs="Arial"/>
                <w:b/>
                <w:szCs w:val="22"/>
              </w:rPr>
              <w:t>No. of Meetings Attended</w:t>
            </w:r>
          </w:p>
        </w:tc>
      </w:tr>
      <w:tr w:rsidR="00B30FE4" w:rsidRPr="00B30FE4" w14:paraId="547FF419" w14:textId="77777777" w:rsidTr="00944749">
        <w:tc>
          <w:tcPr>
            <w:tcW w:w="4928" w:type="dxa"/>
          </w:tcPr>
          <w:p w14:paraId="64761859" w14:textId="55B77C1A" w:rsidR="00B30FE4" w:rsidRPr="0083327A" w:rsidRDefault="00B30FE4" w:rsidP="00B30FE4">
            <w:pPr>
              <w:widowControl w:val="0"/>
              <w:rPr>
                <w:rFonts w:cs="Arial"/>
              </w:rPr>
            </w:pPr>
            <w:r w:rsidRPr="00DE1B1B">
              <w:rPr>
                <w:rFonts w:cs="Arial"/>
              </w:rPr>
              <w:t>Professor Edwina Cornish AO</w:t>
            </w:r>
            <w:r w:rsidRPr="0083327A">
              <w:rPr>
                <w:rFonts w:cs="Arial"/>
              </w:rPr>
              <w:t xml:space="preserve"> (Chair)</w:t>
            </w:r>
          </w:p>
        </w:tc>
        <w:tc>
          <w:tcPr>
            <w:tcW w:w="3594" w:type="dxa"/>
          </w:tcPr>
          <w:p w14:paraId="21910BD7" w14:textId="77777777" w:rsidR="00B30FE4" w:rsidRPr="002324E6" w:rsidRDefault="00B30FE4" w:rsidP="00B30FE4">
            <w:pPr>
              <w:rPr>
                <w:rFonts w:cs="Arial"/>
                <w:szCs w:val="22"/>
              </w:rPr>
            </w:pPr>
            <w:r w:rsidRPr="000720D0">
              <w:rPr>
                <w:rFonts w:cs="Arial"/>
                <w:szCs w:val="22"/>
              </w:rPr>
              <w:t>3</w:t>
            </w:r>
          </w:p>
        </w:tc>
      </w:tr>
      <w:tr w:rsidR="00B30FE4" w:rsidRPr="00B30FE4" w14:paraId="639C0243" w14:textId="77777777" w:rsidTr="00944749">
        <w:tc>
          <w:tcPr>
            <w:tcW w:w="4928" w:type="dxa"/>
          </w:tcPr>
          <w:p w14:paraId="4BC43760" w14:textId="77777777" w:rsidR="00B30FE4" w:rsidRPr="0083327A" w:rsidRDefault="00B30FE4" w:rsidP="00B30FE4">
            <w:pPr>
              <w:widowControl w:val="0"/>
              <w:rPr>
                <w:rFonts w:cs="Arial"/>
                <w:bCs/>
                <w:iCs/>
              </w:rPr>
            </w:pPr>
            <w:r w:rsidRPr="0083327A">
              <w:rPr>
                <w:rFonts w:cs="Arial"/>
                <w:bCs/>
                <w:iCs/>
              </w:rPr>
              <w:t xml:space="preserve">Professor Graeme Davison </w:t>
            </w:r>
            <w:r w:rsidRPr="00DE1B1B">
              <w:rPr>
                <w:rFonts w:cs="Arial"/>
                <w:bCs/>
                <w:iCs/>
              </w:rPr>
              <w:t>AO</w:t>
            </w:r>
          </w:p>
        </w:tc>
        <w:tc>
          <w:tcPr>
            <w:tcW w:w="3594" w:type="dxa"/>
          </w:tcPr>
          <w:p w14:paraId="418D44FA" w14:textId="77777777" w:rsidR="00B30FE4" w:rsidRPr="002324E6" w:rsidRDefault="00B30FE4" w:rsidP="00B30FE4">
            <w:pPr>
              <w:rPr>
                <w:rFonts w:cs="Arial"/>
                <w:b/>
                <w:szCs w:val="22"/>
              </w:rPr>
            </w:pPr>
            <w:r w:rsidRPr="000720D0">
              <w:rPr>
                <w:rFonts w:cs="Arial"/>
                <w:szCs w:val="22"/>
              </w:rPr>
              <w:t>2</w:t>
            </w:r>
          </w:p>
        </w:tc>
      </w:tr>
      <w:tr w:rsidR="00B30FE4" w:rsidRPr="00B30FE4" w14:paraId="059E547E" w14:textId="77777777" w:rsidTr="00944749">
        <w:tc>
          <w:tcPr>
            <w:tcW w:w="4928" w:type="dxa"/>
          </w:tcPr>
          <w:p w14:paraId="730F9D34" w14:textId="77777777" w:rsidR="00B30FE4" w:rsidRPr="0083327A" w:rsidRDefault="00B30FE4" w:rsidP="00B30FE4">
            <w:pPr>
              <w:widowControl w:val="0"/>
              <w:rPr>
                <w:rFonts w:cs="Arial"/>
                <w:bCs/>
                <w:iCs/>
              </w:rPr>
            </w:pPr>
            <w:r w:rsidRPr="0083327A">
              <w:rPr>
                <w:rFonts w:cs="Arial"/>
                <w:bCs/>
                <w:iCs/>
              </w:rPr>
              <w:t>Dr J. Patrick Greene OBE</w:t>
            </w:r>
          </w:p>
        </w:tc>
        <w:tc>
          <w:tcPr>
            <w:tcW w:w="3594" w:type="dxa"/>
          </w:tcPr>
          <w:p w14:paraId="390EBE11" w14:textId="77777777" w:rsidR="00B30FE4" w:rsidRPr="002324E6" w:rsidRDefault="00B30FE4" w:rsidP="00B30FE4">
            <w:pPr>
              <w:rPr>
                <w:rFonts w:cs="Arial"/>
                <w:b/>
                <w:szCs w:val="22"/>
              </w:rPr>
            </w:pPr>
            <w:r w:rsidRPr="000720D0">
              <w:rPr>
                <w:rFonts w:cs="Arial"/>
                <w:szCs w:val="22"/>
              </w:rPr>
              <w:t>3</w:t>
            </w:r>
          </w:p>
        </w:tc>
      </w:tr>
      <w:tr w:rsidR="00B30FE4" w:rsidRPr="00B30FE4" w14:paraId="625A1802" w14:textId="77777777" w:rsidTr="00944749">
        <w:tc>
          <w:tcPr>
            <w:tcW w:w="4928" w:type="dxa"/>
          </w:tcPr>
          <w:p w14:paraId="261C0FBC" w14:textId="77777777" w:rsidR="00B30FE4" w:rsidRPr="0083327A" w:rsidRDefault="00B30FE4" w:rsidP="00B30FE4">
            <w:pPr>
              <w:widowControl w:val="0"/>
              <w:rPr>
                <w:rFonts w:cs="Arial"/>
                <w:bCs/>
                <w:iCs/>
              </w:rPr>
            </w:pPr>
            <w:r w:rsidRPr="0083327A">
              <w:rPr>
                <w:rFonts w:cs="Arial"/>
                <w:bCs/>
                <w:iCs/>
              </w:rPr>
              <w:t>Dr Robin Hirst</w:t>
            </w:r>
          </w:p>
        </w:tc>
        <w:tc>
          <w:tcPr>
            <w:tcW w:w="3594" w:type="dxa"/>
          </w:tcPr>
          <w:p w14:paraId="1D946E59" w14:textId="77777777" w:rsidR="00B30FE4" w:rsidRPr="002324E6" w:rsidRDefault="00B30FE4" w:rsidP="00B30FE4">
            <w:pPr>
              <w:rPr>
                <w:rFonts w:cs="Arial"/>
                <w:b/>
                <w:szCs w:val="22"/>
              </w:rPr>
            </w:pPr>
            <w:r w:rsidRPr="000720D0">
              <w:rPr>
                <w:rFonts w:cs="Arial"/>
                <w:szCs w:val="22"/>
              </w:rPr>
              <w:t>3</w:t>
            </w:r>
          </w:p>
        </w:tc>
      </w:tr>
      <w:tr w:rsidR="00B30FE4" w:rsidRPr="00B30FE4" w14:paraId="480A2BE1" w14:textId="77777777" w:rsidTr="00944749">
        <w:tc>
          <w:tcPr>
            <w:tcW w:w="4928" w:type="dxa"/>
          </w:tcPr>
          <w:p w14:paraId="09A2D417" w14:textId="5C4F22BA" w:rsidR="00B30FE4" w:rsidRPr="0083327A" w:rsidRDefault="00E851DE" w:rsidP="00B30FE4">
            <w:pPr>
              <w:widowControl w:val="0"/>
              <w:rPr>
                <w:rFonts w:cs="Arial"/>
                <w:bCs/>
                <w:iCs/>
              </w:rPr>
            </w:pPr>
            <w:r>
              <w:rPr>
                <w:rFonts w:cs="Arial"/>
                <w:bCs/>
                <w:iCs/>
              </w:rPr>
              <w:t>Dr</w:t>
            </w:r>
            <w:r w:rsidR="00A02203">
              <w:rPr>
                <w:rFonts w:cs="Arial"/>
                <w:bCs/>
                <w:iCs/>
              </w:rPr>
              <w:t xml:space="preserve"> Alison Inglis </w:t>
            </w:r>
            <w:r w:rsidR="00B30FE4" w:rsidRPr="00DE1B1B">
              <w:rPr>
                <w:rFonts w:cs="Arial"/>
                <w:bCs/>
                <w:iCs/>
              </w:rPr>
              <w:t xml:space="preserve">(appointed on </w:t>
            </w:r>
            <w:r>
              <w:rPr>
                <w:rFonts w:cs="Arial"/>
                <w:bCs/>
                <w:iCs/>
              </w:rPr>
              <w:t>4 August 2015</w:t>
            </w:r>
            <w:r w:rsidR="00B30FE4" w:rsidRPr="00DE1B1B">
              <w:rPr>
                <w:rFonts w:cs="Arial"/>
                <w:bCs/>
                <w:iCs/>
              </w:rPr>
              <w:t>)</w:t>
            </w:r>
          </w:p>
        </w:tc>
        <w:tc>
          <w:tcPr>
            <w:tcW w:w="3594" w:type="dxa"/>
          </w:tcPr>
          <w:p w14:paraId="46AF2423" w14:textId="77777777" w:rsidR="00B30FE4" w:rsidRPr="000720D0" w:rsidRDefault="00B30FE4" w:rsidP="00B30FE4">
            <w:pPr>
              <w:rPr>
                <w:rFonts w:cs="Arial"/>
                <w:szCs w:val="22"/>
              </w:rPr>
            </w:pPr>
            <w:r w:rsidRPr="000720D0">
              <w:rPr>
                <w:rFonts w:cs="Arial"/>
                <w:szCs w:val="22"/>
              </w:rPr>
              <w:t>1 (of 1)</w:t>
            </w:r>
          </w:p>
        </w:tc>
      </w:tr>
      <w:tr w:rsidR="00B30FE4" w:rsidRPr="00B30FE4" w14:paraId="748A388C" w14:textId="77777777" w:rsidTr="00944749">
        <w:tc>
          <w:tcPr>
            <w:tcW w:w="4928" w:type="dxa"/>
          </w:tcPr>
          <w:p w14:paraId="4942366C" w14:textId="77777777" w:rsidR="00B30FE4" w:rsidRPr="00B30FE4" w:rsidRDefault="00B30FE4" w:rsidP="00B30FE4">
            <w:pPr>
              <w:widowControl w:val="0"/>
              <w:rPr>
                <w:rFonts w:cs="Arial"/>
                <w:bCs/>
                <w:iCs/>
              </w:rPr>
            </w:pPr>
            <w:r w:rsidRPr="00B30FE4">
              <w:rPr>
                <w:rFonts w:cs="Arial"/>
                <w:bCs/>
                <w:iCs/>
              </w:rPr>
              <w:t>Professor David Karoly</w:t>
            </w:r>
          </w:p>
        </w:tc>
        <w:tc>
          <w:tcPr>
            <w:tcW w:w="3594" w:type="dxa"/>
          </w:tcPr>
          <w:p w14:paraId="0C2EA55B" w14:textId="77777777" w:rsidR="00B30FE4" w:rsidRPr="002324E6" w:rsidRDefault="00B30FE4" w:rsidP="00B30FE4">
            <w:pPr>
              <w:rPr>
                <w:rFonts w:cs="Arial"/>
                <w:b/>
                <w:szCs w:val="22"/>
              </w:rPr>
            </w:pPr>
            <w:r w:rsidRPr="000720D0">
              <w:rPr>
                <w:rFonts w:cs="Arial"/>
                <w:szCs w:val="22"/>
              </w:rPr>
              <w:t>3</w:t>
            </w:r>
          </w:p>
        </w:tc>
      </w:tr>
      <w:tr w:rsidR="00B30FE4" w:rsidRPr="00B30FE4" w14:paraId="7315C089" w14:textId="77777777" w:rsidTr="00944749">
        <w:tc>
          <w:tcPr>
            <w:tcW w:w="4928" w:type="dxa"/>
          </w:tcPr>
          <w:p w14:paraId="75A83E4E" w14:textId="77777777" w:rsidR="00B30FE4" w:rsidRPr="00B30FE4" w:rsidRDefault="00B30FE4" w:rsidP="00B30FE4">
            <w:pPr>
              <w:widowControl w:val="0"/>
              <w:rPr>
                <w:rFonts w:cs="Arial"/>
                <w:bCs/>
                <w:iCs/>
              </w:rPr>
            </w:pPr>
            <w:r w:rsidRPr="00B30FE4">
              <w:rPr>
                <w:rFonts w:cs="Arial"/>
                <w:bCs/>
                <w:iCs/>
              </w:rPr>
              <w:t>Professor Lynette Russell</w:t>
            </w:r>
          </w:p>
        </w:tc>
        <w:tc>
          <w:tcPr>
            <w:tcW w:w="3594" w:type="dxa"/>
          </w:tcPr>
          <w:p w14:paraId="526B2275" w14:textId="77777777" w:rsidR="00B30FE4" w:rsidRPr="002324E6" w:rsidRDefault="00B30FE4" w:rsidP="00B30FE4">
            <w:pPr>
              <w:rPr>
                <w:rFonts w:cs="Arial"/>
                <w:b/>
                <w:szCs w:val="22"/>
              </w:rPr>
            </w:pPr>
            <w:r w:rsidRPr="000720D0">
              <w:rPr>
                <w:rFonts w:cs="Arial"/>
                <w:szCs w:val="22"/>
              </w:rPr>
              <w:t>3</w:t>
            </w:r>
          </w:p>
        </w:tc>
      </w:tr>
      <w:tr w:rsidR="00B30FE4" w:rsidRPr="00B30FE4" w14:paraId="25FDF46B" w14:textId="77777777" w:rsidTr="00944749">
        <w:tc>
          <w:tcPr>
            <w:tcW w:w="4928" w:type="dxa"/>
          </w:tcPr>
          <w:p w14:paraId="24884666" w14:textId="77777777" w:rsidR="00B30FE4" w:rsidRPr="00B30FE4" w:rsidRDefault="00B30FE4" w:rsidP="00B30FE4">
            <w:pPr>
              <w:widowControl w:val="0"/>
              <w:rPr>
                <w:rFonts w:cs="Arial"/>
                <w:bCs/>
                <w:iCs/>
              </w:rPr>
            </w:pPr>
            <w:r w:rsidRPr="00B30FE4">
              <w:rPr>
                <w:rFonts w:cs="Arial"/>
                <w:bCs/>
                <w:iCs/>
              </w:rPr>
              <w:t>Professor Alistair Thomson</w:t>
            </w:r>
          </w:p>
        </w:tc>
        <w:tc>
          <w:tcPr>
            <w:tcW w:w="3594" w:type="dxa"/>
          </w:tcPr>
          <w:p w14:paraId="1B018FFF" w14:textId="77777777" w:rsidR="00B30FE4" w:rsidRPr="002324E6" w:rsidRDefault="00B30FE4" w:rsidP="00B30FE4">
            <w:pPr>
              <w:rPr>
                <w:rFonts w:cs="Arial"/>
                <w:b/>
                <w:szCs w:val="22"/>
              </w:rPr>
            </w:pPr>
            <w:r w:rsidRPr="000720D0">
              <w:rPr>
                <w:rFonts w:cs="Arial"/>
                <w:szCs w:val="22"/>
              </w:rPr>
              <w:t>3</w:t>
            </w:r>
          </w:p>
        </w:tc>
      </w:tr>
    </w:tbl>
    <w:p w14:paraId="1A966AFD" w14:textId="77777777" w:rsidR="00B30FE4" w:rsidRPr="00B30FE4" w:rsidRDefault="00B30FE4" w:rsidP="00B30FE4">
      <w:pPr>
        <w:rPr>
          <w:rFonts w:cs="Arial"/>
          <w:b/>
          <w:szCs w:val="22"/>
        </w:rPr>
      </w:pPr>
    </w:p>
    <w:p w14:paraId="179335A4" w14:textId="77777777" w:rsidR="00B30FE4" w:rsidRPr="00B30FE4" w:rsidRDefault="00B30FE4" w:rsidP="00B30FE4">
      <w:pPr>
        <w:rPr>
          <w:snapToGrid w:val="0"/>
        </w:rPr>
      </w:pPr>
    </w:p>
    <w:p w14:paraId="057DA43B" w14:textId="77777777" w:rsidR="00B30FE4" w:rsidRPr="00B30FE4" w:rsidRDefault="00B30FE4" w:rsidP="00B30FE4">
      <w:pPr>
        <w:rPr>
          <w:snapToGrid w:val="0"/>
        </w:rPr>
      </w:pPr>
      <w:r w:rsidRPr="00B30FE4">
        <w:rPr>
          <w:snapToGrid w:val="0"/>
        </w:rPr>
        <w:t>The Museums Board of Victoria is represented on the following committee:</w:t>
      </w:r>
    </w:p>
    <w:p w14:paraId="40122222" w14:textId="77777777" w:rsidR="00B30FE4" w:rsidRPr="00B30FE4" w:rsidRDefault="00B30FE4" w:rsidP="00B30FE4">
      <w:pPr>
        <w:rPr>
          <w:rFonts w:cs="Arial"/>
          <w:snapToGrid w:val="0"/>
          <w:color w:val="000000"/>
          <w:szCs w:val="22"/>
        </w:rPr>
      </w:pPr>
    </w:p>
    <w:p w14:paraId="12B43CC2" w14:textId="77777777" w:rsidR="00B30FE4" w:rsidRPr="00B30FE4" w:rsidRDefault="00B30FE4" w:rsidP="0010399B">
      <w:pPr>
        <w:pStyle w:val="Heading4"/>
      </w:pPr>
      <w:r w:rsidRPr="00B30FE4">
        <w:t>Donald Thomson Collection Administration Committee</w:t>
      </w:r>
    </w:p>
    <w:p w14:paraId="535FAD70" w14:textId="77777777" w:rsidR="0017394E" w:rsidRDefault="00B30FE4" w:rsidP="0017394E">
      <w:pPr>
        <w:widowControl w:val="0"/>
      </w:pPr>
      <w:r w:rsidRPr="00B30FE4">
        <w:t>This committee was established to administer the legal agreement between the University of Melbourne, members of the Thomson family and Museum Victoria for the long-term loan of the Donald Thomson</w:t>
      </w:r>
      <w:r w:rsidR="006E6249">
        <w:t xml:space="preserve"> Collection to Museum Victoria.</w:t>
      </w:r>
    </w:p>
    <w:p w14:paraId="003376CB" w14:textId="188D9382" w:rsidR="00B30FE4" w:rsidRPr="006E6249" w:rsidRDefault="00B30FE4" w:rsidP="0017394E">
      <w:pPr>
        <w:pStyle w:val="Heading2"/>
        <w:rPr>
          <w:sz w:val="22"/>
        </w:rPr>
      </w:pPr>
      <w:r w:rsidRPr="00B30FE4">
        <w:br w:type="page"/>
      </w:r>
      <w:r w:rsidRPr="00B30FE4">
        <w:lastRenderedPageBreak/>
        <w:t xml:space="preserve">Our Workplace </w:t>
      </w:r>
    </w:p>
    <w:p w14:paraId="5160EBB0" w14:textId="77777777" w:rsidR="00B30FE4" w:rsidRPr="00B30FE4" w:rsidRDefault="00B30FE4" w:rsidP="00B30FE4"/>
    <w:p w14:paraId="0E3EA3A5" w14:textId="1D051D11" w:rsidR="00B30FE4" w:rsidRDefault="00B30FE4" w:rsidP="006E6249">
      <w:pPr>
        <w:pStyle w:val="Heading3"/>
      </w:pPr>
      <w:r w:rsidRPr="00B30FE4">
        <w:t>Organisational Structure</w:t>
      </w:r>
    </w:p>
    <w:p w14:paraId="6587BF90" w14:textId="057A8015" w:rsidR="00991AFA" w:rsidRPr="00E623E3" w:rsidRDefault="00991AFA" w:rsidP="00991AFA">
      <w:r>
        <w:t>As at 30 June 2016</w:t>
      </w:r>
    </w:p>
    <w:p w14:paraId="1418B79A" w14:textId="77777777" w:rsidR="00B30FE4" w:rsidRPr="00B30FE4" w:rsidRDefault="00B30FE4" w:rsidP="00B30FE4">
      <w:pPr>
        <w:rPr>
          <w:rFonts w:cs="Arial"/>
        </w:rPr>
      </w:pPr>
    </w:p>
    <w:p w14:paraId="66F11A54" w14:textId="77777777" w:rsidR="006E6249" w:rsidRDefault="00B30FE4" w:rsidP="006E6249">
      <w:pPr>
        <w:rPr>
          <w:b/>
        </w:rPr>
      </w:pPr>
      <w:r w:rsidRPr="00B30FE4">
        <w:rPr>
          <w:noProof/>
        </w:rPr>
        <w:drawing>
          <wp:inline distT="0" distB="0" distL="0" distR="0" wp14:anchorId="7553A857" wp14:editId="44DE0171">
            <wp:extent cx="5731510" cy="6890841"/>
            <wp:effectExtent l="0" t="0" r="2540" b="5715"/>
            <wp:docPr id="1" name="Picture 1" descr="includes 3 divisions&#10;" title="Diagram of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890841"/>
                    </a:xfrm>
                    <a:prstGeom prst="rect">
                      <a:avLst/>
                    </a:prstGeom>
                    <a:noFill/>
                    <a:ln>
                      <a:noFill/>
                    </a:ln>
                  </pic:spPr>
                </pic:pic>
              </a:graphicData>
            </a:graphic>
          </wp:inline>
        </w:drawing>
      </w:r>
    </w:p>
    <w:p w14:paraId="5E50F584" w14:textId="704A403C" w:rsidR="00B30FE4" w:rsidRPr="00A54161" w:rsidRDefault="00B30FE4" w:rsidP="00A54161">
      <w:pPr>
        <w:pStyle w:val="Heading3"/>
      </w:pPr>
      <w:r w:rsidRPr="00B30FE4">
        <w:br w:type="page"/>
      </w:r>
      <w:r w:rsidRPr="00B30FE4">
        <w:lastRenderedPageBreak/>
        <w:t>Staff Profile</w:t>
      </w:r>
    </w:p>
    <w:p w14:paraId="62E7A81C" w14:textId="77777777" w:rsidR="00B30FE4" w:rsidRPr="00B30FE4" w:rsidRDefault="00B30FE4" w:rsidP="00B30FE4">
      <w:pPr>
        <w:keepNext/>
        <w:widowControl w:val="0"/>
        <w:rPr>
          <w:rFonts w:cs="Arial"/>
          <w:b/>
          <w:bCs/>
          <w:szCs w:val="22"/>
        </w:rPr>
      </w:pPr>
    </w:p>
    <w:tbl>
      <w:tblPr>
        <w:tblW w:w="9073" w:type="dxa"/>
        <w:tblInd w:w="-34" w:type="dxa"/>
        <w:tblBorders>
          <w:bottom w:val="single" w:sz="4" w:space="0" w:color="808080"/>
          <w:insideH w:val="single" w:sz="4" w:space="0" w:color="808080"/>
        </w:tblBorders>
        <w:tblLayout w:type="fixed"/>
        <w:tblLook w:val="0000" w:firstRow="0" w:lastRow="0" w:firstColumn="0" w:lastColumn="0" w:noHBand="0" w:noVBand="0"/>
        <w:tblCaption w:val="Staff Profile"/>
        <w:tblDescription w:val="Table shows staff breakdown for 2013–14 and comparison to previous four years."/>
      </w:tblPr>
      <w:tblGrid>
        <w:gridCol w:w="1276"/>
        <w:gridCol w:w="1113"/>
        <w:gridCol w:w="1114"/>
        <w:gridCol w:w="1114"/>
        <w:gridCol w:w="1114"/>
        <w:gridCol w:w="1114"/>
        <w:gridCol w:w="1114"/>
        <w:gridCol w:w="1114"/>
      </w:tblGrid>
      <w:tr w:rsidR="00B30FE4" w:rsidRPr="00B30FE4" w14:paraId="6A771F08" w14:textId="77777777" w:rsidTr="00944749">
        <w:tc>
          <w:tcPr>
            <w:tcW w:w="1276" w:type="dxa"/>
          </w:tcPr>
          <w:p w14:paraId="6C292E3C" w14:textId="77777777" w:rsidR="00B30FE4" w:rsidRPr="00B30FE4" w:rsidRDefault="00B30FE4" w:rsidP="00B30FE4">
            <w:pPr>
              <w:keepNext/>
              <w:widowControl w:val="0"/>
              <w:rPr>
                <w:rFonts w:cs="Arial"/>
                <w:szCs w:val="22"/>
              </w:rPr>
            </w:pPr>
          </w:p>
        </w:tc>
        <w:tc>
          <w:tcPr>
            <w:tcW w:w="3341" w:type="dxa"/>
            <w:gridSpan w:val="3"/>
            <w:tcBorders>
              <w:top w:val="nil"/>
              <w:right w:val="single" w:sz="4" w:space="0" w:color="808080"/>
            </w:tcBorders>
            <w:shd w:val="clear" w:color="auto" w:fill="C0C0C0"/>
          </w:tcPr>
          <w:p w14:paraId="02DF9B80" w14:textId="116DB290" w:rsidR="00B30FE4" w:rsidRPr="00B30FE4" w:rsidRDefault="00B30FE4" w:rsidP="00A52770">
            <w:pPr>
              <w:keepNext/>
              <w:widowControl w:val="0"/>
              <w:jc w:val="center"/>
              <w:rPr>
                <w:rFonts w:cs="Arial"/>
                <w:b/>
                <w:szCs w:val="22"/>
              </w:rPr>
            </w:pPr>
            <w:r w:rsidRPr="00B30FE4">
              <w:rPr>
                <w:rFonts w:cs="Arial"/>
                <w:b/>
                <w:szCs w:val="22"/>
              </w:rPr>
              <w:t>201</w:t>
            </w:r>
            <w:r w:rsidR="00A52770">
              <w:rPr>
                <w:rFonts w:cs="Arial"/>
                <w:b/>
                <w:szCs w:val="22"/>
              </w:rPr>
              <w:t>5-16</w:t>
            </w:r>
          </w:p>
        </w:tc>
        <w:tc>
          <w:tcPr>
            <w:tcW w:w="1114" w:type="dxa"/>
            <w:tcBorders>
              <w:top w:val="single" w:sz="4" w:space="0" w:color="808080"/>
              <w:right w:val="single" w:sz="4" w:space="0" w:color="808080"/>
            </w:tcBorders>
            <w:shd w:val="pct10" w:color="auto" w:fill="FFFFFF"/>
          </w:tcPr>
          <w:p w14:paraId="575D3FF6" w14:textId="479FEAA3" w:rsidR="00B30FE4" w:rsidRPr="00B30FE4" w:rsidRDefault="00A52770" w:rsidP="00B30FE4">
            <w:pPr>
              <w:keepNext/>
              <w:widowControl w:val="0"/>
              <w:jc w:val="center"/>
              <w:rPr>
                <w:rFonts w:cs="Arial"/>
                <w:b/>
                <w:szCs w:val="22"/>
              </w:rPr>
            </w:pPr>
            <w:r>
              <w:rPr>
                <w:rFonts w:cs="Arial"/>
                <w:b/>
                <w:szCs w:val="22"/>
              </w:rPr>
              <w:t>2014</w:t>
            </w:r>
            <w:r w:rsidRPr="00CB64D3">
              <w:rPr>
                <w:rFonts w:cs="Arial"/>
                <w:b/>
                <w:szCs w:val="22"/>
              </w:rPr>
              <w:t>–</w:t>
            </w:r>
            <w:r>
              <w:rPr>
                <w:rFonts w:cs="Arial"/>
                <w:b/>
                <w:szCs w:val="22"/>
              </w:rPr>
              <w:t>15</w:t>
            </w:r>
          </w:p>
        </w:tc>
        <w:tc>
          <w:tcPr>
            <w:tcW w:w="1114" w:type="dxa"/>
            <w:tcBorders>
              <w:top w:val="single" w:sz="4" w:space="0" w:color="808080"/>
              <w:left w:val="single" w:sz="4" w:space="0" w:color="808080"/>
              <w:bottom w:val="single" w:sz="4" w:space="0" w:color="808080"/>
              <w:right w:val="single" w:sz="4" w:space="0" w:color="808080"/>
            </w:tcBorders>
            <w:shd w:val="pct10" w:color="auto" w:fill="FFFFFF"/>
          </w:tcPr>
          <w:p w14:paraId="2F6B9EA1" w14:textId="5168361D" w:rsidR="00B30FE4" w:rsidRPr="00B30FE4" w:rsidRDefault="00A52770" w:rsidP="00B30FE4">
            <w:pPr>
              <w:keepNext/>
              <w:widowControl w:val="0"/>
              <w:jc w:val="right"/>
              <w:rPr>
                <w:rFonts w:cs="Arial"/>
                <w:b/>
                <w:szCs w:val="22"/>
              </w:rPr>
            </w:pPr>
            <w:r>
              <w:rPr>
                <w:rFonts w:cs="Arial"/>
                <w:b/>
                <w:szCs w:val="22"/>
              </w:rPr>
              <w:t>2013</w:t>
            </w:r>
            <w:r w:rsidRPr="00CB64D3">
              <w:rPr>
                <w:rFonts w:cs="Arial"/>
                <w:b/>
                <w:szCs w:val="22"/>
              </w:rPr>
              <w:t>–</w:t>
            </w:r>
            <w:r>
              <w:rPr>
                <w:rFonts w:cs="Arial"/>
                <w:b/>
                <w:szCs w:val="22"/>
              </w:rPr>
              <w:t>14</w:t>
            </w:r>
          </w:p>
        </w:tc>
        <w:tc>
          <w:tcPr>
            <w:tcW w:w="1114" w:type="dxa"/>
            <w:tcBorders>
              <w:top w:val="single" w:sz="4" w:space="0" w:color="808080"/>
              <w:left w:val="single" w:sz="4" w:space="0" w:color="808080"/>
              <w:bottom w:val="single" w:sz="4" w:space="0" w:color="808080"/>
              <w:right w:val="single" w:sz="4" w:space="0" w:color="808080"/>
            </w:tcBorders>
            <w:shd w:val="pct10" w:color="auto" w:fill="FFFFFF"/>
          </w:tcPr>
          <w:p w14:paraId="4EB1644C" w14:textId="6C650193" w:rsidR="00B30FE4" w:rsidRPr="00B30FE4" w:rsidRDefault="00A52770" w:rsidP="00B30FE4">
            <w:pPr>
              <w:keepNext/>
              <w:widowControl w:val="0"/>
              <w:jc w:val="center"/>
              <w:rPr>
                <w:rFonts w:cs="Arial"/>
                <w:b/>
                <w:szCs w:val="22"/>
              </w:rPr>
            </w:pPr>
            <w:r>
              <w:rPr>
                <w:rFonts w:cs="Arial"/>
                <w:b/>
                <w:szCs w:val="22"/>
              </w:rPr>
              <w:t>2012–13</w:t>
            </w:r>
          </w:p>
        </w:tc>
        <w:tc>
          <w:tcPr>
            <w:tcW w:w="1114" w:type="dxa"/>
            <w:tcBorders>
              <w:top w:val="single" w:sz="4" w:space="0" w:color="808080"/>
              <w:left w:val="single" w:sz="4" w:space="0" w:color="808080"/>
              <w:bottom w:val="single" w:sz="4" w:space="0" w:color="808080"/>
              <w:right w:val="single" w:sz="4" w:space="0" w:color="808080"/>
            </w:tcBorders>
            <w:shd w:val="pct10" w:color="auto" w:fill="FFFFFF"/>
          </w:tcPr>
          <w:p w14:paraId="0661A156" w14:textId="533FD57A" w:rsidR="00B30FE4" w:rsidRPr="00B30FE4" w:rsidRDefault="00A52770" w:rsidP="00B30FE4">
            <w:pPr>
              <w:keepNext/>
              <w:widowControl w:val="0"/>
              <w:jc w:val="center"/>
              <w:rPr>
                <w:rFonts w:cs="Arial"/>
                <w:b/>
                <w:szCs w:val="22"/>
              </w:rPr>
            </w:pPr>
            <w:r>
              <w:rPr>
                <w:rFonts w:cs="Arial"/>
                <w:b/>
                <w:szCs w:val="22"/>
              </w:rPr>
              <w:t>2011–12</w:t>
            </w:r>
          </w:p>
        </w:tc>
      </w:tr>
      <w:tr w:rsidR="00B30FE4" w:rsidRPr="00B30FE4" w14:paraId="22D22196" w14:textId="77777777" w:rsidTr="00944749">
        <w:tc>
          <w:tcPr>
            <w:tcW w:w="1276" w:type="dxa"/>
          </w:tcPr>
          <w:p w14:paraId="76EE57FC" w14:textId="77777777" w:rsidR="00B30FE4" w:rsidRPr="00B30FE4" w:rsidRDefault="00B30FE4" w:rsidP="00B30FE4">
            <w:pPr>
              <w:keepNext/>
              <w:widowControl w:val="0"/>
              <w:rPr>
                <w:rFonts w:cs="Arial"/>
                <w:b/>
                <w:szCs w:val="22"/>
              </w:rPr>
            </w:pPr>
          </w:p>
        </w:tc>
        <w:tc>
          <w:tcPr>
            <w:tcW w:w="1113" w:type="dxa"/>
            <w:tcBorders>
              <w:top w:val="single" w:sz="4" w:space="0" w:color="808080"/>
            </w:tcBorders>
            <w:shd w:val="clear" w:color="auto" w:fill="C0C0C0"/>
          </w:tcPr>
          <w:p w14:paraId="30B255D5" w14:textId="77777777" w:rsidR="00B30FE4" w:rsidRPr="00B30FE4" w:rsidRDefault="00B30FE4" w:rsidP="00B30FE4">
            <w:pPr>
              <w:keepNext/>
              <w:widowControl w:val="0"/>
              <w:jc w:val="right"/>
              <w:rPr>
                <w:rFonts w:cs="Arial"/>
                <w:b/>
                <w:szCs w:val="22"/>
              </w:rPr>
            </w:pPr>
            <w:r w:rsidRPr="00B30FE4">
              <w:rPr>
                <w:rFonts w:cs="Arial"/>
                <w:b/>
                <w:szCs w:val="22"/>
              </w:rPr>
              <w:t>Male</w:t>
            </w:r>
          </w:p>
        </w:tc>
        <w:tc>
          <w:tcPr>
            <w:tcW w:w="1114" w:type="dxa"/>
            <w:tcBorders>
              <w:top w:val="single" w:sz="4" w:space="0" w:color="808080"/>
            </w:tcBorders>
            <w:shd w:val="clear" w:color="auto" w:fill="C0C0C0"/>
          </w:tcPr>
          <w:p w14:paraId="4493ACD0" w14:textId="77777777" w:rsidR="00B30FE4" w:rsidRPr="00B30FE4" w:rsidRDefault="00B30FE4" w:rsidP="00B30FE4">
            <w:pPr>
              <w:keepNext/>
              <w:widowControl w:val="0"/>
              <w:jc w:val="right"/>
              <w:rPr>
                <w:rFonts w:cs="Arial"/>
                <w:b/>
                <w:szCs w:val="22"/>
              </w:rPr>
            </w:pPr>
            <w:r w:rsidRPr="00B30FE4">
              <w:rPr>
                <w:rFonts w:cs="Arial"/>
                <w:b/>
                <w:szCs w:val="22"/>
              </w:rPr>
              <w:t>Female</w:t>
            </w:r>
          </w:p>
        </w:tc>
        <w:tc>
          <w:tcPr>
            <w:tcW w:w="1114" w:type="dxa"/>
            <w:tcBorders>
              <w:top w:val="single" w:sz="4" w:space="0" w:color="808080"/>
              <w:right w:val="single" w:sz="4" w:space="0" w:color="808080"/>
            </w:tcBorders>
            <w:shd w:val="clear" w:color="auto" w:fill="C0C0C0"/>
          </w:tcPr>
          <w:p w14:paraId="705978A2" w14:textId="77777777" w:rsidR="00B30FE4" w:rsidRPr="00B30FE4" w:rsidRDefault="00B30FE4" w:rsidP="00B30FE4">
            <w:pPr>
              <w:keepNext/>
              <w:widowControl w:val="0"/>
              <w:jc w:val="right"/>
              <w:rPr>
                <w:rFonts w:cs="Arial"/>
                <w:b/>
                <w:szCs w:val="22"/>
              </w:rPr>
            </w:pPr>
            <w:r w:rsidRPr="00B30FE4">
              <w:rPr>
                <w:rFonts w:cs="Arial"/>
                <w:b/>
                <w:szCs w:val="22"/>
              </w:rPr>
              <w:t>Total</w:t>
            </w:r>
          </w:p>
        </w:tc>
        <w:tc>
          <w:tcPr>
            <w:tcW w:w="1114" w:type="dxa"/>
            <w:tcBorders>
              <w:top w:val="single" w:sz="4" w:space="0" w:color="808080"/>
              <w:right w:val="single" w:sz="4" w:space="0" w:color="808080"/>
            </w:tcBorders>
            <w:shd w:val="pct10" w:color="auto" w:fill="FFFFFF"/>
          </w:tcPr>
          <w:p w14:paraId="3375CD39" w14:textId="77777777" w:rsidR="00B30FE4" w:rsidRPr="00B30FE4" w:rsidRDefault="00B30FE4" w:rsidP="00B30FE4">
            <w:pPr>
              <w:keepNext/>
              <w:widowControl w:val="0"/>
              <w:jc w:val="right"/>
              <w:rPr>
                <w:rFonts w:cs="Arial"/>
                <w:b/>
                <w:szCs w:val="22"/>
              </w:rPr>
            </w:pPr>
            <w:r w:rsidRPr="00B30FE4">
              <w:rPr>
                <w:rFonts w:cs="Arial"/>
                <w:b/>
                <w:szCs w:val="22"/>
              </w:rPr>
              <w:t>Total</w:t>
            </w:r>
          </w:p>
        </w:tc>
        <w:tc>
          <w:tcPr>
            <w:tcW w:w="1114" w:type="dxa"/>
            <w:tcBorders>
              <w:top w:val="single" w:sz="4" w:space="0" w:color="808080"/>
              <w:left w:val="single" w:sz="4" w:space="0" w:color="808080"/>
              <w:right w:val="single" w:sz="4" w:space="0" w:color="808080"/>
            </w:tcBorders>
            <w:shd w:val="pct10" w:color="auto" w:fill="FFFFFF"/>
          </w:tcPr>
          <w:p w14:paraId="494ECC9D" w14:textId="77777777" w:rsidR="00B30FE4" w:rsidRPr="00B30FE4" w:rsidRDefault="00B30FE4" w:rsidP="00B30FE4">
            <w:pPr>
              <w:keepNext/>
              <w:widowControl w:val="0"/>
              <w:jc w:val="right"/>
              <w:rPr>
                <w:rFonts w:cs="Arial"/>
                <w:b/>
                <w:szCs w:val="22"/>
              </w:rPr>
            </w:pPr>
            <w:r w:rsidRPr="00B30FE4">
              <w:rPr>
                <w:rFonts w:cs="Arial"/>
                <w:b/>
                <w:szCs w:val="22"/>
              </w:rPr>
              <w:t>Total</w:t>
            </w:r>
          </w:p>
        </w:tc>
        <w:tc>
          <w:tcPr>
            <w:tcW w:w="1114" w:type="dxa"/>
            <w:tcBorders>
              <w:top w:val="single" w:sz="4" w:space="0" w:color="808080"/>
              <w:left w:val="single" w:sz="4" w:space="0" w:color="808080"/>
              <w:right w:val="single" w:sz="4" w:space="0" w:color="808080"/>
            </w:tcBorders>
            <w:shd w:val="pct10" w:color="auto" w:fill="FFFFFF"/>
          </w:tcPr>
          <w:p w14:paraId="6F0C72C2" w14:textId="77777777" w:rsidR="00B30FE4" w:rsidRPr="00B30FE4" w:rsidRDefault="00B30FE4" w:rsidP="00B30FE4">
            <w:pPr>
              <w:keepNext/>
              <w:widowControl w:val="0"/>
              <w:jc w:val="right"/>
              <w:rPr>
                <w:rFonts w:cs="Arial"/>
                <w:b/>
                <w:szCs w:val="22"/>
              </w:rPr>
            </w:pPr>
            <w:r w:rsidRPr="00B30FE4">
              <w:rPr>
                <w:rFonts w:cs="Arial"/>
                <w:b/>
                <w:szCs w:val="22"/>
              </w:rPr>
              <w:t>Total</w:t>
            </w:r>
          </w:p>
        </w:tc>
        <w:tc>
          <w:tcPr>
            <w:tcW w:w="1114" w:type="dxa"/>
            <w:tcBorders>
              <w:top w:val="single" w:sz="4" w:space="0" w:color="808080"/>
              <w:left w:val="single" w:sz="4" w:space="0" w:color="808080"/>
              <w:right w:val="single" w:sz="4" w:space="0" w:color="808080"/>
            </w:tcBorders>
            <w:shd w:val="pct10" w:color="auto" w:fill="FFFFFF"/>
          </w:tcPr>
          <w:p w14:paraId="4B9B6081" w14:textId="77777777" w:rsidR="00B30FE4" w:rsidRPr="00B30FE4" w:rsidRDefault="00B30FE4" w:rsidP="00B30FE4">
            <w:pPr>
              <w:keepNext/>
              <w:widowControl w:val="0"/>
              <w:jc w:val="right"/>
              <w:rPr>
                <w:rFonts w:cs="Arial"/>
                <w:b/>
                <w:szCs w:val="22"/>
              </w:rPr>
            </w:pPr>
            <w:r w:rsidRPr="00B30FE4">
              <w:rPr>
                <w:rFonts w:cs="Arial"/>
                <w:b/>
                <w:szCs w:val="22"/>
              </w:rPr>
              <w:t>Total</w:t>
            </w:r>
          </w:p>
        </w:tc>
      </w:tr>
      <w:tr w:rsidR="00A52770" w:rsidRPr="00B30FE4" w14:paraId="6B9B4A65" w14:textId="77777777" w:rsidTr="00944749">
        <w:tc>
          <w:tcPr>
            <w:tcW w:w="1276" w:type="dxa"/>
          </w:tcPr>
          <w:p w14:paraId="725F4078" w14:textId="77777777" w:rsidR="00A52770" w:rsidRPr="00B30FE4" w:rsidRDefault="00A52770" w:rsidP="00A52770">
            <w:pPr>
              <w:keepNext/>
              <w:widowControl w:val="0"/>
              <w:rPr>
                <w:rFonts w:cs="Arial"/>
                <w:szCs w:val="22"/>
              </w:rPr>
            </w:pPr>
            <w:r w:rsidRPr="00B30FE4">
              <w:rPr>
                <w:rFonts w:cs="Arial"/>
                <w:szCs w:val="22"/>
              </w:rPr>
              <w:t>Ongoing</w:t>
            </w:r>
          </w:p>
        </w:tc>
        <w:tc>
          <w:tcPr>
            <w:tcW w:w="1113" w:type="dxa"/>
            <w:tcBorders>
              <w:top w:val="single" w:sz="4" w:space="0" w:color="808080"/>
            </w:tcBorders>
            <w:shd w:val="clear" w:color="auto" w:fill="C0C0C0"/>
          </w:tcPr>
          <w:p w14:paraId="4B3938A6" w14:textId="1B87450B" w:rsidR="00A52770" w:rsidRPr="00B30FE4" w:rsidRDefault="000B1B9D" w:rsidP="00A52770">
            <w:pPr>
              <w:keepNext/>
              <w:widowControl w:val="0"/>
              <w:jc w:val="right"/>
              <w:rPr>
                <w:rFonts w:cs="Arial"/>
                <w:szCs w:val="22"/>
              </w:rPr>
            </w:pPr>
            <w:r>
              <w:rPr>
                <w:rFonts w:cs="Arial"/>
                <w:szCs w:val="22"/>
              </w:rPr>
              <w:t>178</w:t>
            </w:r>
          </w:p>
        </w:tc>
        <w:tc>
          <w:tcPr>
            <w:tcW w:w="1114" w:type="dxa"/>
            <w:tcBorders>
              <w:top w:val="single" w:sz="4" w:space="0" w:color="808080"/>
            </w:tcBorders>
            <w:shd w:val="clear" w:color="auto" w:fill="C0C0C0"/>
          </w:tcPr>
          <w:p w14:paraId="6D3F1849" w14:textId="37CAA7FC" w:rsidR="00A52770" w:rsidRPr="00B30FE4" w:rsidRDefault="000B1B9D" w:rsidP="00A52770">
            <w:pPr>
              <w:keepNext/>
              <w:widowControl w:val="0"/>
              <w:jc w:val="right"/>
              <w:rPr>
                <w:rFonts w:cs="Arial"/>
                <w:szCs w:val="22"/>
              </w:rPr>
            </w:pPr>
            <w:r>
              <w:rPr>
                <w:rFonts w:cs="Arial"/>
                <w:szCs w:val="22"/>
              </w:rPr>
              <w:t>261</w:t>
            </w:r>
          </w:p>
        </w:tc>
        <w:tc>
          <w:tcPr>
            <w:tcW w:w="1114" w:type="dxa"/>
            <w:tcBorders>
              <w:top w:val="single" w:sz="4" w:space="0" w:color="808080"/>
              <w:right w:val="single" w:sz="4" w:space="0" w:color="808080"/>
            </w:tcBorders>
            <w:shd w:val="clear" w:color="auto" w:fill="C0C0C0"/>
          </w:tcPr>
          <w:p w14:paraId="28939C83" w14:textId="485269DB" w:rsidR="00A52770" w:rsidRPr="00B30FE4" w:rsidRDefault="000B1B9D" w:rsidP="00A52770">
            <w:pPr>
              <w:keepNext/>
              <w:widowControl w:val="0"/>
              <w:jc w:val="right"/>
            </w:pPr>
            <w:r>
              <w:t>439</w:t>
            </w:r>
          </w:p>
        </w:tc>
        <w:tc>
          <w:tcPr>
            <w:tcW w:w="1114" w:type="dxa"/>
            <w:tcBorders>
              <w:top w:val="single" w:sz="4" w:space="0" w:color="808080"/>
              <w:right w:val="single" w:sz="4" w:space="0" w:color="808080"/>
            </w:tcBorders>
            <w:shd w:val="pct10" w:color="auto" w:fill="FFFFFF"/>
          </w:tcPr>
          <w:p w14:paraId="41E807F6" w14:textId="3AAA099D" w:rsidR="00A52770" w:rsidRPr="00B30FE4" w:rsidRDefault="00A52770" w:rsidP="00A52770">
            <w:pPr>
              <w:keepNext/>
              <w:widowControl w:val="0"/>
              <w:jc w:val="right"/>
            </w:pPr>
            <w:r>
              <w:t>447</w:t>
            </w:r>
          </w:p>
        </w:tc>
        <w:tc>
          <w:tcPr>
            <w:tcW w:w="1114" w:type="dxa"/>
            <w:tcBorders>
              <w:top w:val="single" w:sz="4" w:space="0" w:color="808080"/>
              <w:left w:val="single" w:sz="4" w:space="0" w:color="808080"/>
              <w:right w:val="single" w:sz="4" w:space="0" w:color="808080"/>
            </w:tcBorders>
            <w:shd w:val="pct10" w:color="auto" w:fill="FFFFFF"/>
          </w:tcPr>
          <w:p w14:paraId="7D862EF2" w14:textId="7BA36633" w:rsidR="00A52770" w:rsidRPr="00B30FE4" w:rsidRDefault="00A52770" w:rsidP="00A52770">
            <w:pPr>
              <w:keepNext/>
              <w:widowControl w:val="0"/>
              <w:jc w:val="right"/>
              <w:rPr>
                <w:rFonts w:cs="Arial"/>
                <w:szCs w:val="22"/>
              </w:rPr>
            </w:pPr>
            <w:r>
              <w:t>454</w:t>
            </w:r>
          </w:p>
        </w:tc>
        <w:tc>
          <w:tcPr>
            <w:tcW w:w="1114" w:type="dxa"/>
            <w:tcBorders>
              <w:top w:val="single" w:sz="4" w:space="0" w:color="808080"/>
              <w:left w:val="single" w:sz="4" w:space="0" w:color="808080"/>
              <w:right w:val="single" w:sz="4" w:space="0" w:color="808080"/>
            </w:tcBorders>
            <w:shd w:val="pct10" w:color="auto" w:fill="FFFFFF"/>
          </w:tcPr>
          <w:p w14:paraId="1FC3FE2A" w14:textId="74A81D25" w:rsidR="00A52770" w:rsidRPr="00B30FE4" w:rsidRDefault="00A52770" w:rsidP="00A52770">
            <w:pPr>
              <w:keepNext/>
              <w:widowControl w:val="0"/>
              <w:jc w:val="right"/>
              <w:rPr>
                <w:rFonts w:cs="Arial"/>
                <w:szCs w:val="22"/>
              </w:rPr>
            </w:pPr>
            <w:r>
              <w:rPr>
                <w:rFonts w:cs="Arial"/>
                <w:szCs w:val="22"/>
              </w:rPr>
              <w:t>440</w:t>
            </w:r>
          </w:p>
        </w:tc>
        <w:tc>
          <w:tcPr>
            <w:tcW w:w="1114" w:type="dxa"/>
            <w:tcBorders>
              <w:top w:val="single" w:sz="4" w:space="0" w:color="808080"/>
              <w:left w:val="single" w:sz="4" w:space="0" w:color="808080"/>
              <w:right w:val="single" w:sz="4" w:space="0" w:color="808080"/>
            </w:tcBorders>
            <w:shd w:val="pct10" w:color="auto" w:fill="FFFFFF"/>
          </w:tcPr>
          <w:p w14:paraId="3CFA5BAA" w14:textId="2E1C3BF1" w:rsidR="00A52770" w:rsidRPr="00B30FE4" w:rsidRDefault="00A52770" w:rsidP="00A52770">
            <w:pPr>
              <w:keepNext/>
              <w:widowControl w:val="0"/>
              <w:jc w:val="right"/>
              <w:rPr>
                <w:rFonts w:cs="Arial"/>
                <w:szCs w:val="22"/>
              </w:rPr>
            </w:pPr>
            <w:r w:rsidRPr="00BA1289">
              <w:rPr>
                <w:rFonts w:cs="Arial"/>
                <w:szCs w:val="22"/>
              </w:rPr>
              <w:t>420</w:t>
            </w:r>
          </w:p>
        </w:tc>
      </w:tr>
      <w:tr w:rsidR="00A52770" w:rsidRPr="00B30FE4" w14:paraId="5964868F" w14:textId="77777777" w:rsidTr="00944749">
        <w:tc>
          <w:tcPr>
            <w:tcW w:w="1276" w:type="dxa"/>
          </w:tcPr>
          <w:p w14:paraId="3F81E307" w14:textId="77777777" w:rsidR="00A52770" w:rsidRPr="00B30FE4" w:rsidRDefault="00A52770" w:rsidP="00A52770">
            <w:pPr>
              <w:keepNext/>
              <w:widowControl w:val="0"/>
              <w:rPr>
                <w:rFonts w:cs="Arial"/>
                <w:szCs w:val="22"/>
              </w:rPr>
            </w:pPr>
            <w:r w:rsidRPr="00B30FE4">
              <w:rPr>
                <w:rFonts w:cs="Arial"/>
                <w:szCs w:val="22"/>
              </w:rPr>
              <w:t>Fixed</w:t>
            </w:r>
          </w:p>
        </w:tc>
        <w:tc>
          <w:tcPr>
            <w:tcW w:w="1113" w:type="dxa"/>
            <w:tcBorders>
              <w:top w:val="single" w:sz="4" w:space="0" w:color="808080"/>
            </w:tcBorders>
            <w:shd w:val="clear" w:color="auto" w:fill="C0C0C0"/>
          </w:tcPr>
          <w:p w14:paraId="74EF5164" w14:textId="5F89FC2E" w:rsidR="00A52770" w:rsidRPr="00B30FE4" w:rsidRDefault="000B1B9D" w:rsidP="00A52770">
            <w:pPr>
              <w:keepNext/>
              <w:widowControl w:val="0"/>
              <w:jc w:val="right"/>
              <w:rPr>
                <w:rFonts w:cs="Arial"/>
                <w:szCs w:val="22"/>
              </w:rPr>
            </w:pPr>
            <w:r>
              <w:rPr>
                <w:rFonts w:cs="Arial"/>
                <w:szCs w:val="22"/>
              </w:rPr>
              <w:t>39</w:t>
            </w:r>
          </w:p>
        </w:tc>
        <w:tc>
          <w:tcPr>
            <w:tcW w:w="1114" w:type="dxa"/>
            <w:tcBorders>
              <w:top w:val="single" w:sz="4" w:space="0" w:color="808080"/>
            </w:tcBorders>
            <w:shd w:val="clear" w:color="auto" w:fill="C0C0C0"/>
          </w:tcPr>
          <w:p w14:paraId="1C125EF8" w14:textId="56EB02D4" w:rsidR="00A52770" w:rsidRPr="00B30FE4" w:rsidRDefault="000B1B9D" w:rsidP="00A52770">
            <w:pPr>
              <w:keepNext/>
              <w:widowControl w:val="0"/>
              <w:jc w:val="right"/>
              <w:rPr>
                <w:rFonts w:cs="Arial"/>
                <w:szCs w:val="22"/>
              </w:rPr>
            </w:pPr>
            <w:r>
              <w:rPr>
                <w:rFonts w:cs="Arial"/>
                <w:szCs w:val="22"/>
              </w:rPr>
              <w:t>56</w:t>
            </w:r>
          </w:p>
        </w:tc>
        <w:tc>
          <w:tcPr>
            <w:tcW w:w="1114" w:type="dxa"/>
            <w:tcBorders>
              <w:top w:val="single" w:sz="4" w:space="0" w:color="808080"/>
              <w:right w:val="single" w:sz="4" w:space="0" w:color="808080"/>
            </w:tcBorders>
            <w:shd w:val="clear" w:color="auto" w:fill="C0C0C0"/>
          </w:tcPr>
          <w:p w14:paraId="07D20A77" w14:textId="73F2806D" w:rsidR="00A52770" w:rsidRPr="00B30FE4" w:rsidRDefault="000B1B9D" w:rsidP="00A52770">
            <w:pPr>
              <w:keepNext/>
              <w:widowControl w:val="0"/>
              <w:jc w:val="right"/>
            </w:pPr>
            <w:r>
              <w:t>95</w:t>
            </w:r>
          </w:p>
        </w:tc>
        <w:tc>
          <w:tcPr>
            <w:tcW w:w="1114" w:type="dxa"/>
            <w:tcBorders>
              <w:top w:val="single" w:sz="4" w:space="0" w:color="808080"/>
              <w:right w:val="single" w:sz="4" w:space="0" w:color="808080"/>
            </w:tcBorders>
            <w:shd w:val="pct10" w:color="auto" w:fill="FFFFFF"/>
          </w:tcPr>
          <w:p w14:paraId="1FE83DD1" w14:textId="2CE25304" w:rsidR="00A52770" w:rsidRPr="00B30FE4" w:rsidRDefault="00A52770" w:rsidP="00A52770">
            <w:pPr>
              <w:keepNext/>
              <w:widowControl w:val="0"/>
              <w:jc w:val="right"/>
            </w:pPr>
            <w:r>
              <w:t>60</w:t>
            </w:r>
          </w:p>
        </w:tc>
        <w:tc>
          <w:tcPr>
            <w:tcW w:w="1114" w:type="dxa"/>
            <w:tcBorders>
              <w:top w:val="single" w:sz="4" w:space="0" w:color="808080"/>
              <w:left w:val="single" w:sz="4" w:space="0" w:color="808080"/>
              <w:right w:val="single" w:sz="4" w:space="0" w:color="808080"/>
            </w:tcBorders>
            <w:shd w:val="pct10" w:color="auto" w:fill="FFFFFF"/>
          </w:tcPr>
          <w:p w14:paraId="2B983273" w14:textId="514BE519" w:rsidR="00A52770" w:rsidRPr="00B30FE4" w:rsidRDefault="00A52770" w:rsidP="00A52770">
            <w:pPr>
              <w:keepNext/>
              <w:widowControl w:val="0"/>
              <w:jc w:val="right"/>
              <w:rPr>
                <w:rFonts w:cs="Arial"/>
                <w:szCs w:val="22"/>
              </w:rPr>
            </w:pPr>
            <w:r>
              <w:t>78</w:t>
            </w:r>
          </w:p>
        </w:tc>
        <w:tc>
          <w:tcPr>
            <w:tcW w:w="1114" w:type="dxa"/>
            <w:tcBorders>
              <w:top w:val="single" w:sz="4" w:space="0" w:color="808080"/>
              <w:left w:val="single" w:sz="4" w:space="0" w:color="808080"/>
              <w:right w:val="single" w:sz="4" w:space="0" w:color="808080"/>
            </w:tcBorders>
            <w:shd w:val="pct10" w:color="auto" w:fill="FFFFFF"/>
          </w:tcPr>
          <w:p w14:paraId="08D4301C" w14:textId="0811851B" w:rsidR="00A52770" w:rsidRPr="00B30FE4" w:rsidRDefault="00A52770" w:rsidP="00A52770">
            <w:pPr>
              <w:keepNext/>
              <w:widowControl w:val="0"/>
              <w:jc w:val="right"/>
              <w:rPr>
                <w:rFonts w:cs="Arial"/>
                <w:szCs w:val="22"/>
              </w:rPr>
            </w:pPr>
            <w:r>
              <w:rPr>
                <w:rFonts w:cs="Arial"/>
                <w:szCs w:val="22"/>
              </w:rPr>
              <w:t>64</w:t>
            </w:r>
          </w:p>
        </w:tc>
        <w:tc>
          <w:tcPr>
            <w:tcW w:w="1114" w:type="dxa"/>
            <w:tcBorders>
              <w:top w:val="single" w:sz="4" w:space="0" w:color="808080"/>
              <w:left w:val="single" w:sz="4" w:space="0" w:color="808080"/>
              <w:right w:val="single" w:sz="4" w:space="0" w:color="808080"/>
            </w:tcBorders>
            <w:shd w:val="pct10" w:color="auto" w:fill="FFFFFF"/>
          </w:tcPr>
          <w:p w14:paraId="4F465CD7" w14:textId="4CB9D081" w:rsidR="00A52770" w:rsidRPr="00B30FE4" w:rsidRDefault="00A52770" w:rsidP="00A52770">
            <w:pPr>
              <w:keepNext/>
              <w:widowControl w:val="0"/>
              <w:jc w:val="right"/>
              <w:rPr>
                <w:rFonts w:cs="Arial"/>
                <w:szCs w:val="22"/>
              </w:rPr>
            </w:pPr>
            <w:r w:rsidRPr="00BA1289">
              <w:rPr>
                <w:rFonts w:cs="Arial"/>
                <w:szCs w:val="22"/>
              </w:rPr>
              <w:t>91</w:t>
            </w:r>
          </w:p>
        </w:tc>
      </w:tr>
      <w:tr w:rsidR="00A52770" w:rsidRPr="00B30FE4" w14:paraId="33900979" w14:textId="77777777" w:rsidTr="00944749">
        <w:tc>
          <w:tcPr>
            <w:tcW w:w="1276" w:type="dxa"/>
          </w:tcPr>
          <w:p w14:paraId="008B0FB8" w14:textId="77777777" w:rsidR="00A52770" w:rsidRPr="00B30FE4" w:rsidRDefault="00A52770" w:rsidP="00A52770">
            <w:pPr>
              <w:keepNext/>
              <w:widowControl w:val="0"/>
              <w:rPr>
                <w:rFonts w:cs="Arial"/>
                <w:szCs w:val="22"/>
              </w:rPr>
            </w:pPr>
            <w:r w:rsidRPr="00B30FE4">
              <w:rPr>
                <w:rFonts w:cs="Arial"/>
                <w:szCs w:val="22"/>
              </w:rPr>
              <w:t>Casual</w:t>
            </w:r>
          </w:p>
        </w:tc>
        <w:tc>
          <w:tcPr>
            <w:tcW w:w="1113" w:type="dxa"/>
            <w:tcBorders>
              <w:top w:val="single" w:sz="4" w:space="0" w:color="808080"/>
            </w:tcBorders>
            <w:shd w:val="clear" w:color="auto" w:fill="C0C0C0"/>
          </w:tcPr>
          <w:p w14:paraId="71E6AB4E" w14:textId="12CA5335" w:rsidR="00A52770" w:rsidRPr="00B30FE4" w:rsidRDefault="000B1B9D" w:rsidP="00A52770">
            <w:pPr>
              <w:keepNext/>
              <w:widowControl w:val="0"/>
              <w:jc w:val="right"/>
              <w:rPr>
                <w:rFonts w:cs="Arial"/>
                <w:szCs w:val="22"/>
              </w:rPr>
            </w:pPr>
            <w:r>
              <w:rPr>
                <w:rFonts w:cs="Arial"/>
                <w:szCs w:val="22"/>
              </w:rPr>
              <w:t>63</w:t>
            </w:r>
          </w:p>
        </w:tc>
        <w:tc>
          <w:tcPr>
            <w:tcW w:w="1114" w:type="dxa"/>
            <w:tcBorders>
              <w:top w:val="single" w:sz="4" w:space="0" w:color="808080"/>
            </w:tcBorders>
            <w:shd w:val="clear" w:color="auto" w:fill="C0C0C0"/>
          </w:tcPr>
          <w:p w14:paraId="3946C8A6" w14:textId="66584D33" w:rsidR="00A52770" w:rsidRPr="00B30FE4" w:rsidRDefault="000B1B9D" w:rsidP="00A52770">
            <w:pPr>
              <w:keepNext/>
              <w:widowControl w:val="0"/>
              <w:jc w:val="right"/>
              <w:rPr>
                <w:rFonts w:cs="Arial"/>
                <w:szCs w:val="22"/>
              </w:rPr>
            </w:pPr>
            <w:r>
              <w:rPr>
                <w:rFonts w:cs="Arial"/>
                <w:szCs w:val="22"/>
              </w:rPr>
              <w:t>95</w:t>
            </w:r>
          </w:p>
        </w:tc>
        <w:tc>
          <w:tcPr>
            <w:tcW w:w="1114" w:type="dxa"/>
            <w:tcBorders>
              <w:top w:val="single" w:sz="4" w:space="0" w:color="808080"/>
              <w:right w:val="single" w:sz="4" w:space="0" w:color="808080"/>
            </w:tcBorders>
            <w:shd w:val="clear" w:color="auto" w:fill="C0C0C0"/>
          </w:tcPr>
          <w:p w14:paraId="6B8C4A50" w14:textId="2FD56C55" w:rsidR="00A52770" w:rsidRPr="00B30FE4" w:rsidRDefault="000B1B9D" w:rsidP="00A52770">
            <w:pPr>
              <w:keepNext/>
              <w:widowControl w:val="0"/>
              <w:jc w:val="right"/>
            </w:pPr>
            <w:r>
              <w:t>158</w:t>
            </w:r>
          </w:p>
        </w:tc>
        <w:tc>
          <w:tcPr>
            <w:tcW w:w="1114" w:type="dxa"/>
            <w:tcBorders>
              <w:top w:val="single" w:sz="4" w:space="0" w:color="808080"/>
              <w:right w:val="single" w:sz="4" w:space="0" w:color="808080"/>
            </w:tcBorders>
            <w:shd w:val="pct10" w:color="auto" w:fill="FFFFFF"/>
          </w:tcPr>
          <w:p w14:paraId="000BE03E" w14:textId="2B04FA99" w:rsidR="00A52770" w:rsidRPr="00B30FE4" w:rsidRDefault="00A52770" w:rsidP="00A52770">
            <w:pPr>
              <w:keepNext/>
              <w:widowControl w:val="0"/>
              <w:jc w:val="right"/>
            </w:pPr>
            <w:r>
              <w:t>116</w:t>
            </w:r>
          </w:p>
        </w:tc>
        <w:tc>
          <w:tcPr>
            <w:tcW w:w="1114" w:type="dxa"/>
            <w:tcBorders>
              <w:top w:val="single" w:sz="4" w:space="0" w:color="808080"/>
              <w:left w:val="single" w:sz="4" w:space="0" w:color="808080"/>
              <w:right w:val="single" w:sz="4" w:space="0" w:color="808080"/>
            </w:tcBorders>
            <w:shd w:val="pct10" w:color="auto" w:fill="FFFFFF"/>
          </w:tcPr>
          <w:p w14:paraId="62A663B1" w14:textId="1DCB5BC8" w:rsidR="00A52770" w:rsidRPr="00B30FE4" w:rsidRDefault="00A52770" w:rsidP="00A52770">
            <w:pPr>
              <w:keepNext/>
              <w:widowControl w:val="0"/>
              <w:jc w:val="right"/>
              <w:rPr>
                <w:rFonts w:cs="Arial"/>
                <w:szCs w:val="22"/>
              </w:rPr>
            </w:pPr>
            <w:r>
              <w:t>141</w:t>
            </w:r>
          </w:p>
        </w:tc>
        <w:tc>
          <w:tcPr>
            <w:tcW w:w="1114" w:type="dxa"/>
            <w:tcBorders>
              <w:top w:val="single" w:sz="4" w:space="0" w:color="808080"/>
              <w:left w:val="single" w:sz="4" w:space="0" w:color="808080"/>
              <w:right w:val="single" w:sz="4" w:space="0" w:color="808080"/>
            </w:tcBorders>
            <w:shd w:val="pct10" w:color="auto" w:fill="FFFFFF"/>
          </w:tcPr>
          <w:p w14:paraId="244B6DD9" w14:textId="6CEC8D04" w:rsidR="00A52770" w:rsidRPr="00B30FE4" w:rsidRDefault="00A52770" w:rsidP="00A52770">
            <w:pPr>
              <w:keepNext/>
              <w:widowControl w:val="0"/>
              <w:jc w:val="right"/>
              <w:rPr>
                <w:rFonts w:cs="Arial"/>
                <w:szCs w:val="22"/>
              </w:rPr>
            </w:pPr>
            <w:r>
              <w:rPr>
                <w:rFonts w:cs="Arial"/>
                <w:szCs w:val="22"/>
              </w:rPr>
              <w:t>119</w:t>
            </w:r>
          </w:p>
        </w:tc>
        <w:tc>
          <w:tcPr>
            <w:tcW w:w="1114" w:type="dxa"/>
            <w:tcBorders>
              <w:top w:val="single" w:sz="4" w:space="0" w:color="808080"/>
              <w:left w:val="single" w:sz="4" w:space="0" w:color="808080"/>
              <w:right w:val="single" w:sz="4" w:space="0" w:color="808080"/>
            </w:tcBorders>
            <w:shd w:val="pct10" w:color="auto" w:fill="FFFFFF"/>
          </w:tcPr>
          <w:p w14:paraId="7CC1D833" w14:textId="5C96293B" w:rsidR="00A52770" w:rsidRPr="00B30FE4" w:rsidRDefault="00A52770" w:rsidP="00A52770">
            <w:pPr>
              <w:keepNext/>
              <w:widowControl w:val="0"/>
              <w:jc w:val="right"/>
              <w:rPr>
                <w:rFonts w:cs="Arial"/>
                <w:szCs w:val="22"/>
              </w:rPr>
            </w:pPr>
            <w:r>
              <w:rPr>
                <w:rFonts w:cs="Arial"/>
                <w:szCs w:val="22"/>
              </w:rPr>
              <w:t>109</w:t>
            </w:r>
          </w:p>
        </w:tc>
      </w:tr>
      <w:tr w:rsidR="00A52770" w:rsidRPr="00B30FE4" w14:paraId="08E5E967" w14:textId="77777777" w:rsidTr="00944749">
        <w:tc>
          <w:tcPr>
            <w:tcW w:w="1276" w:type="dxa"/>
          </w:tcPr>
          <w:p w14:paraId="37C844FE" w14:textId="77777777" w:rsidR="00A52770" w:rsidRPr="00B30FE4" w:rsidRDefault="00A52770" w:rsidP="00A52770">
            <w:pPr>
              <w:keepNext/>
              <w:widowControl w:val="0"/>
              <w:rPr>
                <w:rFonts w:cs="Arial"/>
                <w:b/>
                <w:szCs w:val="22"/>
              </w:rPr>
            </w:pPr>
            <w:r w:rsidRPr="00B30FE4">
              <w:rPr>
                <w:rFonts w:cs="Arial"/>
                <w:b/>
                <w:szCs w:val="22"/>
              </w:rPr>
              <w:t>Total</w:t>
            </w:r>
          </w:p>
        </w:tc>
        <w:tc>
          <w:tcPr>
            <w:tcW w:w="1113" w:type="dxa"/>
            <w:tcBorders>
              <w:top w:val="single" w:sz="4" w:space="0" w:color="808080"/>
            </w:tcBorders>
            <w:shd w:val="clear" w:color="auto" w:fill="C0C0C0"/>
          </w:tcPr>
          <w:p w14:paraId="190B9C8B" w14:textId="71127C90" w:rsidR="00A52770" w:rsidRPr="00B30FE4" w:rsidRDefault="000B1B9D" w:rsidP="00A52770">
            <w:pPr>
              <w:keepNext/>
              <w:widowControl w:val="0"/>
              <w:jc w:val="right"/>
              <w:rPr>
                <w:rFonts w:cs="Arial"/>
                <w:b/>
                <w:szCs w:val="22"/>
              </w:rPr>
            </w:pPr>
            <w:r>
              <w:rPr>
                <w:rFonts w:cs="Arial"/>
                <w:b/>
                <w:szCs w:val="22"/>
              </w:rPr>
              <w:t>280</w:t>
            </w:r>
          </w:p>
        </w:tc>
        <w:tc>
          <w:tcPr>
            <w:tcW w:w="1114" w:type="dxa"/>
            <w:tcBorders>
              <w:top w:val="single" w:sz="4" w:space="0" w:color="808080"/>
            </w:tcBorders>
            <w:shd w:val="clear" w:color="auto" w:fill="C0C0C0"/>
          </w:tcPr>
          <w:p w14:paraId="6D8132EC" w14:textId="0E70A763" w:rsidR="00A52770" w:rsidRPr="00B30FE4" w:rsidRDefault="000B1B9D" w:rsidP="00A52770">
            <w:pPr>
              <w:keepNext/>
              <w:widowControl w:val="0"/>
              <w:jc w:val="right"/>
              <w:rPr>
                <w:rFonts w:cs="Arial"/>
                <w:b/>
                <w:szCs w:val="22"/>
              </w:rPr>
            </w:pPr>
            <w:r>
              <w:rPr>
                <w:rFonts w:cs="Arial"/>
                <w:b/>
                <w:szCs w:val="22"/>
              </w:rPr>
              <w:t>412</w:t>
            </w:r>
          </w:p>
        </w:tc>
        <w:tc>
          <w:tcPr>
            <w:tcW w:w="1114" w:type="dxa"/>
            <w:tcBorders>
              <w:top w:val="single" w:sz="4" w:space="0" w:color="808080"/>
              <w:right w:val="single" w:sz="4" w:space="0" w:color="808080"/>
            </w:tcBorders>
            <w:shd w:val="clear" w:color="auto" w:fill="C0C0C0"/>
          </w:tcPr>
          <w:p w14:paraId="108B6AF1" w14:textId="2E6E9C17" w:rsidR="00A52770" w:rsidRPr="00B30FE4" w:rsidRDefault="000B1B9D" w:rsidP="00A52770">
            <w:pPr>
              <w:keepNext/>
              <w:widowControl w:val="0"/>
              <w:jc w:val="right"/>
              <w:rPr>
                <w:b/>
              </w:rPr>
            </w:pPr>
            <w:r>
              <w:rPr>
                <w:b/>
              </w:rPr>
              <w:t>692</w:t>
            </w:r>
          </w:p>
        </w:tc>
        <w:tc>
          <w:tcPr>
            <w:tcW w:w="1114" w:type="dxa"/>
            <w:tcBorders>
              <w:top w:val="single" w:sz="4" w:space="0" w:color="808080"/>
              <w:right w:val="single" w:sz="4" w:space="0" w:color="808080"/>
            </w:tcBorders>
            <w:shd w:val="pct10" w:color="auto" w:fill="FFFFFF"/>
          </w:tcPr>
          <w:p w14:paraId="4F9265E8" w14:textId="3F8B2822" w:rsidR="00A52770" w:rsidRPr="00B30FE4" w:rsidRDefault="00A52770" w:rsidP="00A52770">
            <w:pPr>
              <w:keepNext/>
              <w:widowControl w:val="0"/>
              <w:jc w:val="right"/>
              <w:rPr>
                <w:b/>
              </w:rPr>
            </w:pPr>
            <w:r>
              <w:rPr>
                <w:b/>
              </w:rPr>
              <w:t>623</w:t>
            </w:r>
          </w:p>
        </w:tc>
        <w:tc>
          <w:tcPr>
            <w:tcW w:w="1114" w:type="dxa"/>
            <w:tcBorders>
              <w:top w:val="single" w:sz="4" w:space="0" w:color="808080"/>
              <w:left w:val="single" w:sz="4" w:space="0" w:color="808080"/>
              <w:right w:val="single" w:sz="4" w:space="0" w:color="808080"/>
            </w:tcBorders>
            <w:shd w:val="pct10" w:color="auto" w:fill="FFFFFF"/>
          </w:tcPr>
          <w:p w14:paraId="3E5C64A0" w14:textId="3B97B1A7" w:rsidR="00A52770" w:rsidRPr="00B30FE4" w:rsidRDefault="00A52770" w:rsidP="00A52770">
            <w:pPr>
              <w:keepNext/>
              <w:widowControl w:val="0"/>
              <w:jc w:val="right"/>
              <w:rPr>
                <w:rFonts w:cs="Arial"/>
                <w:b/>
                <w:szCs w:val="22"/>
              </w:rPr>
            </w:pPr>
            <w:r>
              <w:rPr>
                <w:b/>
              </w:rPr>
              <w:t>673</w:t>
            </w:r>
          </w:p>
        </w:tc>
        <w:tc>
          <w:tcPr>
            <w:tcW w:w="1114" w:type="dxa"/>
            <w:tcBorders>
              <w:top w:val="single" w:sz="4" w:space="0" w:color="808080"/>
              <w:left w:val="single" w:sz="4" w:space="0" w:color="808080"/>
              <w:right w:val="single" w:sz="4" w:space="0" w:color="808080"/>
            </w:tcBorders>
            <w:shd w:val="pct10" w:color="auto" w:fill="FFFFFF"/>
          </w:tcPr>
          <w:p w14:paraId="798D24D0" w14:textId="4EDA1D36" w:rsidR="00A52770" w:rsidRPr="00B30FE4" w:rsidRDefault="00A52770" w:rsidP="00A52770">
            <w:pPr>
              <w:keepNext/>
              <w:widowControl w:val="0"/>
              <w:jc w:val="right"/>
              <w:rPr>
                <w:rFonts w:cs="Arial"/>
                <w:b/>
                <w:szCs w:val="22"/>
              </w:rPr>
            </w:pPr>
            <w:r>
              <w:rPr>
                <w:rFonts w:cs="Arial"/>
                <w:b/>
                <w:szCs w:val="22"/>
              </w:rPr>
              <w:t>623</w:t>
            </w:r>
          </w:p>
        </w:tc>
        <w:tc>
          <w:tcPr>
            <w:tcW w:w="1114" w:type="dxa"/>
            <w:tcBorders>
              <w:top w:val="single" w:sz="4" w:space="0" w:color="808080"/>
              <w:left w:val="single" w:sz="4" w:space="0" w:color="808080"/>
              <w:right w:val="single" w:sz="4" w:space="0" w:color="808080"/>
            </w:tcBorders>
            <w:shd w:val="pct10" w:color="auto" w:fill="FFFFFF"/>
          </w:tcPr>
          <w:p w14:paraId="36CA45D6" w14:textId="4EDA1391" w:rsidR="00A52770" w:rsidRPr="00B30FE4" w:rsidRDefault="00A52770" w:rsidP="00A52770">
            <w:pPr>
              <w:keepNext/>
              <w:widowControl w:val="0"/>
              <w:jc w:val="right"/>
              <w:rPr>
                <w:rFonts w:cs="Arial"/>
                <w:b/>
                <w:szCs w:val="22"/>
              </w:rPr>
            </w:pPr>
            <w:r w:rsidRPr="00BA1289">
              <w:rPr>
                <w:rFonts w:cs="Arial"/>
                <w:b/>
                <w:szCs w:val="22"/>
              </w:rPr>
              <w:t>620</w:t>
            </w:r>
          </w:p>
        </w:tc>
      </w:tr>
      <w:tr w:rsidR="00A52770" w:rsidRPr="00B30FE4" w14:paraId="2AD267E1" w14:textId="77777777" w:rsidTr="00944749">
        <w:tc>
          <w:tcPr>
            <w:tcW w:w="1276" w:type="dxa"/>
          </w:tcPr>
          <w:p w14:paraId="7737D2E8" w14:textId="77777777" w:rsidR="00A52770" w:rsidRPr="00B30FE4" w:rsidRDefault="00A52770" w:rsidP="00A52770">
            <w:pPr>
              <w:keepNext/>
              <w:widowControl w:val="0"/>
              <w:rPr>
                <w:rFonts w:cs="Arial"/>
                <w:szCs w:val="22"/>
              </w:rPr>
            </w:pPr>
            <w:r w:rsidRPr="00B30FE4">
              <w:rPr>
                <w:rFonts w:cs="Arial"/>
                <w:szCs w:val="22"/>
              </w:rPr>
              <w:t>FTE*</w:t>
            </w:r>
          </w:p>
        </w:tc>
        <w:tc>
          <w:tcPr>
            <w:tcW w:w="1113" w:type="dxa"/>
            <w:tcBorders>
              <w:top w:val="single" w:sz="4" w:space="0" w:color="808080"/>
            </w:tcBorders>
            <w:shd w:val="clear" w:color="auto" w:fill="C0C0C0"/>
          </w:tcPr>
          <w:p w14:paraId="33A2FADA" w14:textId="6466D86C" w:rsidR="00A52770" w:rsidRPr="00B30FE4" w:rsidRDefault="000B1B9D" w:rsidP="00A52770">
            <w:pPr>
              <w:keepNext/>
              <w:widowControl w:val="0"/>
              <w:jc w:val="right"/>
              <w:rPr>
                <w:rFonts w:cs="Arial"/>
                <w:szCs w:val="22"/>
              </w:rPr>
            </w:pPr>
            <w:r>
              <w:rPr>
                <w:rFonts w:cs="Arial"/>
                <w:szCs w:val="22"/>
              </w:rPr>
              <w:t>215</w:t>
            </w:r>
          </w:p>
        </w:tc>
        <w:tc>
          <w:tcPr>
            <w:tcW w:w="1114" w:type="dxa"/>
            <w:tcBorders>
              <w:top w:val="single" w:sz="4" w:space="0" w:color="808080"/>
            </w:tcBorders>
            <w:shd w:val="clear" w:color="auto" w:fill="C0C0C0"/>
          </w:tcPr>
          <w:p w14:paraId="0E7E5EAE" w14:textId="58899EAB" w:rsidR="00A52770" w:rsidRPr="00B30FE4" w:rsidRDefault="000B1B9D" w:rsidP="00A52770">
            <w:pPr>
              <w:keepNext/>
              <w:widowControl w:val="0"/>
              <w:jc w:val="right"/>
              <w:rPr>
                <w:rFonts w:cs="Arial"/>
                <w:szCs w:val="22"/>
              </w:rPr>
            </w:pPr>
            <w:r>
              <w:rPr>
                <w:rFonts w:cs="Arial"/>
                <w:szCs w:val="22"/>
              </w:rPr>
              <w:t>292</w:t>
            </w:r>
          </w:p>
        </w:tc>
        <w:tc>
          <w:tcPr>
            <w:tcW w:w="1114" w:type="dxa"/>
            <w:tcBorders>
              <w:top w:val="single" w:sz="4" w:space="0" w:color="808080"/>
              <w:right w:val="single" w:sz="4" w:space="0" w:color="808080"/>
            </w:tcBorders>
            <w:shd w:val="clear" w:color="auto" w:fill="C0C0C0"/>
          </w:tcPr>
          <w:p w14:paraId="2102F8C1" w14:textId="3298F47E" w:rsidR="00A52770" w:rsidRPr="00B30FE4" w:rsidRDefault="000B1B9D" w:rsidP="00A52770">
            <w:pPr>
              <w:keepNext/>
              <w:widowControl w:val="0"/>
              <w:jc w:val="right"/>
            </w:pPr>
            <w:r>
              <w:t>507</w:t>
            </w:r>
          </w:p>
        </w:tc>
        <w:tc>
          <w:tcPr>
            <w:tcW w:w="1114" w:type="dxa"/>
            <w:tcBorders>
              <w:top w:val="single" w:sz="4" w:space="0" w:color="808080"/>
              <w:right w:val="single" w:sz="4" w:space="0" w:color="808080"/>
            </w:tcBorders>
            <w:shd w:val="pct10" w:color="auto" w:fill="FFFFFF"/>
          </w:tcPr>
          <w:p w14:paraId="0A0DB8CB" w14:textId="13103E52" w:rsidR="00A52770" w:rsidRPr="00B30FE4" w:rsidRDefault="00A52770" w:rsidP="00A52770">
            <w:pPr>
              <w:keepNext/>
              <w:widowControl w:val="0"/>
              <w:jc w:val="right"/>
            </w:pPr>
            <w:r>
              <w:t>477</w:t>
            </w:r>
          </w:p>
        </w:tc>
        <w:tc>
          <w:tcPr>
            <w:tcW w:w="1114" w:type="dxa"/>
            <w:tcBorders>
              <w:top w:val="single" w:sz="4" w:space="0" w:color="808080"/>
              <w:left w:val="single" w:sz="4" w:space="0" w:color="808080"/>
              <w:right w:val="single" w:sz="4" w:space="0" w:color="808080"/>
            </w:tcBorders>
            <w:shd w:val="pct10" w:color="auto" w:fill="FFFFFF"/>
          </w:tcPr>
          <w:p w14:paraId="4B76EB75" w14:textId="6D234ED2" w:rsidR="00A52770" w:rsidRPr="00B30FE4" w:rsidRDefault="00A52770" w:rsidP="00A52770">
            <w:pPr>
              <w:keepNext/>
              <w:widowControl w:val="0"/>
              <w:jc w:val="right"/>
              <w:rPr>
                <w:rFonts w:cs="Arial"/>
                <w:szCs w:val="22"/>
              </w:rPr>
            </w:pPr>
            <w:r>
              <w:t>491</w:t>
            </w:r>
          </w:p>
        </w:tc>
        <w:tc>
          <w:tcPr>
            <w:tcW w:w="1114" w:type="dxa"/>
            <w:tcBorders>
              <w:top w:val="single" w:sz="4" w:space="0" w:color="808080"/>
              <w:left w:val="single" w:sz="4" w:space="0" w:color="808080"/>
              <w:right w:val="single" w:sz="4" w:space="0" w:color="808080"/>
            </w:tcBorders>
            <w:shd w:val="pct10" w:color="auto" w:fill="FFFFFF"/>
          </w:tcPr>
          <w:p w14:paraId="2C33CBAF" w14:textId="21FB82BD" w:rsidR="00A52770" w:rsidRPr="00B30FE4" w:rsidRDefault="00A52770" w:rsidP="00A52770">
            <w:pPr>
              <w:keepNext/>
              <w:widowControl w:val="0"/>
              <w:jc w:val="right"/>
              <w:rPr>
                <w:rFonts w:cs="Arial"/>
                <w:szCs w:val="22"/>
              </w:rPr>
            </w:pPr>
            <w:r>
              <w:rPr>
                <w:rFonts w:cs="Arial"/>
                <w:szCs w:val="22"/>
              </w:rPr>
              <w:t>468</w:t>
            </w:r>
          </w:p>
        </w:tc>
        <w:tc>
          <w:tcPr>
            <w:tcW w:w="1114" w:type="dxa"/>
            <w:tcBorders>
              <w:top w:val="single" w:sz="4" w:space="0" w:color="808080"/>
              <w:left w:val="single" w:sz="4" w:space="0" w:color="808080"/>
              <w:right w:val="single" w:sz="4" w:space="0" w:color="808080"/>
            </w:tcBorders>
            <w:shd w:val="pct10" w:color="auto" w:fill="FFFFFF"/>
          </w:tcPr>
          <w:p w14:paraId="5A19CCCB" w14:textId="30F930D5" w:rsidR="00A52770" w:rsidRPr="00B30FE4" w:rsidRDefault="00A52770" w:rsidP="00A52770">
            <w:pPr>
              <w:keepNext/>
              <w:widowControl w:val="0"/>
              <w:jc w:val="right"/>
              <w:rPr>
                <w:rFonts w:cs="Arial"/>
                <w:szCs w:val="22"/>
              </w:rPr>
            </w:pPr>
            <w:r w:rsidRPr="00BA1289">
              <w:rPr>
                <w:rFonts w:cs="Arial"/>
                <w:szCs w:val="22"/>
              </w:rPr>
              <w:t>463</w:t>
            </w:r>
          </w:p>
        </w:tc>
      </w:tr>
    </w:tbl>
    <w:p w14:paraId="64E7FE4C" w14:textId="77777777" w:rsidR="00B30FE4" w:rsidRPr="00B30FE4" w:rsidRDefault="00B30FE4" w:rsidP="00B30FE4">
      <w:pPr>
        <w:keepNext/>
        <w:widowControl w:val="0"/>
        <w:rPr>
          <w:rFonts w:cs="Arial"/>
          <w:b/>
          <w:szCs w:val="22"/>
        </w:rPr>
      </w:pPr>
      <w:r w:rsidRPr="00B30FE4">
        <w:rPr>
          <w:rFonts w:cs="Arial"/>
          <w:szCs w:val="22"/>
        </w:rPr>
        <w:t>*FTE = Full-time equivalent</w:t>
      </w:r>
    </w:p>
    <w:p w14:paraId="3313A877" w14:textId="77777777" w:rsidR="00B30FE4" w:rsidRPr="00B30FE4" w:rsidRDefault="00B30FE4" w:rsidP="00B30FE4"/>
    <w:p w14:paraId="29EEEC14" w14:textId="77777777" w:rsidR="00D93495" w:rsidRDefault="00B30FE4" w:rsidP="00B30FE4">
      <w:pPr>
        <w:widowControl w:val="0"/>
        <w:tabs>
          <w:tab w:val="left" w:pos="567"/>
        </w:tabs>
      </w:pPr>
      <w:r w:rsidRPr="00B30FE4">
        <w:t xml:space="preserve">Note: </w:t>
      </w:r>
    </w:p>
    <w:p w14:paraId="1432A491" w14:textId="4DE38E36" w:rsidR="00B30FE4" w:rsidRPr="00B30FE4" w:rsidRDefault="00B30FE4" w:rsidP="00B30FE4">
      <w:pPr>
        <w:widowControl w:val="0"/>
        <w:tabs>
          <w:tab w:val="left" w:pos="567"/>
        </w:tabs>
      </w:pPr>
      <w:r w:rsidRPr="00B30FE4">
        <w:t xml:space="preserve">Staffing numbers are as at the last pay cycle in the financial year. </w:t>
      </w:r>
    </w:p>
    <w:p w14:paraId="596996E4" w14:textId="6FC479AB" w:rsidR="006E6249" w:rsidRDefault="00B30FE4" w:rsidP="006E6249">
      <w:pPr>
        <w:widowControl w:val="0"/>
        <w:tabs>
          <w:tab w:val="left" w:pos="567"/>
        </w:tabs>
      </w:pPr>
      <w:r w:rsidRPr="00B30FE4">
        <w:t>Employees have been correctly classified</w:t>
      </w:r>
      <w:r w:rsidR="006E6249">
        <w:t xml:space="preserve"> in workforce data collections.</w:t>
      </w:r>
    </w:p>
    <w:p w14:paraId="5F7C98B2" w14:textId="77777777" w:rsidR="00D93495" w:rsidRDefault="00D93495" w:rsidP="006E6249">
      <w:pPr>
        <w:widowControl w:val="0"/>
        <w:tabs>
          <w:tab w:val="left" w:pos="567"/>
        </w:tabs>
      </w:pPr>
    </w:p>
    <w:p w14:paraId="0C801D41" w14:textId="4E0D49A4" w:rsidR="00D93495" w:rsidRDefault="00D93495" w:rsidP="00D93495">
      <w:pPr>
        <w:rPr>
          <w:rFonts w:ascii="Calibri" w:hAnsi="Calibri"/>
          <w:szCs w:val="22"/>
        </w:rPr>
      </w:pPr>
      <w:r>
        <w:t xml:space="preserve">The increase in staffing numbers compared to 2014–15 relates to fixed-term positions associated with </w:t>
      </w:r>
      <w:r w:rsidR="00A90DEA">
        <w:rPr>
          <w:i/>
          <w:iCs/>
        </w:rPr>
        <w:t>Jurassic World: The Exhibition</w:t>
      </w:r>
      <w:r w:rsidR="00A90DEA">
        <w:t xml:space="preserve"> and </w:t>
      </w:r>
      <w:r>
        <w:t>externally funded projects, such as the Interim Collection Storage project, science research grant projects and capital works projects.</w:t>
      </w:r>
    </w:p>
    <w:p w14:paraId="62551E64" w14:textId="77777777" w:rsidR="006D45F7" w:rsidRDefault="006D45F7" w:rsidP="006E6249">
      <w:pPr>
        <w:widowControl w:val="0"/>
        <w:tabs>
          <w:tab w:val="left" w:pos="567"/>
        </w:tabs>
      </w:pPr>
    </w:p>
    <w:p w14:paraId="67657D04" w14:textId="42CE825E" w:rsidR="00B30FE4" w:rsidRPr="006E6249" w:rsidRDefault="00B30FE4" w:rsidP="006D45F7">
      <w:pPr>
        <w:pStyle w:val="Heading3"/>
      </w:pPr>
      <w:r w:rsidRPr="00B30FE4">
        <w:t xml:space="preserve">Staff Development </w:t>
      </w:r>
    </w:p>
    <w:p w14:paraId="3B79F5FE" w14:textId="070AE0C5" w:rsidR="00B30FE4" w:rsidRPr="00B30FE4" w:rsidRDefault="00B30FE4" w:rsidP="00B30FE4">
      <w:r w:rsidRPr="00B30FE4">
        <w:t xml:space="preserve">Museum Victoria’s learning and development framework is aligned to emerging development needs of staff and focuses on core capabilities, critical skills and knowledge. </w:t>
      </w:r>
    </w:p>
    <w:p w14:paraId="50DEEE8F" w14:textId="77777777" w:rsidR="00B30FE4" w:rsidRPr="00B30FE4" w:rsidRDefault="00B30FE4" w:rsidP="00B30FE4"/>
    <w:p w14:paraId="1372C343" w14:textId="7686C73A" w:rsidR="00B30FE4" w:rsidRPr="00B30FE4" w:rsidRDefault="00B30FE4" w:rsidP="00B30FE4">
      <w:pPr>
        <w:rPr>
          <w:b/>
        </w:rPr>
      </w:pPr>
      <w:r w:rsidRPr="00B30FE4">
        <w:t>In 2015</w:t>
      </w:r>
      <w:r w:rsidR="00E851DE">
        <w:t>–</w:t>
      </w:r>
      <w:r w:rsidRPr="00B30FE4">
        <w:t xml:space="preserve">16, the </w:t>
      </w:r>
      <w:r w:rsidR="002811F9">
        <w:t>c</w:t>
      </w:r>
      <w:r w:rsidRPr="00B30FE4">
        <w:t xml:space="preserve">orporate </w:t>
      </w:r>
      <w:r w:rsidR="002811F9">
        <w:t>l</w:t>
      </w:r>
      <w:r w:rsidRPr="00B30FE4">
        <w:t xml:space="preserve">earning and </w:t>
      </w:r>
      <w:r w:rsidR="002811F9">
        <w:t>d</w:t>
      </w:r>
      <w:r w:rsidRPr="00B30FE4">
        <w:t>evelopment program included both face-to-face sessions and e</w:t>
      </w:r>
      <w:r w:rsidR="002811F9">
        <w:t>-</w:t>
      </w:r>
      <w:r w:rsidRPr="00B30FE4">
        <w:t>learning programs. The e</w:t>
      </w:r>
      <w:r w:rsidR="002811F9">
        <w:t>-</w:t>
      </w:r>
      <w:r w:rsidRPr="00B30FE4">
        <w:t>learning program included a suite of compliance training</w:t>
      </w:r>
      <w:r w:rsidR="002811F9">
        <w:t>,</w:t>
      </w:r>
      <w:r w:rsidRPr="00B30FE4">
        <w:t xml:space="preserve"> completed by all staff, targeted at increasing awareness and reflecting strong organisational commitment to diversity, equal opportunity, bullying prevention, fraud, privacy and health and safety.</w:t>
      </w:r>
    </w:p>
    <w:p w14:paraId="34B9969D" w14:textId="77777777" w:rsidR="00B30FE4" w:rsidRPr="00B30FE4" w:rsidRDefault="00B30FE4" w:rsidP="00B30FE4">
      <w:pPr>
        <w:autoSpaceDE w:val="0"/>
        <w:autoSpaceDN w:val="0"/>
        <w:rPr>
          <w:rFonts w:cs="Arial"/>
          <w:szCs w:val="22"/>
        </w:rPr>
      </w:pPr>
    </w:p>
    <w:p w14:paraId="4ED3E47E" w14:textId="77777777" w:rsidR="00B30FE4" w:rsidRPr="00B30FE4" w:rsidRDefault="00B30FE4" w:rsidP="00B30FE4">
      <w:pPr>
        <w:autoSpaceDE w:val="0"/>
        <w:autoSpaceDN w:val="0"/>
        <w:rPr>
          <w:rFonts w:cs="Arial"/>
          <w:szCs w:val="22"/>
        </w:rPr>
      </w:pPr>
      <w:r w:rsidRPr="00B30FE4">
        <w:rPr>
          <w:rFonts w:cs="Arial"/>
          <w:szCs w:val="22"/>
        </w:rPr>
        <w:t>In addition to the corporate training programs, managers supported employee development needs through seminars, conferences, temporary assignments, mentor programs and cross-divisional project opportunities.</w:t>
      </w:r>
    </w:p>
    <w:p w14:paraId="31F19F59" w14:textId="77777777" w:rsidR="00B30FE4" w:rsidRPr="00B30FE4" w:rsidRDefault="00B30FE4" w:rsidP="00B30FE4">
      <w:pPr>
        <w:widowControl w:val="0"/>
      </w:pPr>
    </w:p>
    <w:p w14:paraId="1D7AF08D" w14:textId="2B960471" w:rsidR="00B30FE4" w:rsidRPr="00B30FE4" w:rsidRDefault="00B30FE4" w:rsidP="00B30FE4">
      <w:pPr>
        <w:widowControl w:val="0"/>
      </w:pPr>
      <w:r w:rsidRPr="00B30FE4">
        <w:t>In total, Museum Victoria offered 34 corporate learning and development sessions, representing 18 individual training programs. Additionally, 3209 e</w:t>
      </w:r>
      <w:r w:rsidR="002811F9">
        <w:t>-</w:t>
      </w:r>
      <w:r w:rsidRPr="00B30FE4">
        <w:t>learning modules were completed (inclu</w:t>
      </w:r>
      <w:r w:rsidR="002811F9">
        <w:t>ding</w:t>
      </w:r>
      <w:r w:rsidR="00D858D4">
        <w:t xml:space="preserve"> </w:t>
      </w:r>
      <w:r w:rsidRPr="00B30FE4">
        <w:t xml:space="preserve">the compliance e-learning project, which was completed by more than 94% of all employees). The face-to-face training sessions were attended by </w:t>
      </w:r>
      <w:r w:rsidRPr="00DE1B1B">
        <w:t>190</w:t>
      </w:r>
      <w:r w:rsidRPr="00E851DE">
        <w:t xml:space="preserve"> </w:t>
      </w:r>
      <w:r w:rsidRPr="00B30FE4">
        <w:t>employees. The majority of participants rated their level of satisfaction as ‘high’ or ‘very high’.</w:t>
      </w:r>
    </w:p>
    <w:p w14:paraId="106B1530" w14:textId="77777777" w:rsidR="00B30FE4" w:rsidRPr="00B30FE4" w:rsidRDefault="00B30FE4" w:rsidP="00B30FE4">
      <w:pPr>
        <w:widowControl w:val="0"/>
      </w:pPr>
    </w:p>
    <w:p w14:paraId="77187C3F" w14:textId="69B85B44" w:rsidR="00B30FE4" w:rsidRPr="00B30FE4" w:rsidRDefault="00B30FE4" w:rsidP="00B30FE4">
      <w:pPr>
        <w:widowControl w:val="0"/>
      </w:pPr>
      <w:r w:rsidRPr="00B30FE4">
        <w:t>During 2015</w:t>
      </w:r>
      <w:r w:rsidR="00425FBA">
        <w:t>–</w:t>
      </w:r>
      <w:r w:rsidRPr="00B30FE4">
        <w:t xml:space="preserve">16, a </w:t>
      </w:r>
      <w:r w:rsidR="002811F9">
        <w:t>l</w:t>
      </w:r>
      <w:r w:rsidRPr="00B30FE4">
        <w:t xml:space="preserve">eadership </w:t>
      </w:r>
      <w:r w:rsidR="002811F9">
        <w:t>c</w:t>
      </w:r>
      <w:r w:rsidRPr="00B30FE4">
        <w:t xml:space="preserve">ulture and </w:t>
      </w:r>
      <w:r w:rsidR="002811F9">
        <w:t>b</w:t>
      </w:r>
      <w:r w:rsidRPr="00B30FE4">
        <w:t xml:space="preserve">ehaviours </w:t>
      </w:r>
      <w:r w:rsidR="002811F9">
        <w:t>p</w:t>
      </w:r>
      <w:r w:rsidRPr="00B30FE4">
        <w:t xml:space="preserve">rogram was </w:t>
      </w:r>
      <w:r w:rsidR="00771EC9">
        <w:t xml:space="preserve">delivered for </w:t>
      </w:r>
      <w:r w:rsidRPr="00B30FE4">
        <w:t xml:space="preserve">members of Museum Victoria’s leadership team, including </w:t>
      </w:r>
      <w:r w:rsidR="00E851DE">
        <w:t>d</w:t>
      </w:r>
      <w:r w:rsidRPr="00B30FE4">
        <w:t xml:space="preserve">irectors and </w:t>
      </w:r>
      <w:r w:rsidR="00E851DE">
        <w:t>d</w:t>
      </w:r>
      <w:r w:rsidRPr="00B30FE4">
        <w:t xml:space="preserve">epartment </w:t>
      </w:r>
      <w:r w:rsidR="00E851DE">
        <w:t>heads</w:t>
      </w:r>
      <w:r w:rsidRPr="00B30FE4">
        <w:t>.</w:t>
      </w:r>
    </w:p>
    <w:p w14:paraId="0163645E" w14:textId="77777777" w:rsidR="00B30FE4" w:rsidRPr="00B30FE4" w:rsidRDefault="00B30FE4" w:rsidP="00B30FE4">
      <w:pPr>
        <w:widowControl w:val="0"/>
      </w:pPr>
    </w:p>
    <w:p w14:paraId="5D0E17C7" w14:textId="62342428" w:rsidR="00B30FE4" w:rsidRPr="00B30FE4" w:rsidRDefault="00B30FE4" w:rsidP="006E6249">
      <w:pPr>
        <w:pStyle w:val="Heading3"/>
      </w:pPr>
      <w:r w:rsidRPr="00B30FE4">
        <w:t>Employee Relations</w:t>
      </w:r>
    </w:p>
    <w:p w14:paraId="00B31EE4" w14:textId="46C8F675" w:rsidR="00B30FE4" w:rsidRPr="00B30FE4" w:rsidRDefault="00B30FE4" w:rsidP="00B30FE4">
      <w:pPr>
        <w:widowControl w:val="0"/>
        <w:rPr>
          <w:szCs w:val="22"/>
        </w:rPr>
      </w:pPr>
      <w:r w:rsidRPr="00B30FE4">
        <w:rPr>
          <w:szCs w:val="22"/>
        </w:rPr>
        <w:t xml:space="preserve">Museum Victoria continues to maintain an excellent working relationship with staff and with the primary representative, the Community and Public Sector Union (CPSU). Regular CPSU Consultative Committee meetings </w:t>
      </w:r>
      <w:r w:rsidR="002811F9">
        <w:rPr>
          <w:szCs w:val="22"/>
        </w:rPr>
        <w:t>were held</w:t>
      </w:r>
      <w:r w:rsidR="002811F9" w:rsidRPr="00B30FE4">
        <w:rPr>
          <w:szCs w:val="22"/>
        </w:rPr>
        <w:t xml:space="preserve"> </w:t>
      </w:r>
      <w:r w:rsidRPr="00B30FE4">
        <w:rPr>
          <w:szCs w:val="22"/>
        </w:rPr>
        <w:t xml:space="preserve">in </w:t>
      </w:r>
      <w:r w:rsidRPr="00B30FE4">
        <w:t>2015</w:t>
      </w:r>
      <w:r w:rsidR="00425FBA">
        <w:t>–</w:t>
      </w:r>
      <w:r w:rsidRPr="00B30FE4">
        <w:t>16</w:t>
      </w:r>
      <w:r w:rsidRPr="00B30FE4">
        <w:rPr>
          <w:szCs w:val="22"/>
        </w:rPr>
        <w:t xml:space="preserve">, </w:t>
      </w:r>
      <w:r w:rsidR="002811F9">
        <w:rPr>
          <w:szCs w:val="22"/>
        </w:rPr>
        <w:t>as were</w:t>
      </w:r>
      <w:r w:rsidRPr="00B30FE4">
        <w:rPr>
          <w:szCs w:val="22"/>
        </w:rPr>
        <w:t xml:space="preserve"> constructive discussions regarding organisational reviews and exhibition projects. There has been no industrial action.</w:t>
      </w:r>
    </w:p>
    <w:p w14:paraId="0925AE91" w14:textId="77777777" w:rsidR="00425FBA" w:rsidRDefault="00425FBA" w:rsidP="00B30FE4">
      <w:pPr>
        <w:widowControl w:val="0"/>
        <w:rPr>
          <w:szCs w:val="22"/>
        </w:rPr>
      </w:pPr>
    </w:p>
    <w:p w14:paraId="72B4B77D" w14:textId="726489A8" w:rsidR="00B30FE4" w:rsidRPr="00B30FE4" w:rsidRDefault="002811F9" w:rsidP="00B30FE4">
      <w:pPr>
        <w:widowControl w:val="0"/>
        <w:rPr>
          <w:szCs w:val="22"/>
        </w:rPr>
      </w:pPr>
      <w:r>
        <w:rPr>
          <w:szCs w:val="22"/>
        </w:rPr>
        <w:lastRenderedPageBreak/>
        <w:t xml:space="preserve">In </w:t>
      </w:r>
      <w:r w:rsidR="00B30FE4" w:rsidRPr="00B30FE4">
        <w:rPr>
          <w:szCs w:val="22"/>
        </w:rPr>
        <w:t>2015</w:t>
      </w:r>
      <w:r>
        <w:rPr>
          <w:szCs w:val="22"/>
        </w:rPr>
        <w:t>,</w:t>
      </w:r>
      <w:r w:rsidR="00B30FE4" w:rsidRPr="00B30FE4">
        <w:rPr>
          <w:szCs w:val="22"/>
        </w:rPr>
        <w:t xml:space="preserve"> negotiations for the 2016 Staff Partnership Agreement</w:t>
      </w:r>
      <w:r>
        <w:rPr>
          <w:szCs w:val="22"/>
        </w:rPr>
        <w:t xml:space="preserve"> began</w:t>
      </w:r>
      <w:r w:rsidR="00B30FE4" w:rsidRPr="00B30FE4">
        <w:rPr>
          <w:szCs w:val="22"/>
        </w:rPr>
        <w:t>.</w:t>
      </w:r>
    </w:p>
    <w:p w14:paraId="19F02C20" w14:textId="77777777" w:rsidR="00B30FE4" w:rsidRPr="00B30FE4" w:rsidRDefault="00B30FE4" w:rsidP="00B30FE4">
      <w:pPr>
        <w:widowControl w:val="0"/>
      </w:pPr>
    </w:p>
    <w:p w14:paraId="2DD9946E" w14:textId="6A767588" w:rsidR="00B30FE4" w:rsidRPr="00B30FE4" w:rsidRDefault="00B30FE4" w:rsidP="00B30FE4">
      <w:pPr>
        <w:widowControl w:val="0"/>
      </w:pPr>
      <w:r w:rsidRPr="00B30FE4">
        <w:t>The Staff Consultative Committee continued to operate during 2015</w:t>
      </w:r>
      <w:r w:rsidR="00425FBA">
        <w:t>–</w:t>
      </w:r>
      <w:r w:rsidRPr="00B30FE4">
        <w:t xml:space="preserve">16, facilitating effective communication between management and staff in relation to major issues affecting Museum Victoria. A number of changes were made to the structure and membership of the </w:t>
      </w:r>
      <w:r w:rsidR="002811F9">
        <w:t>c</w:t>
      </w:r>
      <w:r w:rsidRPr="00B30FE4">
        <w:t>ommittee</w:t>
      </w:r>
      <w:r w:rsidR="002811F9">
        <w:t>,</w:t>
      </w:r>
      <w:r w:rsidRPr="00B30FE4">
        <w:t xml:space="preserve"> adding the opportunity for ‘proxy’ membership to help expand staff involvement and maximise discussion and results. </w:t>
      </w:r>
    </w:p>
    <w:p w14:paraId="0F1FFA69" w14:textId="77777777" w:rsidR="00B30FE4" w:rsidRPr="00B30FE4" w:rsidRDefault="00B30FE4" w:rsidP="00B30FE4"/>
    <w:p w14:paraId="58D63555" w14:textId="5D87DC2A" w:rsidR="00B30FE4" w:rsidRPr="00B30FE4" w:rsidRDefault="00B30FE4" w:rsidP="006E6249">
      <w:pPr>
        <w:pStyle w:val="Heading3"/>
      </w:pPr>
      <w:r w:rsidRPr="00B30FE4">
        <w:t xml:space="preserve">People Matter Survey </w:t>
      </w:r>
    </w:p>
    <w:p w14:paraId="714250B2" w14:textId="77777777" w:rsidR="0017394E" w:rsidRDefault="00B30FE4" w:rsidP="0017394E">
      <w:r w:rsidRPr="00B30FE4">
        <w:t xml:space="preserve">In early May 2016, Museum Victoria participated in the People Matter Survey, designed for the Victorian Public Sector (VPS) and run by the Victorian Public Sector Commission. </w:t>
      </w:r>
      <w:r w:rsidR="002811F9">
        <w:t>The r</w:t>
      </w:r>
      <w:r w:rsidRPr="00B30FE4">
        <w:t>esults are expected in the next financial year.</w:t>
      </w:r>
    </w:p>
    <w:p w14:paraId="07FCE1FF" w14:textId="181E9E73" w:rsidR="00B30FE4" w:rsidRPr="0017394E" w:rsidRDefault="00B30FE4" w:rsidP="0017394E">
      <w:pPr>
        <w:pStyle w:val="Heading3"/>
        <w:rPr>
          <w:rFonts w:cs="Arial"/>
        </w:rPr>
      </w:pPr>
      <w:r w:rsidRPr="00B30FE4">
        <w:br w:type="page"/>
      </w:r>
      <w:r w:rsidRPr="00B30FE4">
        <w:lastRenderedPageBreak/>
        <w:t>Values</w:t>
      </w:r>
    </w:p>
    <w:p w14:paraId="0B769C8D" w14:textId="77777777" w:rsidR="00B30FE4" w:rsidRDefault="00B30FE4" w:rsidP="00B30FE4"/>
    <w:p w14:paraId="3056FAEF" w14:textId="637C937E" w:rsidR="006D45F7" w:rsidRDefault="006D45F7" w:rsidP="00B30FE4">
      <w:r w:rsidRPr="006D45F7">
        <w:t>Museum Victoria’s values are aligned with those of the Victorian public sector. These values form the foundation of our workplace and underpin the delivery of our strategic objectives.</w:t>
      </w:r>
    </w:p>
    <w:p w14:paraId="3D332E14" w14:textId="77777777" w:rsidR="006D45F7" w:rsidRPr="00B30FE4" w:rsidRDefault="006D45F7" w:rsidP="00B30FE4"/>
    <w:p w14:paraId="60608771" w14:textId="77777777" w:rsidR="00B30FE4" w:rsidRPr="00B30FE4" w:rsidRDefault="00B30FE4" w:rsidP="00B30FE4">
      <w:pPr>
        <w:keepNext/>
        <w:outlineLvl w:val="3"/>
        <w:rPr>
          <w:b/>
          <w:sz w:val="24"/>
        </w:rPr>
      </w:pPr>
      <w:r w:rsidRPr="00B30FE4">
        <w:rPr>
          <w:b/>
          <w:sz w:val="24"/>
        </w:rPr>
        <w:t>Leadership</w:t>
      </w:r>
    </w:p>
    <w:p w14:paraId="7238D90F" w14:textId="6B578F28" w:rsidR="00B30FE4" w:rsidRPr="00B30FE4" w:rsidRDefault="00B30FE4" w:rsidP="00B30FE4">
      <w:r w:rsidRPr="00B30FE4">
        <w:t>We will demonstrate leadership, particularly in the areas of reconciliation, promotion of cultural diversity and communication about the effects of climate change, and through learning and the development of our staff.</w:t>
      </w:r>
    </w:p>
    <w:p w14:paraId="09EBFA95" w14:textId="77777777" w:rsidR="00B30FE4" w:rsidRPr="00B30FE4" w:rsidRDefault="00B30FE4" w:rsidP="00B30FE4">
      <w:pPr>
        <w:rPr>
          <w:rFonts w:cs="Arial"/>
          <w:szCs w:val="22"/>
        </w:rPr>
      </w:pPr>
    </w:p>
    <w:p w14:paraId="3CF8C96C" w14:textId="77777777" w:rsidR="00B30FE4" w:rsidRPr="00B30FE4" w:rsidRDefault="00B30FE4" w:rsidP="00D64D54">
      <w:pPr>
        <w:pStyle w:val="Heading4"/>
      </w:pPr>
      <w:r w:rsidRPr="00B30FE4">
        <w:t>Respect</w:t>
      </w:r>
    </w:p>
    <w:p w14:paraId="2F53FCEB" w14:textId="77777777" w:rsidR="00B30FE4" w:rsidRPr="00B30FE4" w:rsidRDefault="00B30FE4" w:rsidP="00B30FE4">
      <w:r w:rsidRPr="00B30FE4">
        <w:t xml:space="preserve">We will acknowledge and respect the diverse nature of the Victorian community and its views. We will demonstrate respect for the environment by increasing public awareness about the effects of climate change on biodiversity and human societies, and through responsible use of our resources. </w:t>
      </w:r>
    </w:p>
    <w:p w14:paraId="441A7E31" w14:textId="77777777" w:rsidR="00B30FE4" w:rsidRPr="00B30FE4" w:rsidRDefault="00B30FE4" w:rsidP="00B30FE4">
      <w:pPr>
        <w:rPr>
          <w:rFonts w:cs="Arial"/>
          <w:szCs w:val="22"/>
        </w:rPr>
      </w:pPr>
    </w:p>
    <w:p w14:paraId="4767E7D4" w14:textId="77777777" w:rsidR="00B30FE4" w:rsidRPr="00B30FE4" w:rsidRDefault="00B30FE4" w:rsidP="00D64D54">
      <w:pPr>
        <w:pStyle w:val="Heading4"/>
      </w:pPr>
      <w:r w:rsidRPr="00B30FE4">
        <w:t>Reconciliation</w:t>
      </w:r>
    </w:p>
    <w:p w14:paraId="78359B89" w14:textId="77777777" w:rsidR="00B30FE4" w:rsidRPr="00B30FE4" w:rsidRDefault="00B30FE4" w:rsidP="00B30FE4">
      <w:r w:rsidRPr="00B30FE4">
        <w:t xml:space="preserve">We will build on our strong commitment to achieving reconciliation between Indigenous and non-Indigenous peoples. By working in partnership with Indigenous communities, we will increase understanding of and respect for Indigenous history, culture and traditions. </w:t>
      </w:r>
    </w:p>
    <w:p w14:paraId="3B9CC9B6" w14:textId="77777777" w:rsidR="00B30FE4" w:rsidRPr="00B30FE4" w:rsidRDefault="00B30FE4" w:rsidP="00B30FE4">
      <w:pPr>
        <w:rPr>
          <w:rFonts w:cs="Arial"/>
          <w:szCs w:val="22"/>
        </w:rPr>
      </w:pPr>
    </w:p>
    <w:p w14:paraId="08F3172C" w14:textId="77777777" w:rsidR="00B30FE4" w:rsidRPr="00B30FE4" w:rsidRDefault="00B30FE4" w:rsidP="00D64D54">
      <w:pPr>
        <w:pStyle w:val="Heading4"/>
      </w:pPr>
      <w:r w:rsidRPr="00B30FE4">
        <w:t>Human Rights</w:t>
      </w:r>
    </w:p>
    <w:p w14:paraId="70CCB478" w14:textId="77777777" w:rsidR="00B30FE4" w:rsidRPr="00B30FE4" w:rsidRDefault="00B30FE4" w:rsidP="00B30FE4">
      <w:r w:rsidRPr="00B30FE4">
        <w:t xml:space="preserve">We will embrace the values of fairness, equity and social justice in all we do. By acknowledging and acting in accordance with the principles of fundamental human rights, we will contribute to social inclusion for all members of the community. </w:t>
      </w:r>
    </w:p>
    <w:p w14:paraId="7834565A" w14:textId="77777777" w:rsidR="00B30FE4" w:rsidRPr="00B30FE4" w:rsidRDefault="00B30FE4" w:rsidP="00B30FE4">
      <w:pPr>
        <w:rPr>
          <w:rFonts w:cs="Arial"/>
          <w:b/>
          <w:szCs w:val="22"/>
        </w:rPr>
      </w:pPr>
    </w:p>
    <w:p w14:paraId="0AE1B728" w14:textId="77777777" w:rsidR="00B30FE4" w:rsidRPr="00B30FE4" w:rsidRDefault="00B30FE4" w:rsidP="00D64D54">
      <w:pPr>
        <w:pStyle w:val="Heading4"/>
      </w:pPr>
      <w:r w:rsidRPr="00B30FE4">
        <w:t>Responsiveness</w:t>
      </w:r>
    </w:p>
    <w:p w14:paraId="103C21C5" w14:textId="77777777" w:rsidR="00B30FE4" w:rsidRPr="00B30FE4" w:rsidRDefault="00B30FE4" w:rsidP="00B30FE4">
      <w:r w:rsidRPr="00B30FE4">
        <w:t xml:space="preserve">We will engage with the Victorian community in a spirit of openness to encourage access and participation. We </w:t>
      </w:r>
      <w:r w:rsidRPr="00B30FE4">
        <w:rPr>
          <w:iCs/>
        </w:rPr>
        <w:t>will deliver high-quality services and continually seek opportunities for improvement.</w:t>
      </w:r>
    </w:p>
    <w:p w14:paraId="6DE84ACB" w14:textId="77777777" w:rsidR="00B30FE4" w:rsidRPr="00B30FE4" w:rsidRDefault="00B30FE4" w:rsidP="00B30FE4">
      <w:pPr>
        <w:rPr>
          <w:rFonts w:cs="Arial"/>
          <w:szCs w:val="22"/>
        </w:rPr>
      </w:pPr>
    </w:p>
    <w:p w14:paraId="038A51D9" w14:textId="77777777" w:rsidR="00B30FE4" w:rsidRPr="00B30FE4" w:rsidRDefault="00B30FE4" w:rsidP="00D64D54">
      <w:pPr>
        <w:pStyle w:val="Heading4"/>
      </w:pPr>
      <w:r w:rsidRPr="00B30FE4">
        <w:t>Integrity</w:t>
      </w:r>
    </w:p>
    <w:p w14:paraId="6C72AE4C" w14:textId="77777777" w:rsidR="00B30FE4" w:rsidRPr="00B30FE4" w:rsidRDefault="00B30FE4" w:rsidP="00B30FE4">
      <w:r w:rsidRPr="00B30FE4">
        <w:t>We will maintain our reputation for trustworthiness and authority by being professional and transparent in our actions and decisions. Our research program will be carried out according to the highest standards of scholarship.</w:t>
      </w:r>
    </w:p>
    <w:p w14:paraId="069589DB" w14:textId="77777777" w:rsidR="00B30FE4" w:rsidRPr="00B30FE4" w:rsidRDefault="00B30FE4" w:rsidP="00B30FE4">
      <w:pPr>
        <w:rPr>
          <w:rFonts w:cs="Arial"/>
          <w:szCs w:val="22"/>
        </w:rPr>
      </w:pPr>
    </w:p>
    <w:p w14:paraId="31D64DEF" w14:textId="77777777" w:rsidR="00B30FE4" w:rsidRPr="00B30FE4" w:rsidRDefault="00B30FE4" w:rsidP="00D64D54">
      <w:pPr>
        <w:pStyle w:val="Heading4"/>
      </w:pPr>
      <w:r w:rsidRPr="00D64D54">
        <w:t>Impartiality</w:t>
      </w:r>
    </w:p>
    <w:p w14:paraId="05788638" w14:textId="191BEB71" w:rsidR="00B30FE4" w:rsidRPr="00B30FE4" w:rsidRDefault="00B30FE4" w:rsidP="00B30FE4">
      <w:r w:rsidRPr="00B30FE4">
        <w:t xml:space="preserve">Our staff will act in accordance with Museum Victoria’s policies, procedures and strategic directions. We will disseminate our knowledge in an equitable manner and take an </w:t>
      </w:r>
      <w:bookmarkStart w:id="8" w:name="OLE_LINK1"/>
      <w:r w:rsidRPr="00B30FE4">
        <w:t xml:space="preserve">unbiased </w:t>
      </w:r>
      <w:bookmarkEnd w:id="8"/>
      <w:r w:rsidRPr="00B30FE4">
        <w:t>approach in the delivery of information that contributes to public debate.</w:t>
      </w:r>
    </w:p>
    <w:p w14:paraId="7BC1D540" w14:textId="77777777" w:rsidR="00B30FE4" w:rsidRPr="00B30FE4" w:rsidRDefault="00B30FE4" w:rsidP="00B30FE4">
      <w:pPr>
        <w:rPr>
          <w:rFonts w:cs="Arial"/>
          <w:b/>
          <w:szCs w:val="22"/>
        </w:rPr>
      </w:pPr>
    </w:p>
    <w:p w14:paraId="561F0052" w14:textId="77777777" w:rsidR="00B30FE4" w:rsidRPr="00B30FE4" w:rsidRDefault="00B30FE4" w:rsidP="00B30FE4">
      <w:pPr>
        <w:keepNext/>
        <w:outlineLvl w:val="3"/>
        <w:rPr>
          <w:b/>
          <w:sz w:val="24"/>
        </w:rPr>
      </w:pPr>
      <w:r w:rsidRPr="00B30FE4">
        <w:rPr>
          <w:b/>
          <w:sz w:val="24"/>
        </w:rPr>
        <w:t>Accountabi</w:t>
      </w:r>
      <w:r w:rsidRPr="00D64D54">
        <w:rPr>
          <w:rStyle w:val="Heading4Char"/>
        </w:rPr>
        <w:t>l</w:t>
      </w:r>
      <w:r w:rsidRPr="00B30FE4">
        <w:rPr>
          <w:b/>
          <w:sz w:val="24"/>
        </w:rPr>
        <w:t>ity</w:t>
      </w:r>
    </w:p>
    <w:p w14:paraId="6E9A0839" w14:textId="77777777" w:rsidR="0017394E" w:rsidRDefault="00B30FE4" w:rsidP="00D64D54">
      <w:r w:rsidRPr="00B30FE4">
        <w:t>Our stewardship of the State Collection will be undertaken in a manner that preserves and augments this important public inheritance for future generations. We will demonstrate accountability through our service to the community and through efficient and su</w:t>
      </w:r>
      <w:r w:rsidR="00D64D54">
        <w:t>stainable use of our resources.</w:t>
      </w:r>
    </w:p>
    <w:p w14:paraId="48CB9B4E" w14:textId="263A5FCE" w:rsidR="00B30FE4" w:rsidRPr="00D64D54" w:rsidRDefault="00B30FE4" w:rsidP="00D64D54">
      <w:r w:rsidRPr="00B30FE4">
        <w:rPr>
          <w:b/>
          <w:sz w:val="32"/>
        </w:rPr>
        <w:br w:type="page"/>
      </w:r>
    </w:p>
    <w:p w14:paraId="4611E6E3" w14:textId="77777777" w:rsidR="00B30FE4" w:rsidRPr="00B30FE4" w:rsidRDefault="00B30FE4" w:rsidP="00D64D54">
      <w:pPr>
        <w:pStyle w:val="Heading2"/>
      </w:pPr>
      <w:r w:rsidRPr="007559FB">
        <w:lastRenderedPageBreak/>
        <w:t>Financial Statements</w:t>
      </w:r>
    </w:p>
    <w:p w14:paraId="37D36D5B" w14:textId="77777777" w:rsidR="00B30FE4" w:rsidRPr="00B30FE4" w:rsidRDefault="00B30FE4" w:rsidP="00B30FE4">
      <w:pPr>
        <w:ind w:right="680"/>
        <w:rPr>
          <w:b/>
          <w:szCs w:val="22"/>
        </w:rPr>
      </w:pPr>
      <w:r w:rsidRPr="00B30FE4">
        <w:rPr>
          <w:b/>
          <w:szCs w:val="22"/>
        </w:rPr>
        <w:t>Accountable Officer’s and Chief Financial and Accounting Officer’s Declaration</w:t>
      </w:r>
    </w:p>
    <w:p w14:paraId="4516FC32" w14:textId="77777777" w:rsidR="00B30FE4" w:rsidRPr="00B30FE4" w:rsidRDefault="00B30FE4" w:rsidP="00B30FE4">
      <w:pPr>
        <w:ind w:right="680"/>
      </w:pPr>
    </w:p>
    <w:p w14:paraId="1DD5F696" w14:textId="77777777" w:rsidR="00B30FE4" w:rsidRPr="00B30FE4" w:rsidRDefault="00B30FE4" w:rsidP="00B30FE4">
      <w:pPr>
        <w:ind w:right="680"/>
      </w:pPr>
      <w:r w:rsidRPr="00B30FE4">
        <w:t xml:space="preserve">We certify that the attached financial statements for the Museums Board of Victoria have been prepared in accordance with Standing Direction 4.2 of the </w:t>
      </w:r>
      <w:r w:rsidRPr="00B30FE4">
        <w:rPr>
          <w:i/>
        </w:rPr>
        <w:t>Financial Management Act 1994</w:t>
      </w:r>
      <w:r w:rsidRPr="00B30FE4">
        <w:t>, applicable Financial Reporting Directions, Australian Accounting Standards and other mandatory professional reporting requirements.</w:t>
      </w:r>
    </w:p>
    <w:p w14:paraId="3461ABF7" w14:textId="77777777" w:rsidR="00B30FE4" w:rsidRPr="00B30FE4" w:rsidRDefault="00B30FE4" w:rsidP="00B30FE4">
      <w:pPr>
        <w:ind w:right="680"/>
      </w:pPr>
    </w:p>
    <w:p w14:paraId="220EE38C" w14:textId="77777777" w:rsidR="00B30FE4" w:rsidRPr="00B30FE4" w:rsidRDefault="00B30FE4" w:rsidP="00B30FE4">
      <w:pPr>
        <w:ind w:right="680"/>
      </w:pPr>
      <w:r w:rsidRPr="00B30FE4">
        <w:t>We further state that, in our opinion, the information set out in the Comprehensive Operating Statement, Balance Sheet, Statement of Changes in Equity, Cash Flow Statement and Notes to the Financial Statements, presents fairly the financial transactions for the year ended 30 June 2016 and the financial position of the Board as at 30 June 2016.</w:t>
      </w:r>
    </w:p>
    <w:p w14:paraId="303C29E8" w14:textId="77777777" w:rsidR="00B30FE4" w:rsidRPr="00B30FE4" w:rsidRDefault="00B30FE4" w:rsidP="00B30FE4">
      <w:pPr>
        <w:ind w:right="680"/>
      </w:pPr>
    </w:p>
    <w:p w14:paraId="0F207E07" w14:textId="47CD1F39" w:rsidR="00B30FE4" w:rsidRPr="00B30FE4" w:rsidRDefault="00B30FE4" w:rsidP="00B30FE4">
      <w:pPr>
        <w:ind w:right="680"/>
      </w:pPr>
      <w:r w:rsidRPr="00B30FE4">
        <w:t xml:space="preserve">At the date of signing these financial statements, we are not aware of any circumstance which would render any particulars to be misleading or inaccurate. </w:t>
      </w:r>
    </w:p>
    <w:p w14:paraId="6C8F96BA" w14:textId="77777777" w:rsidR="00B30FE4" w:rsidRPr="00B30FE4" w:rsidRDefault="00B30FE4" w:rsidP="00B30FE4">
      <w:pPr>
        <w:ind w:right="680"/>
      </w:pPr>
    </w:p>
    <w:p w14:paraId="5B9642A6" w14:textId="77777777" w:rsidR="00B30FE4" w:rsidRPr="00B30FE4" w:rsidRDefault="00B30FE4" w:rsidP="00B30FE4">
      <w:pPr>
        <w:ind w:right="680"/>
      </w:pPr>
      <w:r w:rsidRPr="00B30FE4">
        <w:t>Depreciation expense is not fully funded by government, with funding for the renewal and replacement of infrastructure requested and allocated on a case-by-case basis.</w:t>
      </w:r>
    </w:p>
    <w:p w14:paraId="2E87B57E" w14:textId="77777777" w:rsidR="00B30FE4" w:rsidRPr="00B30FE4" w:rsidRDefault="00B30FE4" w:rsidP="00B30FE4">
      <w:pPr>
        <w:ind w:right="680"/>
      </w:pPr>
    </w:p>
    <w:p w14:paraId="274A7ECA" w14:textId="61A5D915" w:rsidR="00B30FE4" w:rsidRPr="00B30FE4" w:rsidRDefault="00B30FE4" w:rsidP="00B30FE4">
      <w:pPr>
        <w:ind w:right="680"/>
      </w:pPr>
      <w:r w:rsidRPr="00B30FE4">
        <w:t xml:space="preserve">We authorise the attached financial statements for issue on </w:t>
      </w:r>
      <w:r w:rsidR="00771EC9" w:rsidRPr="007F3A14">
        <w:t>25 August 2016.</w:t>
      </w:r>
    </w:p>
    <w:p w14:paraId="6FEEC0F4" w14:textId="178410F8" w:rsidR="00B30FE4" w:rsidRPr="00B30FE4" w:rsidRDefault="00C424F2" w:rsidP="00B30FE4">
      <w:pPr>
        <w:ind w:right="680"/>
      </w:pPr>
      <w:r w:rsidRPr="00B7656D">
        <w:rPr>
          <w:noProof/>
        </w:rPr>
        <w:drawing>
          <wp:inline distT="0" distB="0" distL="0" distR="0" wp14:anchorId="408BC95E" wp14:editId="4DB8FBBB">
            <wp:extent cx="1519822" cy="323850"/>
            <wp:effectExtent l="0" t="0" r="4445" b="0"/>
            <wp:docPr id="6" name="Picture 6" descr="Scanned signature of Trevor Tappenden, Chair Finance, Audit and Risk Committee." title="Signature Trevor Tapp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267" cy="324584"/>
                    </a:xfrm>
                    <a:prstGeom prst="rect">
                      <a:avLst/>
                    </a:prstGeom>
                    <a:noFill/>
                    <a:ln>
                      <a:noFill/>
                    </a:ln>
                  </pic:spPr>
                </pic:pic>
              </a:graphicData>
            </a:graphic>
          </wp:inline>
        </w:drawing>
      </w:r>
    </w:p>
    <w:p w14:paraId="356D4BF9" w14:textId="77777777" w:rsidR="00B30FE4" w:rsidRPr="00B30FE4" w:rsidRDefault="00B30FE4" w:rsidP="00B30FE4">
      <w:pPr>
        <w:tabs>
          <w:tab w:val="left" w:leader="dot" w:pos="2880"/>
          <w:tab w:val="left" w:pos="5040"/>
          <w:tab w:val="left" w:leader="dot" w:pos="7920"/>
        </w:tabs>
        <w:ind w:right="680"/>
      </w:pPr>
      <w:r w:rsidRPr="00B30FE4">
        <w:tab/>
        <w:t>............</w:t>
      </w:r>
      <w:r w:rsidRPr="00B30FE4">
        <w:tab/>
      </w:r>
    </w:p>
    <w:p w14:paraId="3D0868B2" w14:textId="77777777" w:rsidR="00B30FE4" w:rsidRPr="00B30FE4" w:rsidRDefault="00B30FE4" w:rsidP="00B30FE4">
      <w:pPr>
        <w:tabs>
          <w:tab w:val="left" w:pos="2880"/>
          <w:tab w:val="left" w:pos="5040"/>
          <w:tab w:val="left" w:leader="hyphen" w:pos="7920"/>
        </w:tabs>
        <w:ind w:right="680"/>
      </w:pPr>
      <w:r w:rsidRPr="00B30FE4">
        <w:t>Mr Trevor Tappenden</w:t>
      </w:r>
    </w:p>
    <w:p w14:paraId="06A55B52" w14:textId="77777777" w:rsidR="00B30FE4" w:rsidRPr="00B30FE4" w:rsidRDefault="00B30FE4" w:rsidP="00B30FE4">
      <w:pPr>
        <w:tabs>
          <w:tab w:val="left" w:pos="2880"/>
          <w:tab w:val="left" w:pos="5040"/>
          <w:tab w:val="left" w:leader="hyphen" w:pos="7920"/>
        </w:tabs>
        <w:ind w:right="680"/>
      </w:pPr>
      <w:r w:rsidRPr="00B30FE4">
        <w:t>CHAIR, FINANCE, AUDIT &amp; RISK COMMITTEE</w:t>
      </w:r>
    </w:p>
    <w:p w14:paraId="10AD066C" w14:textId="77777777" w:rsidR="00B30FE4" w:rsidRPr="00B30FE4" w:rsidRDefault="00B30FE4" w:rsidP="00B30FE4">
      <w:pPr>
        <w:tabs>
          <w:tab w:val="left" w:leader="dot" w:pos="2880"/>
          <w:tab w:val="left" w:pos="5040"/>
          <w:tab w:val="left" w:leader="hyphen" w:pos="7920"/>
        </w:tabs>
        <w:ind w:right="680"/>
        <w:jc w:val="center"/>
      </w:pPr>
    </w:p>
    <w:p w14:paraId="58DC2876" w14:textId="5A6A14CE" w:rsidR="00B30FE4" w:rsidRPr="00B30FE4" w:rsidRDefault="00C424F2" w:rsidP="00C424F2">
      <w:pPr>
        <w:tabs>
          <w:tab w:val="left" w:leader="dot" w:pos="2880"/>
          <w:tab w:val="left" w:pos="5040"/>
          <w:tab w:val="left" w:leader="hyphen" w:pos="7920"/>
        </w:tabs>
        <w:ind w:right="680"/>
      </w:pPr>
      <w:r w:rsidRPr="00B7656D">
        <w:rPr>
          <w:noProof/>
        </w:rPr>
        <w:drawing>
          <wp:inline distT="0" distB="0" distL="0" distR="0" wp14:anchorId="32AD12DB" wp14:editId="34B9243D">
            <wp:extent cx="1381125" cy="406878"/>
            <wp:effectExtent l="0" t="0" r="0" b="0"/>
            <wp:docPr id="5" name="Picture 5" descr="Scanned Signature of Dr J. Patrick Greene CEO Museum Victoria." title="Signature Dr J. Patrick Gre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6552" cy="414369"/>
                    </a:xfrm>
                    <a:prstGeom prst="rect">
                      <a:avLst/>
                    </a:prstGeom>
                    <a:noFill/>
                    <a:ln>
                      <a:noFill/>
                    </a:ln>
                  </pic:spPr>
                </pic:pic>
              </a:graphicData>
            </a:graphic>
          </wp:inline>
        </w:drawing>
      </w:r>
    </w:p>
    <w:p w14:paraId="11091ECC" w14:textId="77777777" w:rsidR="00B30FE4" w:rsidRPr="00B30FE4" w:rsidRDefault="00B30FE4" w:rsidP="00B30FE4">
      <w:pPr>
        <w:tabs>
          <w:tab w:val="left" w:leader="dot" w:pos="2880"/>
          <w:tab w:val="left" w:pos="5040"/>
          <w:tab w:val="left" w:pos="7938"/>
        </w:tabs>
        <w:ind w:right="375"/>
      </w:pPr>
      <w:r w:rsidRPr="00B30FE4">
        <w:tab/>
        <w:t>………..</w:t>
      </w:r>
      <w:r w:rsidRPr="00B30FE4">
        <w:tab/>
      </w:r>
    </w:p>
    <w:p w14:paraId="25EF291D" w14:textId="77777777" w:rsidR="00B30FE4" w:rsidRPr="00B30FE4" w:rsidRDefault="00B30FE4" w:rsidP="00B30FE4">
      <w:pPr>
        <w:tabs>
          <w:tab w:val="left" w:leader="dot" w:pos="2880"/>
          <w:tab w:val="left" w:pos="5040"/>
          <w:tab w:val="left" w:leader="hyphen" w:pos="7920"/>
        </w:tabs>
        <w:spacing w:before="40"/>
        <w:ind w:right="680"/>
      </w:pPr>
      <w:r w:rsidRPr="00B30FE4">
        <w:t>Dr J. Patrick Greene OBE</w:t>
      </w:r>
    </w:p>
    <w:p w14:paraId="63090F6E" w14:textId="77777777" w:rsidR="00B30FE4" w:rsidRPr="00B30FE4" w:rsidRDefault="00B30FE4" w:rsidP="00B30FE4">
      <w:pPr>
        <w:tabs>
          <w:tab w:val="left" w:leader="dot" w:pos="2880"/>
          <w:tab w:val="left" w:pos="5040"/>
          <w:tab w:val="left" w:leader="hyphen" w:pos="7920"/>
        </w:tabs>
        <w:ind w:right="680"/>
      </w:pPr>
      <w:r w:rsidRPr="00B30FE4">
        <w:t>CHIEF EXECUTIVE OFFICER</w:t>
      </w:r>
      <w:r w:rsidRPr="00B30FE4">
        <w:tab/>
      </w:r>
    </w:p>
    <w:p w14:paraId="6DA1DD41" w14:textId="77777777" w:rsidR="00B30FE4" w:rsidRPr="00B30FE4" w:rsidRDefault="00B30FE4" w:rsidP="00B30FE4">
      <w:pPr>
        <w:tabs>
          <w:tab w:val="left" w:leader="dot" w:pos="2880"/>
          <w:tab w:val="left" w:pos="5040"/>
          <w:tab w:val="left" w:leader="hyphen" w:pos="7920"/>
        </w:tabs>
        <w:ind w:right="680"/>
      </w:pPr>
    </w:p>
    <w:p w14:paraId="75B1EED6" w14:textId="1DE372DD" w:rsidR="00B30FE4" w:rsidRPr="00B30FE4" w:rsidRDefault="00C424F2" w:rsidP="00B30FE4">
      <w:pPr>
        <w:tabs>
          <w:tab w:val="left" w:leader="dot" w:pos="2880"/>
          <w:tab w:val="left" w:pos="5040"/>
          <w:tab w:val="left" w:leader="hyphen" w:pos="7920"/>
        </w:tabs>
        <w:ind w:right="680"/>
      </w:pPr>
      <w:r w:rsidRPr="00B7656D">
        <w:rPr>
          <w:noProof/>
        </w:rPr>
        <w:drawing>
          <wp:inline distT="0" distB="0" distL="0" distR="0" wp14:anchorId="39BA3BD6" wp14:editId="38965962">
            <wp:extent cx="933450" cy="789170"/>
            <wp:effectExtent l="0" t="0" r="0" b="0"/>
            <wp:docPr id="7" name="Picture 7" descr="Scanned signature of Callum Ingram, Chief Financial Officer Museum Victoria." title="Signature Callum In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6094" cy="799860"/>
                    </a:xfrm>
                    <a:prstGeom prst="rect">
                      <a:avLst/>
                    </a:prstGeom>
                    <a:noFill/>
                    <a:ln>
                      <a:noFill/>
                    </a:ln>
                  </pic:spPr>
                </pic:pic>
              </a:graphicData>
            </a:graphic>
          </wp:inline>
        </w:drawing>
      </w:r>
    </w:p>
    <w:p w14:paraId="46247B0F" w14:textId="77777777" w:rsidR="00B30FE4" w:rsidRPr="00B30FE4" w:rsidRDefault="00B30FE4" w:rsidP="00B30FE4">
      <w:pPr>
        <w:tabs>
          <w:tab w:val="left" w:leader="dot" w:pos="2880"/>
          <w:tab w:val="left" w:pos="5040"/>
          <w:tab w:val="left" w:leader="dot" w:pos="7920"/>
        </w:tabs>
        <w:ind w:right="680"/>
      </w:pPr>
      <w:r w:rsidRPr="00B30FE4">
        <w:tab/>
        <w:t>............</w:t>
      </w:r>
      <w:r w:rsidRPr="00B30FE4">
        <w:tab/>
      </w:r>
    </w:p>
    <w:p w14:paraId="0091B6E9" w14:textId="77777777" w:rsidR="00B30FE4" w:rsidRPr="00B30FE4" w:rsidRDefault="00B30FE4" w:rsidP="00B30FE4">
      <w:pPr>
        <w:tabs>
          <w:tab w:val="left" w:pos="2880"/>
          <w:tab w:val="left" w:pos="5040"/>
          <w:tab w:val="left" w:leader="hyphen" w:pos="7920"/>
        </w:tabs>
        <w:ind w:right="680"/>
      </w:pPr>
      <w:r w:rsidRPr="00B30FE4">
        <w:t>Mr Callum Ingram</w:t>
      </w:r>
    </w:p>
    <w:p w14:paraId="7122AE8E" w14:textId="77777777" w:rsidR="00B30FE4" w:rsidRPr="00B30FE4" w:rsidRDefault="00B30FE4" w:rsidP="00B30FE4">
      <w:pPr>
        <w:tabs>
          <w:tab w:val="left" w:leader="dot" w:pos="2880"/>
          <w:tab w:val="left" w:pos="5040"/>
          <w:tab w:val="left" w:leader="hyphen" w:pos="7920"/>
        </w:tabs>
        <w:ind w:right="680"/>
      </w:pPr>
      <w:r w:rsidRPr="00B30FE4">
        <w:t>CHIEF FINANCIAL OFFICER</w:t>
      </w:r>
    </w:p>
    <w:p w14:paraId="5A8F7A57" w14:textId="77777777" w:rsidR="00B30FE4" w:rsidRPr="00B30FE4" w:rsidRDefault="00B30FE4" w:rsidP="00B30FE4">
      <w:pPr>
        <w:tabs>
          <w:tab w:val="left" w:leader="dot" w:pos="2880"/>
          <w:tab w:val="left" w:pos="5040"/>
          <w:tab w:val="left" w:leader="hyphen" w:pos="7920"/>
        </w:tabs>
        <w:ind w:right="680"/>
      </w:pPr>
    </w:p>
    <w:p w14:paraId="4D55519E" w14:textId="77777777" w:rsidR="00B30FE4" w:rsidRPr="00B30FE4" w:rsidRDefault="00B30FE4" w:rsidP="00B30FE4">
      <w:pPr>
        <w:tabs>
          <w:tab w:val="left" w:leader="dot" w:pos="2880"/>
          <w:tab w:val="left" w:pos="5040"/>
          <w:tab w:val="left" w:leader="hyphen" w:pos="7920"/>
        </w:tabs>
        <w:ind w:right="680"/>
      </w:pPr>
    </w:p>
    <w:p w14:paraId="5D28F775" w14:textId="77777777" w:rsidR="00B30FE4" w:rsidRPr="00B30FE4" w:rsidRDefault="00B30FE4" w:rsidP="00B30FE4">
      <w:pPr>
        <w:tabs>
          <w:tab w:val="left" w:leader="dot" w:pos="2880"/>
          <w:tab w:val="left" w:pos="5040"/>
          <w:tab w:val="left" w:leader="hyphen" w:pos="7920"/>
        </w:tabs>
        <w:ind w:right="680"/>
      </w:pPr>
    </w:p>
    <w:p w14:paraId="07AA3446" w14:textId="3285F344" w:rsidR="00B30FE4" w:rsidRPr="00B30FE4" w:rsidRDefault="00771EC9" w:rsidP="00B30FE4">
      <w:pPr>
        <w:tabs>
          <w:tab w:val="left" w:leader="dot" w:pos="2880"/>
          <w:tab w:val="left" w:pos="5040"/>
          <w:tab w:val="left" w:leader="hyphen" w:pos="7920"/>
        </w:tabs>
        <w:ind w:right="680"/>
      </w:pPr>
      <w:r w:rsidRPr="007F3A14">
        <w:t>25 August 2016</w:t>
      </w:r>
      <w:r w:rsidR="00B30FE4" w:rsidRPr="00B30FE4">
        <w:br/>
      </w:r>
      <w:r w:rsidR="00B30FE4" w:rsidRPr="00B30FE4">
        <w:tab/>
      </w:r>
    </w:p>
    <w:p w14:paraId="27A42312" w14:textId="77777777" w:rsidR="00B30FE4" w:rsidRPr="00B30FE4" w:rsidRDefault="00B30FE4" w:rsidP="00B30FE4">
      <w:pPr>
        <w:tabs>
          <w:tab w:val="left" w:leader="dot" w:pos="2880"/>
          <w:tab w:val="left" w:pos="5040"/>
          <w:tab w:val="left" w:leader="hyphen" w:pos="7920"/>
        </w:tabs>
        <w:spacing w:before="40"/>
        <w:ind w:right="680"/>
      </w:pPr>
      <w:r w:rsidRPr="00B30FE4">
        <w:t xml:space="preserve">DATED </w:t>
      </w:r>
    </w:p>
    <w:p w14:paraId="5EE22182" w14:textId="77777777" w:rsidR="00B30FE4" w:rsidRPr="00B30FE4" w:rsidRDefault="00B30FE4" w:rsidP="00B30FE4">
      <w:pPr>
        <w:rPr>
          <w:b/>
          <w:sz w:val="36"/>
        </w:rPr>
      </w:pPr>
      <w:r w:rsidRPr="00B30FE4">
        <w:br w:type="page"/>
      </w:r>
    </w:p>
    <w:p w14:paraId="22FB1319" w14:textId="77777777" w:rsidR="0097090C" w:rsidRDefault="0097090C" w:rsidP="0097090C">
      <w:pPr>
        <w:rPr>
          <w:rFonts w:cs="Arial"/>
        </w:rPr>
      </w:pPr>
    </w:p>
    <w:p w14:paraId="151866F9" w14:textId="77777777" w:rsidR="0097090C" w:rsidRDefault="0097090C" w:rsidP="0097090C">
      <w:pPr>
        <w:pStyle w:val="Heading3"/>
      </w:pPr>
      <w:r w:rsidRPr="003507F2">
        <w:t>Comprehensive Operating Statement for the f</w:t>
      </w:r>
      <w:r>
        <w:t>inancial year ended 30 June 2016</w:t>
      </w:r>
    </w:p>
    <w:tbl>
      <w:tblPr>
        <w:tblW w:w="9360" w:type="dxa"/>
        <w:tblInd w:w="108" w:type="dxa"/>
        <w:tblLook w:val="04A0" w:firstRow="1" w:lastRow="0" w:firstColumn="1" w:lastColumn="0" w:noHBand="0" w:noVBand="1"/>
      </w:tblPr>
      <w:tblGrid>
        <w:gridCol w:w="6095"/>
        <w:gridCol w:w="828"/>
        <w:gridCol w:w="1267"/>
        <w:gridCol w:w="1267"/>
      </w:tblGrid>
      <w:tr w:rsidR="0097090C" w:rsidRPr="00971956" w14:paraId="145EAAA6" w14:textId="77777777" w:rsidTr="0097090C">
        <w:trPr>
          <w:trHeight w:val="255"/>
        </w:trPr>
        <w:tc>
          <w:tcPr>
            <w:tcW w:w="6095" w:type="dxa"/>
            <w:tcBorders>
              <w:top w:val="single" w:sz="4" w:space="0" w:color="auto"/>
              <w:left w:val="nil"/>
              <w:bottom w:val="single" w:sz="4" w:space="0" w:color="auto"/>
              <w:right w:val="nil"/>
            </w:tcBorders>
            <w:shd w:val="clear" w:color="auto" w:fill="auto"/>
            <w:noWrap/>
            <w:vAlign w:val="center"/>
            <w:hideMark/>
          </w:tcPr>
          <w:p w14:paraId="64331D78" w14:textId="77777777" w:rsidR="0097090C" w:rsidRPr="00971956" w:rsidRDefault="0097090C" w:rsidP="0097090C">
            <w:pPr>
              <w:rPr>
                <w:rFonts w:cs="Arial"/>
                <w:color w:val="000000"/>
              </w:rPr>
            </w:pPr>
            <w:r w:rsidRPr="00971956">
              <w:rPr>
                <w:rFonts w:cs="Arial"/>
                <w:color w:val="000000"/>
              </w:rPr>
              <w:t> </w:t>
            </w:r>
          </w:p>
        </w:tc>
        <w:tc>
          <w:tcPr>
            <w:tcW w:w="731" w:type="dxa"/>
            <w:tcBorders>
              <w:top w:val="single" w:sz="4" w:space="0" w:color="auto"/>
              <w:left w:val="nil"/>
              <w:bottom w:val="single" w:sz="4" w:space="0" w:color="auto"/>
              <w:right w:val="nil"/>
            </w:tcBorders>
            <w:shd w:val="clear" w:color="auto" w:fill="auto"/>
            <w:noWrap/>
            <w:vAlign w:val="center"/>
            <w:hideMark/>
          </w:tcPr>
          <w:p w14:paraId="17FE7B95" w14:textId="77777777" w:rsidR="0097090C" w:rsidRPr="006F48C9" w:rsidRDefault="0097090C" w:rsidP="0097090C">
            <w:pPr>
              <w:jc w:val="center"/>
              <w:rPr>
                <w:rFonts w:cs="Arial"/>
                <w:b/>
                <w:color w:val="000000"/>
              </w:rPr>
            </w:pPr>
            <w:r w:rsidRPr="006F48C9">
              <w:rPr>
                <w:rFonts w:cs="Arial"/>
                <w:b/>
                <w:color w:val="000000"/>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18D7C7B1" w14:textId="77777777" w:rsidR="0097090C" w:rsidRPr="006F48C9" w:rsidRDefault="0097090C" w:rsidP="0097090C">
            <w:pPr>
              <w:jc w:val="right"/>
              <w:rPr>
                <w:rFonts w:cs="Arial"/>
                <w:b/>
                <w:color w:val="000000"/>
              </w:rPr>
            </w:pPr>
            <w:r w:rsidRPr="006F48C9">
              <w:rPr>
                <w:rFonts w:cs="Arial"/>
                <w:b/>
                <w:color w:val="000000"/>
              </w:rPr>
              <w:t>2016</w:t>
            </w:r>
          </w:p>
        </w:tc>
        <w:tc>
          <w:tcPr>
            <w:tcW w:w="1267" w:type="dxa"/>
            <w:tcBorders>
              <w:top w:val="single" w:sz="4" w:space="0" w:color="auto"/>
              <w:left w:val="nil"/>
              <w:bottom w:val="single" w:sz="4" w:space="0" w:color="auto"/>
              <w:right w:val="nil"/>
            </w:tcBorders>
            <w:shd w:val="clear" w:color="auto" w:fill="auto"/>
            <w:noWrap/>
            <w:vAlign w:val="center"/>
            <w:hideMark/>
          </w:tcPr>
          <w:p w14:paraId="29148C7F" w14:textId="77777777" w:rsidR="0097090C" w:rsidRPr="006F48C9" w:rsidRDefault="0097090C" w:rsidP="0097090C">
            <w:pPr>
              <w:jc w:val="right"/>
              <w:rPr>
                <w:rFonts w:cs="Arial"/>
                <w:b/>
                <w:color w:val="000000"/>
              </w:rPr>
            </w:pPr>
            <w:r w:rsidRPr="006F48C9">
              <w:rPr>
                <w:rFonts w:cs="Arial"/>
                <w:b/>
                <w:color w:val="000000"/>
              </w:rPr>
              <w:t>2015</w:t>
            </w:r>
          </w:p>
        </w:tc>
      </w:tr>
      <w:tr w:rsidR="0097090C" w:rsidRPr="00971956" w14:paraId="6F71FF96" w14:textId="77777777" w:rsidTr="0097090C">
        <w:trPr>
          <w:trHeight w:val="255"/>
        </w:trPr>
        <w:tc>
          <w:tcPr>
            <w:tcW w:w="6095" w:type="dxa"/>
            <w:tcBorders>
              <w:top w:val="nil"/>
              <w:left w:val="nil"/>
              <w:bottom w:val="single" w:sz="4" w:space="0" w:color="auto"/>
              <w:right w:val="nil"/>
            </w:tcBorders>
            <w:shd w:val="clear" w:color="auto" w:fill="auto"/>
            <w:noWrap/>
            <w:vAlign w:val="center"/>
            <w:hideMark/>
          </w:tcPr>
          <w:p w14:paraId="0EC552DD" w14:textId="77777777" w:rsidR="0097090C" w:rsidRPr="00971956" w:rsidRDefault="0097090C" w:rsidP="0097090C">
            <w:pPr>
              <w:rPr>
                <w:rFonts w:cs="Arial"/>
                <w:color w:val="000000"/>
              </w:rPr>
            </w:pPr>
            <w:r w:rsidRPr="00971956">
              <w:rPr>
                <w:rFonts w:cs="Arial"/>
                <w:color w:val="000000"/>
              </w:rPr>
              <w:t> </w:t>
            </w:r>
          </w:p>
        </w:tc>
        <w:tc>
          <w:tcPr>
            <w:tcW w:w="731" w:type="dxa"/>
            <w:tcBorders>
              <w:top w:val="nil"/>
              <w:left w:val="nil"/>
              <w:bottom w:val="single" w:sz="4" w:space="0" w:color="auto"/>
              <w:right w:val="nil"/>
            </w:tcBorders>
            <w:shd w:val="clear" w:color="auto" w:fill="auto"/>
            <w:noWrap/>
            <w:vAlign w:val="center"/>
            <w:hideMark/>
          </w:tcPr>
          <w:p w14:paraId="4308905F" w14:textId="77777777" w:rsidR="0097090C" w:rsidRPr="006F48C9" w:rsidRDefault="0097090C" w:rsidP="0097090C">
            <w:pPr>
              <w:rPr>
                <w:rFonts w:cs="Arial"/>
                <w:b/>
                <w:color w:val="000000"/>
              </w:rPr>
            </w:pPr>
            <w:r w:rsidRPr="006F48C9">
              <w:rPr>
                <w:rFonts w:cs="Arial"/>
                <w:b/>
                <w:color w:val="000000"/>
              </w:rPr>
              <w:t> </w:t>
            </w:r>
          </w:p>
        </w:tc>
        <w:tc>
          <w:tcPr>
            <w:tcW w:w="1267" w:type="dxa"/>
            <w:tcBorders>
              <w:top w:val="nil"/>
              <w:left w:val="nil"/>
              <w:bottom w:val="single" w:sz="4" w:space="0" w:color="auto"/>
              <w:right w:val="nil"/>
            </w:tcBorders>
            <w:shd w:val="clear" w:color="000000" w:fill="D9D9D9"/>
            <w:noWrap/>
            <w:vAlign w:val="center"/>
            <w:hideMark/>
          </w:tcPr>
          <w:p w14:paraId="3A976D2B" w14:textId="77777777" w:rsidR="0097090C" w:rsidRPr="006F48C9" w:rsidRDefault="0097090C" w:rsidP="0097090C">
            <w:pPr>
              <w:jc w:val="right"/>
              <w:rPr>
                <w:rFonts w:cs="Arial"/>
                <w:b/>
                <w:color w:val="000000"/>
              </w:rPr>
            </w:pPr>
            <w:r w:rsidRPr="006F48C9">
              <w:rPr>
                <w:rFonts w:cs="Arial"/>
                <w:b/>
                <w:color w:val="000000"/>
              </w:rPr>
              <w:t>$'000</w:t>
            </w:r>
          </w:p>
        </w:tc>
        <w:tc>
          <w:tcPr>
            <w:tcW w:w="1267" w:type="dxa"/>
            <w:tcBorders>
              <w:top w:val="nil"/>
              <w:left w:val="nil"/>
              <w:bottom w:val="single" w:sz="4" w:space="0" w:color="auto"/>
              <w:right w:val="nil"/>
            </w:tcBorders>
            <w:shd w:val="clear" w:color="auto" w:fill="auto"/>
            <w:noWrap/>
            <w:vAlign w:val="center"/>
            <w:hideMark/>
          </w:tcPr>
          <w:p w14:paraId="5E43F099" w14:textId="77777777" w:rsidR="0097090C" w:rsidRPr="006F48C9" w:rsidRDefault="0097090C" w:rsidP="0097090C">
            <w:pPr>
              <w:jc w:val="right"/>
              <w:rPr>
                <w:rFonts w:cs="Arial"/>
                <w:b/>
                <w:color w:val="000000"/>
              </w:rPr>
            </w:pPr>
            <w:r w:rsidRPr="006F48C9">
              <w:rPr>
                <w:rFonts w:cs="Arial"/>
                <w:b/>
                <w:color w:val="000000"/>
              </w:rPr>
              <w:t>$'000</w:t>
            </w:r>
          </w:p>
        </w:tc>
      </w:tr>
      <w:tr w:rsidR="0097090C" w:rsidRPr="00971956" w14:paraId="29D02112" w14:textId="77777777" w:rsidTr="0097090C">
        <w:trPr>
          <w:trHeight w:val="255"/>
        </w:trPr>
        <w:tc>
          <w:tcPr>
            <w:tcW w:w="6095" w:type="dxa"/>
            <w:tcBorders>
              <w:top w:val="nil"/>
              <w:left w:val="nil"/>
              <w:bottom w:val="nil"/>
              <w:right w:val="nil"/>
            </w:tcBorders>
            <w:shd w:val="clear" w:color="auto" w:fill="auto"/>
            <w:noWrap/>
            <w:vAlign w:val="center"/>
            <w:hideMark/>
          </w:tcPr>
          <w:p w14:paraId="03670DD0" w14:textId="77777777" w:rsidR="0097090C" w:rsidRPr="00971956" w:rsidRDefault="0097090C" w:rsidP="0097090C">
            <w:pPr>
              <w:rPr>
                <w:rFonts w:cs="Arial"/>
                <w:color w:val="000000"/>
              </w:rPr>
            </w:pPr>
          </w:p>
        </w:tc>
        <w:tc>
          <w:tcPr>
            <w:tcW w:w="731" w:type="dxa"/>
            <w:tcBorders>
              <w:top w:val="nil"/>
              <w:left w:val="nil"/>
              <w:bottom w:val="nil"/>
              <w:right w:val="nil"/>
            </w:tcBorders>
            <w:shd w:val="clear" w:color="auto" w:fill="auto"/>
            <w:noWrap/>
            <w:vAlign w:val="center"/>
            <w:hideMark/>
          </w:tcPr>
          <w:p w14:paraId="2389A2D4" w14:textId="77777777" w:rsidR="0097090C" w:rsidRPr="00971956"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723876AE" w14:textId="77777777" w:rsidR="0097090C" w:rsidRPr="00971956" w:rsidRDefault="0097090C" w:rsidP="0097090C">
            <w:pPr>
              <w:jc w:val="right"/>
              <w:rPr>
                <w:rFonts w:cs="Arial"/>
                <w:color w:val="000000"/>
              </w:rPr>
            </w:pPr>
            <w:r w:rsidRPr="00971956">
              <w:rPr>
                <w:rFonts w:cs="Arial"/>
                <w:color w:val="000000"/>
              </w:rPr>
              <w:t> </w:t>
            </w:r>
          </w:p>
        </w:tc>
        <w:tc>
          <w:tcPr>
            <w:tcW w:w="1267" w:type="dxa"/>
            <w:tcBorders>
              <w:top w:val="nil"/>
              <w:left w:val="nil"/>
              <w:bottom w:val="nil"/>
              <w:right w:val="nil"/>
            </w:tcBorders>
            <w:shd w:val="clear" w:color="auto" w:fill="auto"/>
            <w:noWrap/>
            <w:vAlign w:val="center"/>
            <w:hideMark/>
          </w:tcPr>
          <w:p w14:paraId="7B2DDEFA" w14:textId="77777777" w:rsidR="0097090C" w:rsidRPr="00971956" w:rsidRDefault="0097090C" w:rsidP="0097090C">
            <w:pPr>
              <w:jc w:val="right"/>
              <w:rPr>
                <w:rFonts w:cs="Arial"/>
                <w:color w:val="000000"/>
              </w:rPr>
            </w:pPr>
          </w:p>
        </w:tc>
      </w:tr>
      <w:tr w:rsidR="0097090C" w:rsidRPr="00971956" w14:paraId="749E2FE0" w14:textId="77777777" w:rsidTr="0097090C">
        <w:trPr>
          <w:trHeight w:val="300"/>
        </w:trPr>
        <w:tc>
          <w:tcPr>
            <w:tcW w:w="6095" w:type="dxa"/>
            <w:tcBorders>
              <w:top w:val="nil"/>
              <w:left w:val="nil"/>
              <w:bottom w:val="nil"/>
              <w:right w:val="nil"/>
            </w:tcBorders>
            <w:shd w:val="clear" w:color="auto" w:fill="auto"/>
            <w:vAlign w:val="center"/>
            <w:hideMark/>
          </w:tcPr>
          <w:p w14:paraId="309179F2" w14:textId="77777777" w:rsidR="0097090C" w:rsidRPr="00971956" w:rsidRDefault="0097090C" w:rsidP="0097090C">
            <w:pPr>
              <w:rPr>
                <w:rFonts w:cs="Arial"/>
                <w:b/>
                <w:bCs/>
                <w:color w:val="000000"/>
              </w:rPr>
            </w:pPr>
            <w:r w:rsidRPr="00971956">
              <w:rPr>
                <w:rFonts w:cs="Arial"/>
                <w:b/>
                <w:bCs/>
                <w:color w:val="000000"/>
              </w:rPr>
              <w:t>Income from transactions</w:t>
            </w:r>
          </w:p>
        </w:tc>
        <w:tc>
          <w:tcPr>
            <w:tcW w:w="731" w:type="dxa"/>
            <w:tcBorders>
              <w:top w:val="nil"/>
              <w:left w:val="nil"/>
              <w:bottom w:val="nil"/>
              <w:right w:val="nil"/>
            </w:tcBorders>
            <w:shd w:val="clear" w:color="auto" w:fill="auto"/>
            <w:vAlign w:val="center"/>
            <w:hideMark/>
          </w:tcPr>
          <w:p w14:paraId="57FFFA8D" w14:textId="77777777" w:rsidR="0097090C" w:rsidRPr="00971956" w:rsidRDefault="0097090C" w:rsidP="0097090C">
            <w:pPr>
              <w:jc w:val="center"/>
              <w:rPr>
                <w:rFonts w:cs="Arial"/>
                <w:b/>
                <w:bCs/>
                <w:color w:val="000000"/>
              </w:rPr>
            </w:pPr>
          </w:p>
        </w:tc>
        <w:tc>
          <w:tcPr>
            <w:tcW w:w="1267" w:type="dxa"/>
            <w:tcBorders>
              <w:top w:val="nil"/>
              <w:left w:val="nil"/>
              <w:bottom w:val="nil"/>
              <w:right w:val="nil"/>
            </w:tcBorders>
            <w:shd w:val="clear" w:color="000000" w:fill="D9D9D9"/>
            <w:vAlign w:val="center"/>
            <w:hideMark/>
          </w:tcPr>
          <w:p w14:paraId="123BD18F" w14:textId="77777777" w:rsidR="0097090C" w:rsidRPr="00971956" w:rsidRDefault="0097090C" w:rsidP="0097090C">
            <w:pPr>
              <w:rPr>
                <w:rFonts w:cs="Arial"/>
                <w:b/>
                <w:bCs/>
                <w:i/>
                <w:iCs/>
                <w:color w:val="000000"/>
              </w:rPr>
            </w:pPr>
            <w:r w:rsidRPr="00971956">
              <w:rPr>
                <w:rFonts w:cs="Arial"/>
                <w:b/>
                <w:bCs/>
                <w:i/>
                <w:iCs/>
                <w:color w:val="000000"/>
              </w:rPr>
              <w:t> </w:t>
            </w:r>
          </w:p>
        </w:tc>
        <w:tc>
          <w:tcPr>
            <w:tcW w:w="1267" w:type="dxa"/>
            <w:tcBorders>
              <w:top w:val="nil"/>
              <w:left w:val="nil"/>
              <w:bottom w:val="nil"/>
              <w:right w:val="nil"/>
            </w:tcBorders>
            <w:shd w:val="clear" w:color="auto" w:fill="auto"/>
            <w:vAlign w:val="center"/>
            <w:hideMark/>
          </w:tcPr>
          <w:p w14:paraId="1BE328BA" w14:textId="77777777" w:rsidR="0097090C" w:rsidRPr="00971956" w:rsidRDefault="0097090C" w:rsidP="0097090C">
            <w:pPr>
              <w:rPr>
                <w:rFonts w:cs="Arial"/>
                <w:b/>
                <w:bCs/>
                <w:i/>
                <w:iCs/>
                <w:color w:val="000000"/>
              </w:rPr>
            </w:pPr>
          </w:p>
        </w:tc>
      </w:tr>
      <w:tr w:rsidR="0097090C" w:rsidRPr="00971956" w14:paraId="6B12E0FE" w14:textId="77777777" w:rsidTr="0097090C">
        <w:trPr>
          <w:trHeight w:val="255"/>
        </w:trPr>
        <w:tc>
          <w:tcPr>
            <w:tcW w:w="6095" w:type="dxa"/>
            <w:tcBorders>
              <w:top w:val="nil"/>
              <w:left w:val="nil"/>
              <w:bottom w:val="nil"/>
              <w:right w:val="nil"/>
            </w:tcBorders>
            <w:shd w:val="clear" w:color="auto" w:fill="auto"/>
            <w:vAlign w:val="center"/>
            <w:hideMark/>
          </w:tcPr>
          <w:p w14:paraId="739F8913" w14:textId="77777777" w:rsidR="0097090C" w:rsidRPr="00971956" w:rsidRDefault="0097090C" w:rsidP="0097090C">
            <w:pPr>
              <w:rPr>
                <w:rFonts w:cs="Arial"/>
                <w:color w:val="000000"/>
              </w:rPr>
            </w:pPr>
            <w:r w:rsidRPr="00971956">
              <w:rPr>
                <w:rFonts w:cs="Arial"/>
                <w:color w:val="000000"/>
              </w:rPr>
              <w:t>Victorian Government Grants</w:t>
            </w:r>
          </w:p>
        </w:tc>
        <w:tc>
          <w:tcPr>
            <w:tcW w:w="731" w:type="dxa"/>
            <w:tcBorders>
              <w:top w:val="nil"/>
              <w:left w:val="nil"/>
              <w:bottom w:val="nil"/>
              <w:right w:val="nil"/>
            </w:tcBorders>
            <w:shd w:val="clear" w:color="auto" w:fill="auto"/>
            <w:vAlign w:val="center"/>
            <w:hideMark/>
          </w:tcPr>
          <w:p w14:paraId="4A5AA2E6" w14:textId="77777777" w:rsidR="0097090C" w:rsidRPr="00971956" w:rsidRDefault="0097090C" w:rsidP="0097090C">
            <w:pPr>
              <w:jc w:val="center"/>
              <w:rPr>
                <w:rFonts w:cs="Arial"/>
                <w:color w:val="000000"/>
              </w:rPr>
            </w:pPr>
            <w:r w:rsidRPr="00971956">
              <w:rPr>
                <w:rFonts w:cs="Arial"/>
                <w:color w:val="000000"/>
              </w:rPr>
              <w:t>2</w:t>
            </w:r>
          </w:p>
        </w:tc>
        <w:tc>
          <w:tcPr>
            <w:tcW w:w="1267" w:type="dxa"/>
            <w:tcBorders>
              <w:top w:val="nil"/>
              <w:left w:val="nil"/>
              <w:bottom w:val="nil"/>
              <w:right w:val="nil"/>
            </w:tcBorders>
            <w:shd w:val="clear" w:color="000000" w:fill="D9D9D9"/>
            <w:vAlign w:val="center"/>
            <w:hideMark/>
          </w:tcPr>
          <w:p w14:paraId="12283B48" w14:textId="77777777" w:rsidR="0097090C" w:rsidRPr="00971956" w:rsidRDefault="0097090C" w:rsidP="0097090C">
            <w:pPr>
              <w:jc w:val="right"/>
              <w:rPr>
                <w:rFonts w:cs="Arial"/>
                <w:color w:val="000000"/>
              </w:rPr>
            </w:pPr>
            <w:r w:rsidRPr="00971956">
              <w:rPr>
                <w:rFonts w:cs="Arial"/>
                <w:color w:val="000000"/>
              </w:rPr>
              <w:t>84,152</w:t>
            </w:r>
          </w:p>
        </w:tc>
        <w:tc>
          <w:tcPr>
            <w:tcW w:w="1267" w:type="dxa"/>
            <w:tcBorders>
              <w:top w:val="nil"/>
              <w:left w:val="nil"/>
              <w:bottom w:val="nil"/>
              <w:right w:val="nil"/>
            </w:tcBorders>
            <w:shd w:val="clear" w:color="auto" w:fill="auto"/>
            <w:vAlign w:val="center"/>
            <w:hideMark/>
          </w:tcPr>
          <w:p w14:paraId="2C76F7F3" w14:textId="77777777" w:rsidR="0097090C" w:rsidRPr="00971956" w:rsidRDefault="0097090C" w:rsidP="0097090C">
            <w:pPr>
              <w:jc w:val="right"/>
              <w:rPr>
                <w:rFonts w:cs="Arial"/>
                <w:color w:val="000000"/>
              </w:rPr>
            </w:pPr>
            <w:r w:rsidRPr="00971956">
              <w:rPr>
                <w:rFonts w:cs="Arial"/>
                <w:color w:val="000000"/>
              </w:rPr>
              <w:t>84,377</w:t>
            </w:r>
          </w:p>
        </w:tc>
      </w:tr>
      <w:tr w:rsidR="0097090C" w:rsidRPr="00971956" w14:paraId="451B1B64" w14:textId="77777777" w:rsidTr="0097090C">
        <w:trPr>
          <w:trHeight w:val="255"/>
        </w:trPr>
        <w:tc>
          <w:tcPr>
            <w:tcW w:w="6095" w:type="dxa"/>
            <w:tcBorders>
              <w:top w:val="nil"/>
              <w:left w:val="nil"/>
              <w:bottom w:val="nil"/>
              <w:right w:val="nil"/>
            </w:tcBorders>
            <w:shd w:val="clear" w:color="auto" w:fill="auto"/>
            <w:vAlign w:val="center"/>
            <w:hideMark/>
          </w:tcPr>
          <w:p w14:paraId="4E4E678F" w14:textId="77777777" w:rsidR="0097090C" w:rsidRPr="00971956" w:rsidRDefault="0097090C" w:rsidP="0097090C">
            <w:pPr>
              <w:rPr>
                <w:rFonts w:cs="Arial"/>
                <w:color w:val="000000"/>
              </w:rPr>
            </w:pPr>
            <w:r w:rsidRPr="00971956">
              <w:rPr>
                <w:rFonts w:cs="Arial"/>
                <w:color w:val="000000"/>
              </w:rPr>
              <w:t>Fees and Charges</w:t>
            </w:r>
          </w:p>
        </w:tc>
        <w:tc>
          <w:tcPr>
            <w:tcW w:w="731" w:type="dxa"/>
            <w:tcBorders>
              <w:top w:val="nil"/>
              <w:left w:val="nil"/>
              <w:bottom w:val="nil"/>
              <w:right w:val="nil"/>
            </w:tcBorders>
            <w:shd w:val="clear" w:color="auto" w:fill="auto"/>
            <w:vAlign w:val="center"/>
            <w:hideMark/>
          </w:tcPr>
          <w:p w14:paraId="30E7B962"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44BFB5AD" w14:textId="77777777" w:rsidR="0097090C" w:rsidRPr="00971956" w:rsidRDefault="0097090C" w:rsidP="0097090C">
            <w:pPr>
              <w:jc w:val="right"/>
              <w:rPr>
                <w:rFonts w:cs="Arial"/>
                <w:color w:val="000000"/>
              </w:rPr>
            </w:pPr>
            <w:r w:rsidRPr="00971956">
              <w:rPr>
                <w:rFonts w:cs="Arial"/>
                <w:color w:val="000000"/>
              </w:rPr>
              <w:t>21,452</w:t>
            </w:r>
          </w:p>
        </w:tc>
        <w:tc>
          <w:tcPr>
            <w:tcW w:w="1267" w:type="dxa"/>
            <w:tcBorders>
              <w:top w:val="nil"/>
              <w:left w:val="nil"/>
              <w:bottom w:val="nil"/>
              <w:right w:val="nil"/>
            </w:tcBorders>
            <w:shd w:val="clear" w:color="auto" w:fill="auto"/>
            <w:vAlign w:val="center"/>
            <w:hideMark/>
          </w:tcPr>
          <w:p w14:paraId="09A975DB" w14:textId="77777777" w:rsidR="0097090C" w:rsidRPr="00971956" w:rsidRDefault="0097090C" w:rsidP="0097090C">
            <w:pPr>
              <w:jc w:val="right"/>
              <w:rPr>
                <w:rFonts w:cs="Arial"/>
                <w:color w:val="000000"/>
              </w:rPr>
            </w:pPr>
            <w:r w:rsidRPr="00971956">
              <w:rPr>
                <w:rFonts w:cs="Arial"/>
                <w:color w:val="000000"/>
              </w:rPr>
              <w:t>14,523</w:t>
            </w:r>
          </w:p>
        </w:tc>
      </w:tr>
      <w:tr w:rsidR="0097090C" w:rsidRPr="00971956" w14:paraId="2CC8838B" w14:textId="77777777" w:rsidTr="0097090C">
        <w:trPr>
          <w:trHeight w:val="255"/>
        </w:trPr>
        <w:tc>
          <w:tcPr>
            <w:tcW w:w="6095" w:type="dxa"/>
            <w:tcBorders>
              <w:top w:val="nil"/>
              <w:left w:val="nil"/>
              <w:bottom w:val="nil"/>
              <w:right w:val="nil"/>
            </w:tcBorders>
            <w:shd w:val="clear" w:color="auto" w:fill="auto"/>
            <w:vAlign w:val="center"/>
            <w:hideMark/>
          </w:tcPr>
          <w:p w14:paraId="3BF69416" w14:textId="77777777" w:rsidR="0097090C" w:rsidRPr="00971956" w:rsidRDefault="0097090C" w:rsidP="0097090C">
            <w:pPr>
              <w:rPr>
                <w:rFonts w:cs="Arial"/>
                <w:color w:val="000000"/>
              </w:rPr>
            </w:pPr>
            <w:r w:rsidRPr="00971956">
              <w:rPr>
                <w:rFonts w:cs="Arial"/>
                <w:color w:val="000000"/>
              </w:rPr>
              <w:t>Sales of Goods and Services</w:t>
            </w:r>
          </w:p>
        </w:tc>
        <w:tc>
          <w:tcPr>
            <w:tcW w:w="731" w:type="dxa"/>
            <w:tcBorders>
              <w:top w:val="nil"/>
              <w:left w:val="nil"/>
              <w:bottom w:val="nil"/>
              <w:right w:val="nil"/>
            </w:tcBorders>
            <w:shd w:val="clear" w:color="auto" w:fill="auto"/>
            <w:vAlign w:val="center"/>
            <w:hideMark/>
          </w:tcPr>
          <w:p w14:paraId="7D9BD1C7"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5DCBAB90" w14:textId="77777777" w:rsidR="0097090C" w:rsidRPr="00971956" w:rsidRDefault="0097090C" w:rsidP="0097090C">
            <w:pPr>
              <w:jc w:val="right"/>
              <w:rPr>
                <w:rFonts w:cs="Arial"/>
                <w:color w:val="000000"/>
              </w:rPr>
            </w:pPr>
            <w:r w:rsidRPr="00971956">
              <w:rPr>
                <w:rFonts w:cs="Arial"/>
                <w:color w:val="000000"/>
              </w:rPr>
              <w:t>3,374</w:t>
            </w:r>
          </w:p>
        </w:tc>
        <w:tc>
          <w:tcPr>
            <w:tcW w:w="1267" w:type="dxa"/>
            <w:tcBorders>
              <w:top w:val="nil"/>
              <w:left w:val="nil"/>
              <w:bottom w:val="nil"/>
              <w:right w:val="nil"/>
            </w:tcBorders>
            <w:shd w:val="clear" w:color="auto" w:fill="auto"/>
            <w:vAlign w:val="center"/>
            <w:hideMark/>
          </w:tcPr>
          <w:p w14:paraId="69819F48" w14:textId="77777777" w:rsidR="0097090C" w:rsidRPr="00971956" w:rsidRDefault="0097090C" w:rsidP="0097090C">
            <w:pPr>
              <w:jc w:val="right"/>
              <w:rPr>
                <w:rFonts w:cs="Arial"/>
                <w:color w:val="000000"/>
              </w:rPr>
            </w:pPr>
            <w:r w:rsidRPr="00971956">
              <w:rPr>
                <w:rFonts w:cs="Arial"/>
                <w:color w:val="000000"/>
              </w:rPr>
              <w:t>3,254</w:t>
            </w:r>
          </w:p>
        </w:tc>
      </w:tr>
      <w:tr w:rsidR="0097090C" w:rsidRPr="00971956" w14:paraId="7F0A266E" w14:textId="77777777" w:rsidTr="0097090C">
        <w:trPr>
          <w:trHeight w:val="255"/>
        </w:trPr>
        <w:tc>
          <w:tcPr>
            <w:tcW w:w="6095" w:type="dxa"/>
            <w:tcBorders>
              <w:top w:val="nil"/>
              <w:left w:val="nil"/>
              <w:bottom w:val="nil"/>
              <w:right w:val="nil"/>
            </w:tcBorders>
            <w:shd w:val="clear" w:color="auto" w:fill="auto"/>
            <w:vAlign w:val="center"/>
            <w:hideMark/>
          </w:tcPr>
          <w:p w14:paraId="236B450A" w14:textId="77777777" w:rsidR="0097090C" w:rsidRPr="00971956" w:rsidRDefault="0097090C" w:rsidP="0097090C">
            <w:pPr>
              <w:rPr>
                <w:rFonts w:cs="Arial"/>
                <w:color w:val="000000"/>
              </w:rPr>
            </w:pPr>
            <w:r w:rsidRPr="00971956">
              <w:rPr>
                <w:rFonts w:cs="Arial"/>
                <w:color w:val="000000"/>
              </w:rPr>
              <w:t>Other Grants</w:t>
            </w:r>
          </w:p>
        </w:tc>
        <w:tc>
          <w:tcPr>
            <w:tcW w:w="731" w:type="dxa"/>
            <w:tcBorders>
              <w:top w:val="nil"/>
              <w:left w:val="nil"/>
              <w:bottom w:val="nil"/>
              <w:right w:val="nil"/>
            </w:tcBorders>
            <w:shd w:val="clear" w:color="auto" w:fill="auto"/>
            <w:vAlign w:val="center"/>
            <w:hideMark/>
          </w:tcPr>
          <w:p w14:paraId="6544466E" w14:textId="77777777" w:rsidR="0097090C" w:rsidRPr="00971956" w:rsidRDefault="0097090C" w:rsidP="0097090C">
            <w:pPr>
              <w:jc w:val="center"/>
              <w:rPr>
                <w:rFonts w:cs="Arial"/>
                <w:color w:val="000000"/>
              </w:rPr>
            </w:pPr>
            <w:r w:rsidRPr="00971956">
              <w:rPr>
                <w:rFonts w:cs="Arial"/>
                <w:color w:val="000000"/>
              </w:rPr>
              <w:t>3</w:t>
            </w:r>
          </w:p>
        </w:tc>
        <w:tc>
          <w:tcPr>
            <w:tcW w:w="1267" w:type="dxa"/>
            <w:tcBorders>
              <w:top w:val="nil"/>
              <w:left w:val="nil"/>
              <w:bottom w:val="nil"/>
              <w:right w:val="nil"/>
            </w:tcBorders>
            <w:shd w:val="clear" w:color="000000" w:fill="D9D9D9"/>
            <w:vAlign w:val="center"/>
            <w:hideMark/>
          </w:tcPr>
          <w:p w14:paraId="074ED3D7" w14:textId="77777777" w:rsidR="0097090C" w:rsidRPr="00971956" w:rsidRDefault="0097090C" w:rsidP="0097090C">
            <w:pPr>
              <w:jc w:val="right"/>
              <w:rPr>
                <w:rFonts w:cs="Arial"/>
                <w:color w:val="000000"/>
              </w:rPr>
            </w:pPr>
            <w:r>
              <w:rPr>
                <w:rFonts w:cs="Arial"/>
                <w:color w:val="000000"/>
              </w:rPr>
              <w:t>3,484</w:t>
            </w:r>
          </w:p>
        </w:tc>
        <w:tc>
          <w:tcPr>
            <w:tcW w:w="1267" w:type="dxa"/>
            <w:tcBorders>
              <w:top w:val="nil"/>
              <w:left w:val="nil"/>
              <w:bottom w:val="nil"/>
              <w:right w:val="nil"/>
            </w:tcBorders>
            <w:shd w:val="clear" w:color="auto" w:fill="auto"/>
            <w:vAlign w:val="center"/>
            <w:hideMark/>
          </w:tcPr>
          <w:p w14:paraId="76218577" w14:textId="77777777" w:rsidR="0097090C" w:rsidRPr="00971956" w:rsidRDefault="0097090C" w:rsidP="0097090C">
            <w:pPr>
              <w:jc w:val="right"/>
              <w:rPr>
                <w:rFonts w:cs="Arial"/>
                <w:color w:val="000000"/>
              </w:rPr>
            </w:pPr>
            <w:r w:rsidRPr="00971956">
              <w:rPr>
                <w:rFonts w:cs="Arial"/>
                <w:color w:val="000000"/>
              </w:rPr>
              <w:t>3,307</w:t>
            </w:r>
          </w:p>
        </w:tc>
      </w:tr>
      <w:tr w:rsidR="0097090C" w:rsidRPr="00971956" w14:paraId="465FF514" w14:textId="77777777" w:rsidTr="0097090C">
        <w:trPr>
          <w:trHeight w:val="255"/>
        </w:trPr>
        <w:tc>
          <w:tcPr>
            <w:tcW w:w="6095" w:type="dxa"/>
            <w:tcBorders>
              <w:top w:val="nil"/>
              <w:left w:val="nil"/>
              <w:bottom w:val="nil"/>
              <w:right w:val="nil"/>
            </w:tcBorders>
            <w:shd w:val="clear" w:color="auto" w:fill="auto"/>
            <w:vAlign w:val="center"/>
            <w:hideMark/>
          </w:tcPr>
          <w:p w14:paraId="43714212" w14:textId="77777777" w:rsidR="0097090C" w:rsidRPr="00971956" w:rsidRDefault="0097090C" w:rsidP="0097090C">
            <w:pPr>
              <w:rPr>
                <w:rFonts w:cs="Arial"/>
                <w:color w:val="000000"/>
              </w:rPr>
            </w:pPr>
            <w:r w:rsidRPr="00971956">
              <w:rPr>
                <w:rFonts w:cs="Arial"/>
                <w:color w:val="000000"/>
              </w:rPr>
              <w:t>Donations</w:t>
            </w:r>
          </w:p>
        </w:tc>
        <w:tc>
          <w:tcPr>
            <w:tcW w:w="731" w:type="dxa"/>
            <w:tcBorders>
              <w:top w:val="nil"/>
              <w:left w:val="nil"/>
              <w:bottom w:val="nil"/>
              <w:right w:val="nil"/>
            </w:tcBorders>
            <w:shd w:val="clear" w:color="auto" w:fill="auto"/>
            <w:vAlign w:val="center"/>
            <w:hideMark/>
          </w:tcPr>
          <w:p w14:paraId="6B008CF8"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0F2CFD88" w14:textId="77777777" w:rsidR="0097090C" w:rsidRPr="00971956" w:rsidRDefault="0097090C" w:rsidP="0097090C">
            <w:pPr>
              <w:jc w:val="right"/>
              <w:rPr>
                <w:rFonts w:cs="Arial"/>
                <w:color w:val="000000"/>
              </w:rPr>
            </w:pPr>
            <w:r w:rsidRPr="00971956">
              <w:rPr>
                <w:rFonts w:cs="Arial"/>
                <w:color w:val="000000"/>
              </w:rPr>
              <w:t>1,456</w:t>
            </w:r>
          </w:p>
        </w:tc>
        <w:tc>
          <w:tcPr>
            <w:tcW w:w="1267" w:type="dxa"/>
            <w:tcBorders>
              <w:top w:val="nil"/>
              <w:left w:val="nil"/>
              <w:bottom w:val="nil"/>
              <w:right w:val="nil"/>
            </w:tcBorders>
            <w:shd w:val="clear" w:color="auto" w:fill="auto"/>
            <w:vAlign w:val="center"/>
            <w:hideMark/>
          </w:tcPr>
          <w:p w14:paraId="4C071290" w14:textId="77777777" w:rsidR="0097090C" w:rsidRPr="00971956" w:rsidRDefault="0097090C" w:rsidP="0097090C">
            <w:pPr>
              <w:jc w:val="right"/>
              <w:rPr>
                <w:rFonts w:cs="Arial"/>
                <w:color w:val="000000"/>
              </w:rPr>
            </w:pPr>
            <w:r w:rsidRPr="00971956">
              <w:rPr>
                <w:rFonts w:cs="Arial"/>
                <w:color w:val="000000"/>
              </w:rPr>
              <w:t>812</w:t>
            </w:r>
          </w:p>
        </w:tc>
      </w:tr>
      <w:tr w:rsidR="0097090C" w:rsidRPr="00971956" w14:paraId="77929DF1" w14:textId="77777777" w:rsidTr="0097090C">
        <w:trPr>
          <w:trHeight w:val="255"/>
        </w:trPr>
        <w:tc>
          <w:tcPr>
            <w:tcW w:w="6095" w:type="dxa"/>
            <w:tcBorders>
              <w:top w:val="nil"/>
              <w:left w:val="nil"/>
              <w:bottom w:val="nil"/>
              <w:right w:val="nil"/>
            </w:tcBorders>
            <w:shd w:val="clear" w:color="auto" w:fill="auto"/>
            <w:vAlign w:val="center"/>
            <w:hideMark/>
          </w:tcPr>
          <w:p w14:paraId="6A49E724" w14:textId="77777777" w:rsidR="0097090C" w:rsidRPr="00971956" w:rsidRDefault="0097090C" w:rsidP="0097090C">
            <w:pPr>
              <w:rPr>
                <w:rFonts w:cs="Arial"/>
                <w:color w:val="000000"/>
              </w:rPr>
            </w:pPr>
            <w:r w:rsidRPr="00971956">
              <w:rPr>
                <w:rFonts w:cs="Arial"/>
                <w:color w:val="000000"/>
              </w:rPr>
              <w:t>Rent Revenue</w:t>
            </w:r>
          </w:p>
        </w:tc>
        <w:tc>
          <w:tcPr>
            <w:tcW w:w="731" w:type="dxa"/>
            <w:tcBorders>
              <w:top w:val="nil"/>
              <w:left w:val="nil"/>
              <w:bottom w:val="nil"/>
              <w:right w:val="nil"/>
            </w:tcBorders>
            <w:shd w:val="clear" w:color="auto" w:fill="auto"/>
            <w:vAlign w:val="center"/>
            <w:hideMark/>
          </w:tcPr>
          <w:p w14:paraId="303538FB"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04D7B40D" w14:textId="77777777" w:rsidR="0097090C" w:rsidRPr="00971956" w:rsidRDefault="0097090C" w:rsidP="0097090C">
            <w:pPr>
              <w:jc w:val="right"/>
              <w:rPr>
                <w:rFonts w:cs="Arial"/>
                <w:color w:val="000000"/>
              </w:rPr>
            </w:pPr>
            <w:r w:rsidRPr="00971956">
              <w:rPr>
                <w:rFonts w:cs="Arial"/>
                <w:color w:val="000000"/>
              </w:rPr>
              <w:t>4,072</w:t>
            </w:r>
          </w:p>
        </w:tc>
        <w:tc>
          <w:tcPr>
            <w:tcW w:w="1267" w:type="dxa"/>
            <w:tcBorders>
              <w:top w:val="nil"/>
              <w:left w:val="nil"/>
              <w:bottom w:val="nil"/>
              <w:right w:val="nil"/>
            </w:tcBorders>
            <w:shd w:val="clear" w:color="auto" w:fill="auto"/>
            <w:vAlign w:val="center"/>
            <w:hideMark/>
          </w:tcPr>
          <w:p w14:paraId="62231968" w14:textId="77777777" w:rsidR="0097090C" w:rsidRPr="00971956" w:rsidRDefault="0097090C" w:rsidP="0097090C">
            <w:pPr>
              <w:jc w:val="right"/>
              <w:rPr>
                <w:rFonts w:cs="Arial"/>
                <w:color w:val="000000"/>
              </w:rPr>
            </w:pPr>
            <w:r w:rsidRPr="00971956">
              <w:rPr>
                <w:rFonts w:cs="Arial"/>
                <w:color w:val="000000"/>
              </w:rPr>
              <w:t>3,925</w:t>
            </w:r>
          </w:p>
        </w:tc>
      </w:tr>
      <w:tr w:rsidR="0097090C" w:rsidRPr="00971956" w14:paraId="437BD695" w14:textId="77777777" w:rsidTr="0097090C">
        <w:trPr>
          <w:trHeight w:val="255"/>
        </w:trPr>
        <w:tc>
          <w:tcPr>
            <w:tcW w:w="6095" w:type="dxa"/>
            <w:tcBorders>
              <w:top w:val="nil"/>
              <w:left w:val="nil"/>
              <w:bottom w:val="nil"/>
              <w:right w:val="nil"/>
            </w:tcBorders>
            <w:shd w:val="clear" w:color="auto" w:fill="auto"/>
            <w:vAlign w:val="center"/>
            <w:hideMark/>
          </w:tcPr>
          <w:p w14:paraId="4EC22DB9" w14:textId="77777777" w:rsidR="0097090C" w:rsidRPr="00971956" w:rsidRDefault="0097090C" w:rsidP="0097090C">
            <w:pPr>
              <w:jc w:val="both"/>
              <w:rPr>
                <w:rFonts w:cs="Arial"/>
                <w:color w:val="000000"/>
              </w:rPr>
            </w:pPr>
            <w:r w:rsidRPr="00971956">
              <w:rPr>
                <w:rFonts w:cs="Arial"/>
                <w:color w:val="000000"/>
              </w:rPr>
              <w:t>Other Income</w:t>
            </w:r>
          </w:p>
        </w:tc>
        <w:tc>
          <w:tcPr>
            <w:tcW w:w="731" w:type="dxa"/>
            <w:tcBorders>
              <w:top w:val="nil"/>
              <w:left w:val="nil"/>
              <w:bottom w:val="nil"/>
              <w:right w:val="nil"/>
            </w:tcBorders>
            <w:shd w:val="clear" w:color="auto" w:fill="auto"/>
            <w:vAlign w:val="center"/>
            <w:hideMark/>
          </w:tcPr>
          <w:p w14:paraId="0A60DFC3" w14:textId="77777777" w:rsidR="0097090C" w:rsidRPr="00971956" w:rsidRDefault="0097090C" w:rsidP="0097090C">
            <w:pPr>
              <w:jc w:val="center"/>
              <w:rPr>
                <w:rFonts w:cs="Arial"/>
                <w:color w:val="000000"/>
              </w:rPr>
            </w:pPr>
            <w:r w:rsidRPr="00971956">
              <w:rPr>
                <w:rFonts w:cs="Arial"/>
                <w:color w:val="000000"/>
              </w:rPr>
              <w:t>4</w:t>
            </w:r>
          </w:p>
        </w:tc>
        <w:tc>
          <w:tcPr>
            <w:tcW w:w="1267" w:type="dxa"/>
            <w:tcBorders>
              <w:top w:val="nil"/>
              <w:left w:val="nil"/>
              <w:bottom w:val="nil"/>
              <w:right w:val="nil"/>
            </w:tcBorders>
            <w:shd w:val="clear" w:color="000000" w:fill="D9D9D9"/>
            <w:vAlign w:val="center"/>
            <w:hideMark/>
          </w:tcPr>
          <w:p w14:paraId="4174EF3E" w14:textId="77777777" w:rsidR="0097090C" w:rsidRPr="00971956" w:rsidRDefault="0097090C" w:rsidP="0097090C">
            <w:pPr>
              <w:jc w:val="right"/>
              <w:rPr>
                <w:rFonts w:cs="Arial"/>
                <w:color w:val="000000"/>
              </w:rPr>
            </w:pPr>
            <w:r>
              <w:rPr>
                <w:rFonts w:cs="Arial"/>
                <w:color w:val="000000"/>
              </w:rPr>
              <w:t>5,482</w:t>
            </w:r>
          </w:p>
        </w:tc>
        <w:tc>
          <w:tcPr>
            <w:tcW w:w="1267" w:type="dxa"/>
            <w:tcBorders>
              <w:top w:val="nil"/>
              <w:left w:val="nil"/>
              <w:bottom w:val="nil"/>
              <w:right w:val="nil"/>
            </w:tcBorders>
            <w:shd w:val="clear" w:color="auto" w:fill="auto"/>
            <w:vAlign w:val="center"/>
            <w:hideMark/>
          </w:tcPr>
          <w:p w14:paraId="3E0AE83A" w14:textId="77777777" w:rsidR="0097090C" w:rsidRPr="00971956" w:rsidRDefault="0097090C" w:rsidP="0097090C">
            <w:pPr>
              <w:jc w:val="right"/>
              <w:rPr>
                <w:rFonts w:cs="Arial"/>
                <w:color w:val="000000"/>
              </w:rPr>
            </w:pPr>
            <w:r w:rsidRPr="00971956">
              <w:rPr>
                <w:rFonts w:cs="Arial"/>
                <w:color w:val="000000"/>
              </w:rPr>
              <w:t>4,773</w:t>
            </w:r>
          </w:p>
        </w:tc>
      </w:tr>
      <w:tr w:rsidR="0097090C" w:rsidRPr="00971956" w14:paraId="2689ED58"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00E3DFFC" w14:textId="77777777" w:rsidR="0097090C" w:rsidRPr="00971956" w:rsidRDefault="0097090C" w:rsidP="0097090C">
            <w:pPr>
              <w:rPr>
                <w:rFonts w:cs="Arial"/>
                <w:b/>
                <w:bCs/>
                <w:i/>
                <w:iCs/>
                <w:color w:val="000000"/>
              </w:rPr>
            </w:pPr>
            <w:r w:rsidRPr="00971956">
              <w:rPr>
                <w:rFonts w:cs="Arial"/>
                <w:b/>
                <w:bCs/>
                <w:i/>
                <w:iCs/>
                <w:color w:val="000000"/>
              </w:rPr>
              <w:t> </w:t>
            </w:r>
          </w:p>
        </w:tc>
        <w:tc>
          <w:tcPr>
            <w:tcW w:w="731" w:type="dxa"/>
            <w:tcBorders>
              <w:top w:val="single" w:sz="4" w:space="0" w:color="auto"/>
              <w:left w:val="nil"/>
              <w:bottom w:val="single" w:sz="4" w:space="0" w:color="auto"/>
              <w:right w:val="nil"/>
            </w:tcBorders>
            <w:shd w:val="clear" w:color="auto" w:fill="auto"/>
            <w:vAlign w:val="center"/>
            <w:hideMark/>
          </w:tcPr>
          <w:p w14:paraId="41146F75" w14:textId="77777777" w:rsidR="0097090C" w:rsidRPr="00971956" w:rsidRDefault="0097090C" w:rsidP="0097090C">
            <w:pPr>
              <w:rPr>
                <w:rFonts w:cs="Arial"/>
                <w:i/>
                <w:iCs/>
                <w:color w:val="000000"/>
              </w:rPr>
            </w:pPr>
            <w:r w:rsidRPr="00971956">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4804BC16" w14:textId="77777777" w:rsidR="0097090C" w:rsidRPr="00971956" w:rsidRDefault="0097090C" w:rsidP="0097090C">
            <w:pPr>
              <w:jc w:val="right"/>
              <w:rPr>
                <w:rFonts w:cs="Arial"/>
                <w:b/>
                <w:bCs/>
                <w:color w:val="000000"/>
              </w:rPr>
            </w:pPr>
            <w:r w:rsidRPr="00971956">
              <w:rPr>
                <w:rFonts w:cs="Arial"/>
                <w:b/>
                <w:bCs/>
                <w:color w:val="000000"/>
              </w:rPr>
              <w:t>123,472</w:t>
            </w:r>
          </w:p>
        </w:tc>
        <w:tc>
          <w:tcPr>
            <w:tcW w:w="1267" w:type="dxa"/>
            <w:tcBorders>
              <w:top w:val="single" w:sz="4" w:space="0" w:color="auto"/>
              <w:left w:val="nil"/>
              <w:bottom w:val="single" w:sz="4" w:space="0" w:color="auto"/>
              <w:right w:val="nil"/>
            </w:tcBorders>
            <w:shd w:val="clear" w:color="auto" w:fill="auto"/>
            <w:vAlign w:val="center"/>
            <w:hideMark/>
          </w:tcPr>
          <w:p w14:paraId="78B08276" w14:textId="77777777" w:rsidR="0097090C" w:rsidRPr="00971956" w:rsidRDefault="0097090C" w:rsidP="0097090C">
            <w:pPr>
              <w:jc w:val="right"/>
              <w:rPr>
                <w:rFonts w:cs="Arial"/>
                <w:b/>
                <w:bCs/>
                <w:color w:val="000000"/>
              </w:rPr>
            </w:pPr>
            <w:r w:rsidRPr="00971956">
              <w:rPr>
                <w:rFonts w:cs="Arial"/>
                <w:b/>
                <w:bCs/>
                <w:color w:val="000000"/>
              </w:rPr>
              <w:t>114,971</w:t>
            </w:r>
          </w:p>
        </w:tc>
      </w:tr>
      <w:tr w:rsidR="0097090C" w:rsidRPr="00971956" w14:paraId="6D32D856" w14:textId="77777777" w:rsidTr="0097090C">
        <w:trPr>
          <w:trHeight w:val="255"/>
        </w:trPr>
        <w:tc>
          <w:tcPr>
            <w:tcW w:w="6095" w:type="dxa"/>
            <w:tcBorders>
              <w:top w:val="nil"/>
              <w:left w:val="nil"/>
              <w:bottom w:val="nil"/>
              <w:right w:val="nil"/>
            </w:tcBorders>
            <w:shd w:val="clear" w:color="auto" w:fill="auto"/>
            <w:vAlign w:val="center"/>
            <w:hideMark/>
          </w:tcPr>
          <w:p w14:paraId="146301D8" w14:textId="77777777" w:rsidR="0097090C" w:rsidRPr="00971956" w:rsidRDefault="0097090C" w:rsidP="0097090C">
            <w:pPr>
              <w:rPr>
                <w:rFonts w:cs="Arial"/>
                <w:b/>
                <w:bCs/>
                <w:i/>
                <w:iCs/>
                <w:color w:val="000000"/>
              </w:rPr>
            </w:pPr>
          </w:p>
        </w:tc>
        <w:tc>
          <w:tcPr>
            <w:tcW w:w="731" w:type="dxa"/>
            <w:tcBorders>
              <w:top w:val="nil"/>
              <w:left w:val="nil"/>
              <w:bottom w:val="nil"/>
              <w:right w:val="nil"/>
            </w:tcBorders>
            <w:shd w:val="clear" w:color="auto" w:fill="auto"/>
            <w:vAlign w:val="center"/>
            <w:hideMark/>
          </w:tcPr>
          <w:p w14:paraId="354A69C7" w14:textId="77777777" w:rsidR="0097090C" w:rsidRPr="00971956" w:rsidRDefault="0097090C" w:rsidP="0097090C">
            <w:pPr>
              <w:rPr>
                <w:rFonts w:cs="Arial"/>
                <w:i/>
                <w:iCs/>
                <w:color w:val="000000"/>
              </w:rPr>
            </w:pPr>
          </w:p>
        </w:tc>
        <w:tc>
          <w:tcPr>
            <w:tcW w:w="1267" w:type="dxa"/>
            <w:tcBorders>
              <w:top w:val="nil"/>
              <w:left w:val="nil"/>
              <w:bottom w:val="nil"/>
              <w:right w:val="nil"/>
            </w:tcBorders>
            <w:shd w:val="clear" w:color="000000" w:fill="D9D9D9"/>
            <w:vAlign w:val="center"/>
            <w:hideMark/>
          </w:tcPr>
          <w:p w14:paraId="02C8B483" w14:textId="77777777" w:rsidR="0097090C" w:rsidRPr="00971956" w:rsidRDefault="0097090C" w:rsidP="0097090C">
            <w:pPr>
              <w:jc w:val="right"/>
              <w:rPr>
                <w:rFonts w:cs="Arial"/>
                <w:b/>
                <w:bCs/>
                <w:color w:val="000000"/>
              </w:rPr>
            </w:pPr>
            <w:r w:rsidRPr="00971956">
              <w:rPr>
                <w:rFonts w:cs="Arial"/>
                <w:b/>
                <w:bCs/>
                <w:color w:val="000000"/>
              </w:rPr>
              <w:t> </w:t>
            </w:r>
          </w:p>
        </w:tc>
        <w:tc>
          <w:tcPr>
            <w:tcW w:w="1267" w:type="dxa"/>
            <w:tcBorders>
              <w:top w:val="nil"/>
              <w:left w:val="nil"/>
              <w:bottom w:val="nil"/>
              <w:right w:val="nil"/>
            </w:tcBorders>
            <w:shd w:val="clear" w:color="auto" w:fill="auto"/>
            <w:vAlign w:val="center"/>
            <w:hideMark/>
          </w:tcPr>
          <w:p w14:paraId="68C1C86C" w14:textId="77777777" w:rsidR="0097090C" w:rsidRPr="00971956" w:rsidRDefault="0097090C" w:rsidP="0097090C">
            <w:pPr>
              <w:jc w:val="right"/>
              <w:rPr>
                <w:rFonts w:cs="Arial"/>
                <w:b/>
                <w:bCs/>
                <w:color w:val="000000"/>
              </w:rPr>
            </w:pPr>
          </w:p>
        </w:tc>
      </w:tr>
      <w:tr w:rsidR="0097090C" w:rsidRPr="00971956" w14:paraId="04BD610F" w14:textId="77777777" w:rsidTr="0097090C">
        <w:trPr>
          <w:trHeight w:val="255"/>
        </w:trPr>
        <w:tc>
          <w:tcPr>
            <w:tcW w:w="6095" w:type="dxa"/>
            <w:tcBorders>
              <w:top w:val="nil"/>
              <w:left w:val="nil"/>
              <w:bottom w:val="nil"/>
              <w:right w:val="nil"/>
            </w:tcBorders>
            <w:shd w:val="clear" w:color="auto" w:fill="auto"/>
            <w:vAlign w:val="center"/>
            <w:hideMark/>
          </w:tcPr>
          <w:p w14:paraId="52A24ACF" w14:textId="77777777" w:rsidR="0097090C" w:rsidRPr="00971956" w:rsidRDefault="0097090C" w:rsidP="0097090C">
            <w:pPr>
              <w:rPr>
                <w:rFonts w:cs="Arial"/>
                <w:b/>
                <w:bCs/>
                <w:color w:val="000000"/>
              </w:rPr>
            </w:pPr>
            <w:r w:rsidRPr="00971956">
              <w:rPr>
                <w:rFonts w:cs="Arial"/>
                <w:b/>
                <w:bCs/>
                <w:color w:val="000000"/>
              </w:rPr>
              <w:t>Expenses from transactions</w:t>
            </w:r>
          </w:p>
        </w:tc>
        <w:tc>
          <w:tcPr>
            <w:tcW w:w="731" w:type="dxa"/>
            <w:tcBorders>
              <w:top w:val="nil"/>
              <w:left w:val="nil"/>
              <w:bottom w:val="nil"/>
              <w:right w:val="nil"/>
            </w:tcBorders>
            <w:shd w:val="clear" w:color="auto" w:fill="auto"/>
            <w:vAlign w:val="center"/>
            <w:hideMark/>
          </w:tcPr>
          <w:p w14:paraId="371CD2DF"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67D28F86" w14:textId="77777777" w:rsidR="0097090C" w:rsidRPr="00971956" w:rsidRDefault="0097090C" w:rsidP="0097090C">
            <w:pPr>
              <w:jc w:val="right"/>
              <w:rPr>
                <w:rFonts w:cs="Arial"/>
                <w:color w:val="000000"/>
              </w:rPr>
            </w:pPr>
            <w:r w:rsidRPr="00971956">
              <w:rPr>
                <w:rFonts w:cs="Arial"/>
                <w:color w:val="000000"/>
              </w:rPr>
              <w:t> </w:t>
            </w:r>
          </w:p>
        </w:tc>
        <w:tc>
          <w:tcPr>
            <w:tcW w:w="1267" w:type="dxa"/>
            <w:tcBorders>
              <w:top w:val="nil"/>
              <w:left w:val="nil"/>
              <w:bottom w:val="nil"/>
              <w:right w:val="nil"/>
            </w:tcBorders>
            <w:shd w:val="clear" w:color="auto" w:fill="auto"/>
            <w:vAlign w:val="center"/>
            <w:hideMark/>
          </w:tcPr>
          <w:p w14:paraId="13D8F1B5" w14:textId="77777777" w:rsidR="0097090C" w:rsidRPr="00971956" w:rsidRDefault="0097090C" w:rsidP="0097090C">
            <w:pPr>
              <w:jc w:val="right"/>
              <w:rPr>
                <w:rFonts w:cs="Arial"/>
                <w:color w:val="000000"/>
              </w:rPr>
            </w:pPr>
          </w:p>
        </w:tc>
      </w:tr>
      <w:tr w:rsidR="0097090C" w:rsidRPr="00971956" w14:paraId="52D83F99" w14:textId="77777777" w:rsidTr="0097090C">
        <w:trPr>
          <w:trHeight w:val="255"/>
        </w:trPr>
        <w:tc>
          <w:tcPr>
            <w:tcW w:w="6095" w:type="dxa"/>
            <w:tcBorders>
              <w:top w:val="nil"/>
              <w:left w:val="nil"/>
              <w:bottom w:val="nil"/>
              <w:right w:val="nil"/>
            </w:tcBorders>
            <w:shd w:val="clear" w:color="auto" w:fill="auto"/>
            <w:vAlign w:val="center"/>
            <w:hideMark/>
          </w:tcPr>
          <w:p w14:paraId="704127AE" w14:textId="77777777" w:rsidR="0097090C" w:rsidRPr="00971956" w:rsidRDefault="0097090C" w:rsidP="0097090C">
            <w:pPr>
              <w:rPr>
                <w:rFonts w:cs="Arial"/>
                <w:color w:val="000000"/>
              </w:rPr>
            </w:pPr>
            <w:r w:rsidRPr="00971956">
              <w:rPr>
                <w:rFonts w:cs="Arial"/>
                <w:color w:val="000000"/>
              </w:rPr>
              <w:t>Employee Expenses</w:t>
            </w:r>
          </w:p>
        </w:tc>
        <w:tc>
          <w:tcPr>
            <w:tcW w:w="731" w:type="dxa"/>
            <w:tcBorders>
              <w:top w:val="nil"/>
              <w:left w:val="nil"/>
              <w:bottom w:val="nil"/>
              <w:right w:val="nil"/>
            </w:tcBorders>
            <w:shd w:val="clear" w:color="auto" w:fill="auto"/>
            <w:vAlign w:val="center"/>
            <w:hideMark/>
          </w:tcPr>
          <w:p w14:paraId="0E9C3700" w14:textId="77777777" w:rsidR="0097090C" w:rsidRPr="00971956" w:rsidRDefault="0097090C" w:rsidP="0097090C">
            <w:pPr>
              <w:jc w:val="center"/>
              <w:rPr>
                <w:rFonts w:cs="Arial"/>
                <w:color w:val="000000"/>
              </w:rPr>
            </w:pPr>
            <w:r w:rsidRPr="00971956">
              <w:rPr>
                <w:rFonts w:cs="Arial"/>
                <w:color w:val="000000"/>
              </w:rPr>
              <w:t>5(a)</w:t>
            </w:r>
          </w:p>
        </w:tc>
        <w:tc>
          <w:tcPr>
            <w:tcW w:w="1267" w:type="dxa"/>
            <w:tcBorders>
              <w:top w:val="nil"/>
              <w:left w:val="nil"/>
              <w:bottom w:val="nil"/>
              <w:right w:val="nil"/>
            </w:tcBorders>
            <w:shd w:val="clear" w:color="000000" w:fill="D9D9D9"/>
            <w:vAlign w:val="center"/>
            <w:hideMark/>
          </w:tcPr>
          <w:p w14:paraId="19F6A6FC" w14:textId="77777777" w:rsidR="0097090C" w:rsidRPr="00971956" w:rsidRDefault="0097090C" w:rsidP="0097090C">
            <w:pPr>
              <w:jc w:val="right"/>
              <w:rPr>
                <w:rFonts w:cs="Arial"/>
                <w:color w:val="000000"/>
              </w:rPr>
            </w:pPr>
            <w:r w:rsidRPr="00971956">
              <w:rPr>
                <w:rFonts w:cs="Arial"/>
                <w:color w:val="000000"/>
              </w:rPr>
              <w:t>(42,793)</w:t>
            </w:r>
          </w:p>
        </w:tc>
        <w:tc>
          <w:tcPr>
            <w:tcW w:w="1267" w:type="dxa"/>
            <w:tcBorders>
              <w:top w:val="nil"/>
              <w:left w:val="nil"/>
              <w:bottom w:val="nil"/>
              <w:right w:val="nil"/>
            </w:tcBorders>
            <w:shd w:val="clear" w:color="auto" w:fill="auto"/>
            <w:vAlign w:val="center"/>
            <w:hideMark/>
          </w:tcPr>
          <w:p w14:paraId="2670DCED" w14:textId="77777777" w:rsidR="0097090C" w:rsidRPr="00971956" w:rsidRDefault="0097090C" w:rsidP="0097090C">
            <w:pPr>
              <w:jc w:val="right"/>
              <w:rPr>
                <w:rFonts w:cs="Arial"/>
                <w:color w:val="000000"/>
              </w:rPr>
            </w:pPr>
            <w:r w:rsidRPr="00971956">
              <w:rPr>
                <w:rFonts w:cs="Arial"/>
                <w:color w:val="000000"/>
              </w:rPr>
              <w:t>(40,530)</w:t>
            </w:r>
          </w:p>
        </w:tc>
      </w:tr>
      <w:tr w:rsidR="0097090C" w:rsidRPr="00971956" w14:paraId="0FEA56D9" w14:textId="77777777" w:rsidTr="0097090C">
        <w:trPr>
          <w:trHeight w:val="255"/>
        </w:trPr>
        <w:tc>
          <w:tcPr>
            <w:tcW w:w="6095" w:type="dxa"/>
            <w:tcBorders>
              <w:top w:val="nil"/>
              <w:left w:val="nil"/>
              <w:bottom w:val="nil"/>
              <w:right w:val="nil"/>
            </w:tcBorders>
            <w:shd w:val="clear" w:color="auto" w:fill="auto"/>
            <w:vAlign w:val="center"/>
            <w:hideMark/>
          </w:tcPr>
          <w:p w14:paraId="4D0C9FB5" w14:textId="77777777" w:rsidR="0097090C" w:rsidRPr="00971956" w:rsidRDefault="0097090C" w:rsidP="0097090C">
            <w:pPr>
              <w:rPr>
                <w:rFonts w:cs="Arial"/>
                <w:color w:val="000000"/>
              </w:rPr>
            </w:pPr>
            <w:r w:rsidRPr="00971956">
              <w:rPr>
                <w:rFonts w:cs="Arial"/>
                <w:color w:val="000000"/>
              </w:rPr>
              <w:t>Cost of Goods Sold</w:t>
            </w:r>
          </w:p>
        </w:tc>
        <w:tc>
          <w:tcPr>
            <w:tcW w:w="731" w:type="dxa"/>
            <w:tcBorders>
              <w:top w:val="nil"/>
              <w:left w:val="nil"/>
              <w:bottom w:val="nil"/>
              <w:right w:val="nil"/>
            </w:tcBorders>
            <w:shd w:val="clear" w:color="auto" w:fill="auto"/>
            <w:vAlign w:val="center"/>
            <w:hideMark/>
          </w:tcPr>
          <w:p w14:paraId="7857B566"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57D6F14E" w14:textId="77777777" w:rsidR="0097090C" w:rsidRPr="00971956" w:rsidRDefault="0097090C" w:rsidP="0097090C">
            <w:pPr>
              <w:jc w:val="right"/>
              <w:rPr>
                <w:rFonts w:cs="Arial"/>
                <w:color w:val="000000"/>
              </w:rPr>
            </w:pPr>
            <w:r w:rsidRPr="00971956">
              <w:rPr>
                <w:rFonts w:cs="Arial"/>
                <w:color w:val="000000"/>
              </w:rPr>
              <w:t>(1,586)</w:t>
            </w:r>
          </w:p>
        </w:tc>
        <w:tc>
          <w:tcPr>
            <w:tcW w:w="1267" w:type="dxa"/>
            <w:tcBorders>
              <w:top w:val="nil"/>
              <w:left w:val="nil"/>
              <w:bottom w:val="nil"/>
              <w:right w:val="nil"/>
            </w:tcBorders>
            <w:shd w:val="clear" w:color="auto" w:fill="auto"/>
            <w:vAlign w:val="center"/>
            <w:hideMark/>
          </w:tcPr>
          <w:p w14:paraId="6BF422DD" w14:textId="77777777" w:rsidR="0097090C" w:rsidRPr="00971956" w:rsidRDefault="0097090C" w:rsidP="0097090C">
            <w:pPr>
              <w:jc w:val="right"/>
              <w:rPr>
                <w:rFonts w:cs="Arial"/>
                <w:color w:val="000000"/>
              </w:rPr>
            </w:pPr>
            <w:r w:rsidRPr="00971956">
              <w:rPr>
                <w:rFonts w:cs="Arial"/>
                <w:color w:val="000000"/>
              </w:rPr>
              <w:t>(1,626)</w:t>
            </w:r>
          </w:p>
        </w:tc>
      </w:tr>
      <w:tr w:rsidR="0097090C" w:rsidRPr="00971956" w14:paraId="7DC5A278" w14:textId="77777777" w:rsidTr="0097090C">
        <w:trPr>
          <w:trHeight w:val="255"/>
        </w:trPr>
        <w:tc>
          <w:tcPr>
            <w:tcW w:w="6095" w:type="dxa"/>
            <w:tcBorders>
              <w:top w:val="nil"/>
              <w:left w:val="nil"/>
              <w:bottom w:val="nil"/>
              <w:right w:val="nil"/>
            </w:tcBorders>
            <w:shd w:val="clear" w:color="auto" w:fill="auto"/>
            <w:vAlign w:val="center"/>
            <w:hideMark/>
          </w:tcPr>
          <w:p w14:paraId="2C127F4D" w14:textId="77777777" w:rsidR="0097090C" w:rsidRPr="00971956" w:rsidRDefault="0097090C" w:rsidP="0097090C">
            <w:pPr>
              <w:rPr>
                <w:rFonts w:cs="Arial"/>
                <w:color w:val="000000"/>
              </w:rPr>
            </w:pPr>
            <w:r w:rsidRPr="00971956">
              <w:rPr>
                <w:rFonts w:cs="Arial"/>
                <w:color w:val="000000"/>
              </w:rPr>
              <w:t>Finance Costs</w:t>
            </w:r>
          </w:p>
        </w:tc>
        <w:tc>
          <w:tcPr>
            <w:tcW w:w="731" w:type="dxa"/>
            <w:tcBorders>
              <w:top w:val="nil"/>
              <w:left w:val="nil"/>
              <w:bottom w:val="nil"/>
              <w:right w:val="nil"/>
            </w:tcBorders>
            <w:shd w:val="clear" w:color="auto" w:fill="auto"/>
            <w:vAlign w:val="center"/>
            <w:hideMark/>
          </w:tcPr>
          <w:p w14:paraId="5CAA76DA"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129E66C9" w14:textId="77777777" w:rsidR="0097090C" w:rsidRPr="00971956" w:rsidRDefault="0097090C" w:rsidP="0097090C">
            <w:pPr>
              <w:jc w:val="right"/>
              <w:rPr>
                <w:rFonts w:cs="Arial"/>
                <w:color w:val="000000"/>
              </w:rPr>
            </w:pPr>
            <w:r w:rsidRPr="00971956">
              <w:rPr>
                <w:rFonts w:cs="Arial"/>
                <w:color w:val="000000"/>
              </w:rPr>
              <w:t>(19)</w:t>
            </w:r>
          </w:p>
        </w:tc>
        <w:tc>
          <w:tcPr>
            <w:tcW w:w="1267" w:type="dxa"/>
            <w:tcBorders>
              <w:top w:val="nil"/>
              <w:left w:val="nil"/>
              <w:bottom w:val="nil"/>
              <w:right w:val="nil"/>
            </w:tcBorders>
            <w:shd w:val="clear" w:color="auto" w:fill="auto"/>
            <w:vAlign w:val="center"/>
            <w:hideMark/>
          </w:tcPr>
          <w:p w14:paraId="61D9DB79" w14:textId="77777777" w:rsidR="0097090C" w:rsidRPr="00971956" w:rsidRDefault="0097090C" w:rsidP="0097090C">
            <w:pPr>
              <w:jc w:val="right"/>
              <w:rPr>
                <w:rFonts w:cs="Arial"/>
                <w:color w:val="000000"/>
              </w:rPr>
            </w:pPr>
            <w:r w:rsidRPr="00971956">
              <w:rPr>
                <w:rFonts w:cs="Arial"/>
                <w:color w:val="000000"/>
              </w:rPr>
              <w:t>(19)</w:t>
            </w:r>
          </w:p>
        </w:tc>
      </w:tr>
      <w:tr w:rsidR="0097090C" w:rsidRPr="00971956" w14:paraId="66A67AB4" w14:textId="77777777" w:rsidTr="0097090C">
        <w:trPr>
          <w:trHeight w:val="255"/>
        </w:trPr>
        <w:tc>
          <w:tcPr>
            <w:tcW w:w="6095" w:type="dxa"/>
            <w:tcBorders>
              <w:top w:val="nil"/>
              <w:left w:val="nil"/>
              <w:bottom w:val="nil"/>
              <w:right w:val="nil"/>
            </w:tcBorders>
            <w:shd w:val="clear" w:color="auto" w:fill="auto"/>
            <w:vAlign w:val="center"/>
            <w:hideMark/>
          </w:tcPr>
          <w:p w14:paraId="21F6DCEB" w14:textId="77777777" w:rsidR="0097090C" w:rsidRPr="00971956" w:rsidRDefault="0097090C" w:rsidP="0097090C">
            <w:pPr>
              <w:rPr>
                <w:rFonts w:cs="Arial"/>
                <w:color w:val="000000"/>
              </w:rPr>
            </w:pPr>
            <w:r w:rsidRPr="00971956">
              <w:rPr>
                <w:rFonts w:cs="Arial"/>
                <w:color w:val="000000"/>
              </w:rPr>
              <w:t>Capital Asset Charge</w:t>
            </w:r>
          </w:p>
        </w:tc>
        <w:tc>
          <w:tcPr>
            <w:tcW w:w="731" w:type="dxa"/>
            <w:tcBorders>
              <w:top w:val="nil"/>
              <w:left w:val="nil"/>
              <w:bottom w:val="nil"/>
              <w:right w:val="nil"/>
            </w:tcBorders>
            <w:shd w:val="clear" w:color="auto" w:fill="auto"/>
            <w:vAlign w:val="center"/>
            <w:hideMark/>
          </w:tcPr>
          <w:p w14:paraId="1685D8A6" w14:textId="77777777" w:rsidR="0097090C" w:rsidRPr="00971956" w:rsidRDefault="0097090C" w:rsidP="0097090C">
            <w:pPr>
              <w:jc w:val="center"/>
              <w:rPr>
                <w:rFonts w:cs="Arial"/>
                <w:color w:val="000000"/>
              </w:rPr>
            </w:pPr>
            <w:r w:rsidRPr="00971956">
              <w:rPr>
                <w:rFonts w:cs="Arial"/>
                <w:color w:val="000000"/>
              </w:rPr>
              <w:t>1(l)</w:t>
            </w:r>
          </w:p>
        </w:tc>
        <w:tc>
          <w:tcPr>
            <w:tcW w:w="1267" w:type="dxa"/>
            <w:tcBorders>
              <w:top w:val="nil"/>
              <w:left w:val="nil"/>
              <w:bottom w:val="nil"/>
              <w:right w:val="nil"/>
            </w:tcBorders>
            <w:shd w:val="clear" w:color="000000" w:fill="D9D9D9"/>
            <w:vAlign w:val="center"/>
            <w:hideMark/>
          </w:tcPr>
          <w:p w14:paraId="27D51167" w14:textId="77777777" w:rsidR="0097090C" w:rsidRPr="00971956" w:rsidRDefault="0097090C" w:rsidP="0097090C">
            <w:pPr>
              <w:jc w:val="right"/>
              <w:rPr>
                <w:rFonts w:cs="Arial"/>
                <w:color w:val="000000"/>
              </w:rPr>
            </w:pPr>
            <w:r w:rsidRPr="00971956">
              <w:rPr>
                <w:rFonts w:cs="Arial"/>
                <w:color w:val="000000"/>
              </w:rPr>
              <w:t>(38,122)</w:t>
            </w:r>
          </w:p>
        </w:tc>
        <w:tc>
          <w:tcPr>
            <w:tcW w:w="1267" w:type="dxa"/>
            <w:tcBorders>
              <w:top w:val="nil"/>
              <w:left w:val="nil"/>
              <w:bottom w:val="nil"/>
              <w:right w:val="nil"/>
            </w:tcBorders>
            <w:shd w:val="clear" w:color="auto" w:fill="auto"/>
            <w:vAlign w:val="center"/>
            <w:hideMark/>
          </w:tcPr>
          <w:p w14:paraId="34095FA1" w14:textId="77777777" w:rsidR="0097090C" w:rsidRPr="00971956" w:rsidRDefault="0097090C" w:rsidP="0097090C">
            <w:pPr>
              <w:jc w:val="right"/>
              <w:rPr>
                <w:rFonts w:cs="Arial"/>
                <w:color w:val="000000"/>
              </w:rPr>
            </w:pPr>
            <w:r w:rsidRPr="00971956">
              <w:rPr>
                <w:rFonts w:cs="Arial"/>
                <w:color w:val="000000"/>
              </w:rPr>
              <w:t>(38,134)</w:t>
            </w:r>
          </w:p>
        </w:tc>
      </w:tr>
      <w:tr w:rsidR="0097090C" w:rsidRPr="00971956" w14:paraId="46A765EA" w14:textId="77777777" w:rsidTr="0097090C">
        <w:trPr>
          <w:trHeight w:val="255"/>
        </w:trPr>
        <w:tc>
          <w:tcPr>
            <w:tcW w:w="6095" w:type="dxa"/>
            <w:tcBorders>
              <w:top w:val="nil"/>
              <w:left w:val="nil"/>
              <w:bottom w:val="nil"/>
              <w:right w:val="nil"/>
            </w:tcBorders>
            <w:shd w:val="clear" w:color="auto" w:fill="auto"/>
            <w:vAlign w:val="center"/>
            <w:hideMark/>
          </w:tcPr>
          <w:p w14:paraId="1BBE35B7" w14:textId="77777777" w:rsidR="0097090C" w:rsidRPr="00971956" w:rsidRDefault="0097090C" w:rsidP="0097090C">
            <w:pPr>
              <w:rPr>
                <w:rFonts w:cs="Arial"/>
                <w:color w:val="000000"/>
              </w:rPr>
            </w:pPr>
            <w:r w:rsidRPr="00971956">
              <w:rPr>
                <w:rFonts w:cs="Arial"/>
                <w:color w:val="000000"/>
              </w:rPr>
              <w:t>Buildings and Facilities</w:t>
            </w:r>
          </w:p>
        </w:tc>
        <w:tc>
          <w:tcPr>
            <w:tcW w:w="731" w:type="dxa"/>
            <w:tcBorders>
              <w:top w:val="nil"/>
              <w:left w:val="nil"/>
              <w:bottom w:val="nil"/>
              <w:right w:val="nil"/>
            </w:tcBorders>
            <w:shd w:val="clear" w:color="auto" w:fill="auto"/>
            <w:vAlign w:val="center"/>
            <w:hideMark/>
          </w:tcPr>
          <w:p w14:paraId="6B1F7DA7" w14:textId="77777777" w:rsidR="0097090C" w:rsidRPr="00971956"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2245725" w14:textId="77777777" w:rsidR="0097090C" w:rsidRPr="00971956" w:rsidRDefault="0097090C" w:rsidP="0097090C">
            <w:pPr>
              <w:jc w:val="right"/>
              <w:rPr>
                <w:rFonts w:cs="Arial"/>
                <w:color w:val="000000"/>
              </w:rPr>
            </w:pPr>
            <w:r w:rsidRPr="00971956">
              <w:rPr>
                <w:rFonts w:cs="Arial"/>
                <w:color w:val="000000"/>
              </w:rPr>
              <w:t>(13,339)</w:t>
            </w:r>
          </w:p>
        </w:tc>
        <w:tc>
          <w:tcPr>
            <w:tcW w:w="1267" w:type="dxa"/>
            <w:tcBorders>
              <w:top w:val="nil"/>
              <w:left w:val="nil"/>
              <w:bottom w:val="nil"/>
              <w:right w:val="nil"/>
            </w:tcBorders>
            <w:shd w:val="clear" w:color="auto" w:fill="auto"/>
            <w:vAlign w:val="center"/>
            <w:hideMark/>
          </w:tcPr>
          <w:p w14:paraId="372FFA70" w14:textId="77777777" w:rsidR="0097090C" w:rsidRPr="00971956" w:rsidRDefault="0097090C" w:rsidP="0097090C">
            <w:pPr>
              <w:jc w:val="right"/>
              <w:rPr>
                <w:rFonts w:cs="Arial"/>
                <w:color w:val="000000"/>
              </w:rPr>
            </w:pPr>
            <w:r w:rsidRPr="00971956">
              <w:rPr>
                <w:rFonts w:cs="Arial"/>
                <w:color w:val="000000"/>
              </w:rPr>
              <w:t>(12,446)</w:t>
            </w:r>
          </w:p>
        </w:tc>
      </w:tr>
      <w:tr w:rsidR="0097090C" w:rsidRPr="00971956" w14:paraId="14D3033B" w14:textId="77777777" w:rsidTr="0097090C">
        <w:trPr>
          <w:trHeight w:val="255"/>
        </w:trPr>
        <w:tc>
          <w:tcPr>
            <w:tcW w:w="6095" w:type="dxa"/>
            <w:tcBorders>
              <w:top w:val="nil"/>
              <w:left w:val="nil"/>
              <w:bottom w:val="nil"/>
              <w:right w:val="nil"/>
            </w:tcBorders>
            <w:shd w:val="clear" w:color="auto" w:fill="auto"/>
            <w:vAlign w:val="center"/>
            <w:hideMark/>
          </w:tcPr>
          <w:p w14:paraId="1EFDA9F0" w14:textId="77777777" w:rsidR="0097090C" w:rsidRPr="00971956" w:rsidRDefault="0097090C" w:rsidP="0097090C">
            <w:pPr>
              <w:rPr>
                <w:rFonts w:cs="Arial"/>
                <w:color w:val="000000"/>
              </w:rPr>
            </w:pPr>
            <w:r w:rsidRPr="00971956">
              <w:rPr>
                <w:rFonts w:cs="Arial"/>
                <w:color w:val="000000"/>
              </w:rPr>
              <w:t>Consumables and Corporate Expenses</w:t>
            </w:r>
          </w:p>
        </w:tc>
        <w:tc>
          <w:tcPr>
            <w:tcW w:w="731" w:type="dxa"/>
            <w:tcBorders>
              <w:top w:val="nil"/>
              <w:left w:val="nil"/>
              <w:bottom w:val="nil"/>
              <w:right w:val="nil"/>
            </w:tcBorders>
            <w:shd w:val="clear" w:color="auto" w:fill="auto"/>
            <w:vAlign w:val="center"/>
            <w:hideMark/>
          </w:tcPr>
          <w:p w14:paraId="046D0D32" w14:textId="77777777" w:rsidR="0097090C" w:rsidRPr="00971956"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669FE2B2" w14:textId="77777777" w:rsidR="0097090C" w:rsidRPr="00971956" w:rsidRDefault="0097090C" w:rsidP="0097090C">
            <w:pPr>
              <w:jc w:val="right"/>
              <w:rPr>
                <w:rFonts w:cs="Arial"/>
                <w:color w:val="000000"/>
              </w:rPr>
            </w:pPr>
            <w:r w:rsidRPr="00971956">
              <w:rPr>
                <w:rFonts w:cs="Arial"/>
                <w:color w:val="000000"/>
              </w:rPr>
              <w:t>(10,201)</w:t>
            </w:r>
          </w:p>
        </w:tc>
        <w:tc>
          <w:tcPr>
            <w:tcW w:w="1267" w:type="dxa"/>
            <w:tcBorders>
              <w:top w:val="nil"/>
              <w:left w:val="nil"/>
              <w:bottom w:val="nil"/>
              <w:right w:val="nil"/>
            </w:tcBorders>
            <w:shd w:val="clear" w:color="auto" w:fill="auto"/>
            <w:vAlign w:val="center"/>
            <w:hideMark/>
          </w:tcPr>
          <w:p w14:paraId="1EC8B4F6" w14:textId="77777777" w:rsidR="0097090C" w:rsidRPr="00971956" w:rsidRDefault="0097090C" w:rsidP="0097090C">
            <w:pPr>
              <w:jc w:val="right"/>
              <w:rPr>
                <w:rFonts w:cs="Arial"/>
                <w:color w:val="000000"/>
              </w:rPr>
            </w:pPr>
            <w:r w:rsidRPr="00971956">
              <w:rPr>
                <w:rFonts w:cs="Arial"/>
                <w:color w:val="000000"/>
              </w:rPr>
              <w:t>(8,700)</w:t>
            </w:r>
          </w:p>
        </w:tc>
      </w:tr>
      <w:tr w:rsidR="0097090C" w:rsidRPr="00971956" w14:paraId="0E3FD8E7" w14:textId="77777777" w:rsidTr="0097090C">
        <w:trPr>
          <w:trHeight w:val="255"/>
        </w:trPr>
        <w:tc>
          <w:tcPr>
            <w:tcW w:w="6095" w:type="dxa"/>
            <w:tcBorders>
              <w:top w:val="nil"/>
              <w:left w:val="nil"/>
              <w:bottom w:val="nil"/>
              <w:right w:val="nil"/>
            </w:tcBorders>
            <w:shd w:val="clear" w:color="auto" w:fill="auto"/>
            <w:vAlign w:val="center"/>
            <w:hideMark/>
          </w:tcPr>
          <w:p w14:paraId="7E2FBB4E" w14:textId="77777777" w:rsidR="0097090C" w:rsidRPr="00971956" w:rsidRDefault="0097090C" w:rsidP="0097090C">
            <w:pPr>
              <w:rPr>
                <w:rFonts w:cs="Arial"/>
                <w:color w:val="000000"/>
              </w:rPr>
            </w:pPr>
            <w:r w:rsidRPr="00971956">
              <w:rPr>
                <w:rFonts w:cs="Arial"/>
                <w:color w:val="000000"/>
              </w:rPr>
              <w:t>Other Operating Expenses</w:t>
            </w:r>
          </w:p>
        </w:tc>
        <w:tc>
          <w:tcPr>
            <w:tcW w:w="731" w:type="dxa"/>
            <w:tcBorders>
              <w:top w:val="nil"/>
              <w:left w:val="nil"/>
              <w:bottom w:val="nil"/>
              <w:right w:val="nil"/>
            </w:tcBorders>
            <w:shd w:val="clear" w:color="auto" w:fill="auto"/>
            <w:vAlign w:val="center"/>
            <w:hideMark/>
          </w:tcPr>
          <w:p w14:paraId="0831AD7B" w14:textId="77777777" w:rsidR="0097090C" w:rsidRPr="00971956" w:rsidRDefault="0097090C" w:rsidP="0097090C">
            <w:pPr>
              <w:jc w:val="center"/>
              <w:rPr>
                <w:rFonts w:cs="Arial"/>
                <w:color w:val="000000"/>
              </w:rPr>
            </w:pPr>
            <w:r w:rsidRPr="00971956">
              <w:rPr>
                <w:rFonts w:cs="Arial"/>
                <w:color w:val="000000"/>
              </w:rPr>
              <w:t>5(b)</w:t>
            </w:r>
          </w:p>
        </w:tc>
        <w:tc>
          <w:tcPr>
            <w:tcW w:w="1267" w:type="dxa"/>
            <w:tcBorders>
              <w:top w:val="nil"/>
              <w:left w:val="nil"/>
              <w:bottom w:val="nil"/>
              <w:right w:val="nil"/>
            </w:tcBorders>
            <w:shd w:val="clear" w:color="000000" w:fill="D9D9D9"/>
            <w:vAlign w:val="center"/>
            <w:hideMark/>
          </w:tcPr>
          <w:p w14:paraId="74D8EAD2" w14:textId="77777777" w:rsidR="0097090C" w:rsidRPr="00971956" w:rsidRDefault="0097090C" w:rsidP="0097090C">
            <w:pPr>
              <w:jc w:val="right"/>
              <w:rPr>
                <w:rFonts w:cs="Arial"/>
                <w:color w:val="000000"/>
              </w:rPr>
            </w:pPr>
            <w:r w:rsidRPr="00971956">
              <w:rPr>
                <w:rFonts w:cs="Arial"/>
                <w:color w:val="000000"/>
              </w:rPr>
              <w:t>(11,237)</w:t>
            </w:r>
          </w:p>
        </w:tc>
        <w:tc>
          <w:tcPr>
            <w:tcW w:w="1267" w:type="dxa"/>
            <w:tcBorders>
              <w:top w:val="nil"/>
              <w:left w:val="nil"/>
              <w:bottom w:val="nil"/>
              <w:right w:val="nil"/>
            </w:tcBorders>
            <w:shd w:val="clear" w:color="auto" w:fill="auto"/>
            <w:vAlign w:val="center"/>
            <w:hideMark/>
          </w:tcPr>
          <w:p w14:paraId="40B581C2" w14:textId="77777777" w:rsidR="0097090C" w:rsidRPr="00971956" w:rsidRDefault="0097090C" w:rsidP="0097090C">
            <w:pPr>
              <w:jc w:val="right"/>
              <w:rPr>
                <w:rFonts w:cs="Arial"/>
                <w:color w:val="000000"/>
              </w:rPr>
            </w:pPr>
            <w:r w:rsidRPr="00971956">
              <w:rPr>
                <w:rFonts w:cs="Arial"/>
                <w:color w:val="000000"/>
              </w:rPr>
              <w:t>(9,020)</w:t>
            </w:r>
          </w:p>
        </w:tc>
      </w:tr>
      <w:tr w:rsidR="0097090C" w:rsidRPr="00971956" w14:paraId="1F652D89"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4270DF33" w14:textId="77777777" w:rsidR="0097090C" w:rsidRPr="00971956" w:rsidRDefault="0097090C" w:rsidP="0097090C">
            <w:pPr>
              <w:rPr>
                <w:rFonts w:cs="Arial"/>
                <w:b/>
                <w:bCs/>
                <w:i/>
                <w:iCs/>
                <w:color w:val="000000"/>
              </w:rPr>
            </w:pPr>
            <w:r w:rsidRPr="00971956">
              <w:rPr>
                <w:rFonts w:cs="Arial"/>
                <w:b/>
                <w:bCs/>
                <w:i/>
                <w:iCs/>
                <w:color w:val="000000"/>
              </w:rPr>
              <w:t> </w:t>
            </w:r>
          </w:p>
        </w:tc>
        <w:tc>
          <w:tcPr>
            <w:tcW w:w="731" w:type="dxa"/>
            <w:tcBorders>
              <w:top w:val="single" w:sz="4" w:space="0" w:color="auto"/>
              <w:left w:val="nil"/>
              <w:bottom w:val="single" w:sz="4" w:space="0" w:color="auto"/>
              <w:right w:val="nil"/>
            </w:tcBorders>
            <w:shd w:val="clear" w:color="auto" w:fill="auto"/>
            <w:vAlign w:val="center"/>
            <w:hideMark/>
          </w:tcPr>
          <w:p w14:paraId="7F2F73BA" w14:textId="77777777" w:rsidR="0097090C" w:rsidRPr="00971956" w:rsidRDefault="0097090C" w:rsidP="0097090C">
            <w:pPr>
              <w:rPr>
                <w:rFonts w:cs="Arial"/>
                <w:i/>
                <w:iCs/>
                <w:color w:val="000000"/>
              </w:rPr>
            </w:pPr>
            <w:r w:rsidRPr="00971956">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5A779C5B" w14:textId="77777777" w:rsidR="0097090C" w:rsidRPr="00971956" w:rsidRDefault="0097090C" w:rsidP="0097090C">
            <w:pPr>
              <w:jc w:val="right"/>
              <w:rPr>
                <w:rFonts w:cs="Arial"/>
                <w:b/>
                <w:bCs/>
                <w:color w:val="000000"/>
              </w:rPr>
            </w:pPr>
            <w:r w:rsidRPr="00971956">
              <w:rPr>
                <w:rFonts w:cs="Arial"/>
                <w:b/>
                <w:bCs/>
                <w:color w:val="000000"/>
              </w:rPr>
              <w:t>(117,297)</w:t>
            </w:r>
          </w:p>
        </w:tc>
        <w:tc>
          <w:tcPr>
            <w:tcW w:w="1267" w:type="dxa"/>
            <w:tcBorders>
              <w:top w:val="single" w:sz="4" w:space="0" w:color="auto"/>
              <w:left w:val="nil"/>
              <w:bottom w:val="single" w:sz="4" w:space="0" w:color="auto"/>
              <w:right w:val="nil"/>
            </w:tcBorders>
            <w:shd w:val="clear" w:color="auto" w:fill="auto"/>
            <w:vAlign w:val="center"/>
            <w:hideMark/>
          </w:tcPr>
          <w:p w14:paraId="39B63D94" w14:textId="77777777" w:rsidR="0097090C" w:rsidRPr="00971956" w:rsidRDefault="0097090C" w:rsidP="0097090C">
            <w:pPr>
              <w:jc w:val="right"/>
              <w:rPr>
                <w:rFonts w:cs="Arial"/>
                <w:b/>
                <w:bCs/>
                <w:color w:val="000000"/>
              </w:rPr>
            </w:pPr>
            <w:r w:rsidRPr="00971956">
              <w:rPr>
                <w:rFonts w:cs="Arial"/>
                <w:b/>
                <w:bCs/>
                <w:color w:val="000000"/>
              </w:rPr>
              <w:t>(110,475)</w:t>
            </w:r>
          </w:p>
        </w:tc>
      </w:tr>
      <w:tr w:rsidR="0097090C" w:rsidRPr="00971956" w14:paraId="09B51157" w14:textId="77777777" w:rsidTr="0097090C">
        <w:trPr>
          <w:trHeight w:val="255"/>
        </w:trPr>
        <w:tc>
          <w:tcPr>
            <w:tcW w:w="6095" w:type="dxa"/>
            <w:tcBorders>
              <w:top w:val="nil"/>
              <w:left w:val="nil"/>
              <w:bottom w:val="nil"/>
              <w:right w:val="nil"/>
            </w:tcBorders>
            <w:shd w:val="clear" w:color="auto" w:fill="auto"/>
            <w:vAlign w:val="center"/>
            <w:hideMark/>
          </w:tcPr>
          <w:p w14:paraId="0790A149" w14:textId="77777777" w:rsidR="0097090C" w:rsidRPr="00971956" w:rsidRDefault="0097090C" w:rsidP="0097090C">
            <w:pPr>
              <w:rPr>
                <w:rFonts w:cs="Arial"/>
                <w:b/>
                <w:bCs/>
                <w:color w:val="000000"/>
              </w:rPr>
            </w:pPr>
          </w:p>
        </w:tc>
        <w:tc>
          <w:tcPr>
            <w:tcW w:w="731" w:type="dxa"/>
            <w:tcBorders>
              <w:top w:val="nil"/>
              <w:left w:val="nil"/>
              <w:bottom w:val="nil"/>
              <w:right w:val="nil"/>
            </w:tcBorders>
            <w:shd w:val="clear" w:color="auto" w:fill="auto"/>
            <w:vAlign w:val="center"/>
            <w:hideMark/>
          </w:tcPr>
          <w:p w14:paraId="5288300E" w14:textId="77777777" w:rsidR="0097090C" w:rsidRPr="00971956" w:rsidRDefault="0097090C" w:rsidP="0097090C">
            <w:pPr>
              <w:rPr>
                <w:rFonts w:cs="Arial"/>
                <w:color w:val="000000"/>
              </w:rPr>
            </w:pPr>
          </w:p>
        </w:tc>
        <w:tc>
          <w:tcPr>
            <w:tcW w:w="1267" w:type="dxa"/>
            <w:tcBorders>
              <w:top w:val="nil"/>
              <w:left w:val="nil"/>
              <w:bottom w:val="nil"/>
              <w:right w:val="nil"/>
            </w:tcBorders>
            <w:shd w:val="clear" w:color="000000" w:fill="D9D9D9"/>
            <w:vAlign w:val="center"/>
            <w:hideMark/>
          </w:tcPr>
          <w:p w14:paraId="4DA86E50" w14:textId="77777777" w:rsidR="0097090C" w:rsidRPr="00971956" w:rsidRDefault="0097090C" w:rsidP="0097090C">
            <w:pPr>
              <w:jc w:val="right"/>
              <w:rPr>
                <w:rFonts w:cs="Arial"/>
                <w:b/>
                <w:bCs/>
                <w:color w:val="000000"/>
              </w:rPr>
            </w:pPr>
            <w:r w:rsidRPr="00971956">
              <w:rPr>
                <w:rFonts w:cs="Arial"/>
                <w:b/>
                <w:bCs/>
                <w:color w:val="000000"/>
              </w:rPr>
              <w:t> </w:t>
            </w:r>
          </w:p>
        </w:tc>
        <w:tc>
          <w:tcPr>
            <w:tcW w:w="1267" w:type="dxa"/>
            <w:tcBorders>
              <w:top w:val="nil"/>
              <w:left w:val="nil"/>
              <w:bottom w:val="nil"/>
              <w:right w:val="nil"/>
            </w:tcBorders>
            <w:shd w:val="clear" w:color="auto" w:fill="auto"/>
            <w:vAlign w:val="center"/>
            <w:hideMark/>
          </w:tcPr>
          <w:p w14:paraId="519CDC1C" w14:textId="77777777" w:rsidR="0097090C" w:rsidRPr="00971956" w:rsidRDefault="0097090C" w:rsidP="0097090C">
            <w:pPr>
              <w:jc w:val="right"/>
              <w:rPr>
                <w:rFonts w:cs="Arial"/>
                <w:b/>
                <w:bCs/>
                <w:color w:val="000000"/>
              </w:rPr>
            </w:pPr>
          </w:p>
        </w:tc>
      </w:tr>
      <w:tr w:rsidR="0097090C" w:rsidRPr="00971956" w14:paraId="2F889275"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0266F10E" w14:textId="77777777" w:rsidR="0097090C" w:rsidRPr="00971956" w:rsidRDefault="0097090C" w:rsidP="0097090C">
            <w:pPr>
              <w:rPr>
                <w:rFonts w:cs="Arial"/>
                <w:b/>
                <w:bCs/>
                <w:color w:val="000000"/>
              </w:rPr>
            </w:pPr>
            <w:r w:rsidRPr="00971956">
              <w:rPr>
                <w:rFonts w:cs="Arial"/>
                <w:b/>
                <w:bCs/>
                <w:color w:val="000000"/>
              </w:rPr>
              <w:t>Net result before depreciation</w:t>
            </w:r>
          </w:p>
        </w:tc>
        <w:tc>
          <w:tcPr>
            <w:tcW w:w="731" w:type="dxa"/>
            <w:tcBorders>
              <w:top w:val="single" w:sz="4" w:space="0" w:color="auto"/>
              <w:left w:val="nil"/>
              <w:bottom w:val="single" w:sz="4" w:space="0" w:color="auto"/>
              <w:right w:val="nil"/>
            </w:tcBorders>
            <w:shd w:val="clear" w:color="auto" w:fill="auto"/>
            <w:vAlign w:val="center"/>
            <w:hideMark/>
          </w:tcPr>
          <w:p w14:paraId="423A4D46" w14:textId="77777777" w:rsidR="0097090C" w:rsidRPr="00971956" w:rsidRDefault="0097090C" w:rsidP="0097090C">
            <w:pPr>
              <w:rPr>
                <w:rFonts w:cs="Arial"/>
                <w:i/>
                <w:iCs/>
                <w:color w:val="000000"/>
              </w:rPr>
            </w:pPr>
            <w:r w:rsidRPr="00971956">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51B35032" w14:textId="77777777" w:rsidR="0097090C" w:rsidRPr="00971956" w:rsidRDefault="0097090C" w:rsidP="0097090C">
            <w:pPr>
              <w:jc w:val="right"/>
              <w:rPr>
                <w:rFonts w:cs="Arial"/>
                <w:b/>
                <w:bCs/>
                <w:color w:val="000000"/>
              </w:rPr>
            </w:pPr>
            <w:r w:rsidRPr="00971956">
              <w:rPr>
                <w:rFonts w:cs="Arial"/>
                <w:b/>
                <w:bCs/>
                <w:color w:val="000000"/>
              </w:rPr>
              <w:t>6,175</w:t>
            </w:r>
          </w:p>
        </w:tc>
        <w:tc>
          <w:tcPr>
            <w:tcW w:w="1267" w:type="dxa"/>
            <w:tcBorders>
              <w:top w:val="single" w:sz="4" w:space="0" w:color="auto"/>
              <w:left w:val="nil"/>
              <w:bottom w:val="single" w:sz="4" w:space="0" w:color="auto"/>
              <w:right w:val="nil"/>
            </w:tcBorders>
            <w:shd w:val="clear" w:color="auto" w:fill="auto"/>
            <w:vAlign w:val="center"/>
            <w:hideMark/>
          </w:tcPr>
          <w:p w14:paraId="67186FDE" w14:textId="77777777" w:rsidR="0097090C" w:rsidRPr="00971956" w:rsidRDefault="0097090C" w:rsidP="0097090C">
            <w:pPr>
              <w:jc w:val="right"/>
              <w:rPr>
                <w:rFonts w:cs="Arial"/>
                <w:b/>
                <w:bCs/>
                <w:color w:val="000000"/>
              </w:rPr>
            </w:pPr>
            <w:r w:rsidRPr="00971956">
              <w:rPr>
                <w:rFonts w:cs="Arial"/>
                <w:b/>
                <w:bCs/>
                <w:color w:val="000000"/>
              </w:rPr>
              <w:t>4,496</w:t>
            </w:r>
          </w:p>
        </w:tc>
      </w:tr>
      <w:tr w:rsidR="0097090C" w:rsidRPr="00971956" w14:paraId="61BDD0A2" w14:textId="77777777" w:rsidTr="0097090C">
        <w:trPr>
          <w:trHeight w:val="255"/>
        </w:trPr>
        <w:tc>
          <w:tcPr>
            <w:tcW w:w="6095" w:type="dxa"/>
            <w:tcBorders>
              <w:top w:val="nil"/>
              <w:left w:val="nil"/>
              <w:bottom w:val="nil"/>
              <w:right w:val="nil"/>
            </w:tcBorders>
            <w:shd w:val="clear" w:color="auto" w:fill="auto"/>
            <w:vAlign w:val="center"/>
            <w:hideMark/>
          </w:tcPr>
          <w:p w14:paraId="2567612E" w14:textId="77777777" w:rsidR="0097090C" w:rsidRPr="00971956"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0A07F0EA" w14:textId="77777777" w:rsidR="0097090C" w:rsidRPr="00971956" w:rsidRDefault="0097090C" w:rsidP="0097090C">
            <w:pPr>
              <w:rPr>
                <w:rFonts w:cs="Arial"/>
                <w:color w:val="000000"/>
              </w:rPr>
            </w:pPr>
          </w:p>
        </w:tc>
        <w:tc>
          <w:tcPr>
            <w:tcW w:w="1267" w:type="dxa"/>
            <w:tcBorders>
              <w:top w:val="nil"/>
              <w:left w:val="nil"/>
              <w:bottom w:val="nil"/>
              <w:right w:val="nil"/>
            </w:tcBorders>
            <w:shd w:val="clear" w:color="000000" w:fill="D9D9D9"/>
            <w:vAlign w:val="center"/>
            <w:hideMark/>
          </w:tcPr>
          <w:p w14:paraId="6DB1F442" w14:textId="77777777" w:rsidR="0097090C" w:rsidRPr="00971956" w:rsidRDefault="0097090C" w:rsidP="0097090C">
            <w:pPr>
              <w:jc w:val="right"/>
              <w:rPr>
                <w:rFonts w:cs="Arial"/>
                <w:b/>
                <w:bCs/>
                <w:color w:val="000000"/>
              </w:rPr>
            </w:pPr>
            <w:r w:rsidRPr="00971956">
              <w:rPr>
                <w:rFonts w:cs="Arial"/>
                <w:b/>
                <w:bCs/>
                <w:color w:val="000000"/>
              </w:rPr>
              <w:t> </w:t>
            </w:r>
          </w:p>
        </w:tc>
        <w:tc>
          <w:tcPr>
            <w:tcW w:w="1267" w:type="dxa"/>
            <w:tcBorders>
              <w:top w:val="nil"/>
              <w:left w:val="nil"/>
              <w:bottom w:val="nil"/>
              <w:right w:val="nil"/>
            </w:tcBorders>
            <w:shd w:val="clear" w:color="auto" w:fill="auto"/>
            <w:vAlign w:val="center"/>
            <w:hideMark/>
          </w:tcPr>
          <w:p w14:paraId="5EF46B1B" w14:textId="77777777" w:rsidR="0097090C" w:rsidRPr="00971956" w:rsidRDefault="0097090C" w:rsidP="0097090C">
            <w:pPr>
              <w:jc w:val="right"/>
              <w:rPr>
                <w:rFonts w:cs="Arial"/>
                <w:b/>
                <w:bCs/>
                <w:color w:val="000000"/>
              </w:rPr>
            </w:pPr>
          </w:p>
        </w:tc>
      </w:tr>
      <w:tr w:rsidR="0097090C" w:rsidRPr="00971956" w14:paraId="4532BBCA" w14:textId="77777777" w:rsidTr="0097090C">
        <w:trPr>
          <w:trHeight w:val="255"/>
        </w:trPr>
        <w:tc>
          <w:tcPr>
            <w:tcW w:w="6095" w:type="dxa"/>
            <w:tcBorders>
              <w:top w:val="nil"/>
              <w:left w:val="nil"/>
              <w:bottom w:val="nil"/>
              <w:right w:val="nil"/>
            </w:tcBorders>
            <w:shd w:val="clear" w:color="auto" w:fill="auto"/>
            <w:vAlign w:val="center"/>
            <w:hideMark/>
          </w:tcPr>
          <w:p w14:paraId="49F9D149" w14:textId="77777777" w:rsidR="0097090C" w:rsidRPr="00971956" w:rsidRDefault="0097090C" w:rsidP="0097090C">
            <w:pPr>
              <w:rPr>
                <w:rFonts w:cs="Arial"/>
                <w:color w:val="000000"/>
              </w:rPr>
            </w:pPr>
            <w:r w:rsidRPr="00971956">
              <w:rPr>
                <w:rFonts w:cs="Arial"/>
                <w:color w:val="000000"/>
              </w:rPr>
              <w:t xml:space="preserve">Depreciation </w:t>
            </w:r>
          </w:p>
        </w:tc>
        <w:tc>
          <w:tcPr>
            <w:tcW w:w="731" w:type="dxa"/>
            <w:tcBorders>
              <w:top w:val="nil"/>
              <w:left w:val="nil"/>
              <w:bottom w:val="nil"/>
              <w:right w:val="nil"/>
            </w:tcBorders>
            <w:shd w:val="clear" w:color="auto" w:fill="auto"/>
            <w:vAlign w:val="center"/>
            <w:hideMark/>
          </w:tcPr>
          <w:p w14:paraId="0FDEAFB8" w14:textId="77777777" w:rsidR="0097090C" w:rsidRPr="00971956" w:rsidRDefault="0097090C" w:rsidP="0097090C">
            <w:pPr>
              <w:jc w:val="center"/>
              <w:rPr>
                <w:rFonts w:cs="Arial"/>
                <w:color w:val="000000"/>
              </w:rPr>
            </w:pPr>
            <w:r w:rsidRPr="00971956">
              <w:rPr>
                <w:rFonts w:cs="Arial"/>
                <w:color w:val="000000"/>
              </w:rPr>
              <w:t>9(d)</w:t>
            </w:r>
          </w:p>
        </w:tc>
        <w:tc>
          <w:tcPr>
            <w:tcW w:w="1267" w:type="dxa"/>
            <w:tcBorders>
              <w:top w:val="nil"/>
              <w:left w:val="nil"/>
              <w:bottom w:val="nil"/>
              <w:right w:val="nil"/>
            </w:tcBorders>
            <w:shd w:val="clear" w:color="000000" w:fill="D9D9D9"/>
            <w:vAlign w:val="center"/>
            <w:hideMark/>
          </w:tcPr>
          <w:p w14:paraId="6D07E348" w14:textId="77777777" w:rsidR="0097090C" w:rsidRPr="00971956" w:rsidRDefault="0097090C" w:rsidP="0097090C">
            <w:pPr>
              <w:jc w:val="right"/>
              <w:rPr>
                <w:rFonts w:cs="Arial"/>
                <w:color w:val="000000"/>
              </w:rPr>
            </w:pPr>
            <w:r w:rsidRPr="00971956">
              <w:rPr>
                <w:rFonts w:cs="Arial"/>
                <w:color w:val="000000"/>
              </w:rPr>
              <w:t>(17,814)</w:t>
            </w:r>
          </w:p>
        </w:tc>
        <w:tc>
          <w:tcPr>
            <w:tcW w:w="1267" w:type="dxa"/>
            <w:tcBorders>
              <w:top w:val="nil"/>
              <w:left w:val="nil"/>
              <w:bottom w:val="nil"/>
              <w:right w:val="nil"/>
            </w:tcBorders>
            <w:shd w:val="clear" w:color="auto" w:fill="auto"/>
            <w:vAlign w:val="center"/>
            <w:hideMark/>
          </w:tcPr>
          <w:p w14:paraId="62A73F42" w14:textId="77777777" w:rsidR="0097090C" w:rsidRPr="00971956" w:rsidRDefault="0097090C" w:rsidP="0097090C">
            <w:pPr>
              <w:jc w:val="right"/>
              <w:rPr>
                <w:rFonts w:cs="Arial"/>
                <w:color w:val="000000"/>
              </w:rPr>
            </w:pPr>
            <w:r w:rsidRPr="00971956">
              <w:rPr>
                <w:rFonts w:cs="Arial"/>
                <w:color w:val="000000"/>
              </w:rPr>
              <w:t>(17,944)</w:t>
            </w:r>
          </w:p>
        </w:tc>
      </w:tr>
      <w:tr w:rsidR="0097090C" w:rsidRPr="00971956" w14:paraId="4A3068D0" w14:textId="77777777" w:rsidTr="0097090C">
        <w:trPr>
          <w:trHeight w:val="255"/>
        </w:trPr>
        <w:tc>
          <w:tcPr>
            <w:tcW w:w="6095" w:type="dxa"/>
            <w:tcBorders>
              <w:top w:val="nil"/>
              <w:left w:val="nil"/>
              <w:bottom w:val="nil"/>
              <w:right w:val="nil"/>
            </w:tcBorders>
            <w:shd w:val="clear" w:color="auto" w:fill="auto"/>
            <w:vAlign w:val="center"/>
            <w:hideMark/>
          </w:tcPr>
          <w:p w14:paraId="465B150A" w14:textId="77777777" w:rsidR="0097090C" w:rsidRPr="00971956"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2F43069D"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396170AE" w14:textId="77777777" w:rsidR="0097090C" w:rsidRPr="00971956" w:rsidRDefault="0097090C" w:rsidP="0097090C">
            <w:pPr>
              <w:jc w:val="right"/>
              <w:rPr>
                <w:rFonts w:cs="Arial"/>
                <w:color w:val="000000"/>
              </w:rPr>
            </w:pPr>
            <w:r w:rsidRPr="00971956">
              <w:rPr>
                <w:rFonts w:cs="Arial"/>
                <w:color w:val="000000"/>
              </w:rPr>
              <w:t> </w:t>
            </w:r>
          </w:p>
        </w:tc>
        <w:tc>
          <w:tcPr>
            <w:tcW w:w="1267" w:type="dxa"/>
            <w:tcBorders>
              <w:top w:val="nil"/>
              <w:left w:val="nil"/>
              <w:bottom w:val="nil"/>
              <w:right w:val="nil"/>
            </w:tcBorders>
            <w:shd w:val="clear" w:color="auto" w:fill="auto"/>
            <w:vAlign w:val="center"/>
            <w:hideMark/>
          </w:tcPr>
          <w:p w14:paraId="6A2C8D2A" w14:textId="77777777" w:rsidR="0097090C" w:rsidRPr="00971956" w:rsidRDefault="0097090C" w:rsidP="0097090C">
            <w:pPr>
              <w:jc w:val="right"/>
              <w:rPr>
                <w:rFonts w:cs="Arial"/>
                <w:color w:val="000000"/>
              </w:rPr>
            </w:pPr>
          </w:p>
        </w:tc>
      </w:tr>
      <w:tr w:rsidR="0097090C" w:rsidRPr="00971956" w14:paraId="505ACDC5"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3E31C443" w14:textId="77777777" w:rsidR="0097090C" w:rsidRPr="00971956" w:rsidRDefault="0097090C" w:rsidP="0097090C">
            <w:pPr>
              <w:rPr>
                <w:rFonts w:cs="Arial"/>
                <w:b/>
                <w:bCs/>
                <w:color w:val="000000"/>
              </w:rPr>
            </w:pPr>
            <w:r w:rsidRPr="00971956">
              <w:rPr>
                <w:rFonts w:cs="Arial"/>
                <w:b/>
                <w:bCs/>
                <w:color w:val="000000"/>
              </w:rPr>
              <w:t>Net result from transactions (net operating balance)</w:t>
            </w:r>
          </w:p>
        </w:tc>
        <w:tc>
          <w:tcPr>
            <w:tcW w:w="731" w:type="dxa"/>
            <w:tcBorders>
              <w:top w:val="single" w:sz="4" w:space="0" w:color="auto"/>
              <w:left w:val="nil"/>
              <w:bottom w:val="single" w:sz="4" w:space="0" w:color="auto"/>
              <w:right w:val="nil"/>
            </w:tcBorders>
            <w:shd w:val="clear" w:color="auto" w:fill="auto"/>
            <w:vAlign w:val="center"/>
            <w:hideMark/>
          </w:tcPr>
          <w:p w14:paraId="164309DF" w14:textId="77777777" w:rsidR="0097090C" w:rsidRPr="00971956" w:rsidRDefault="0097090C" w:rsidP="0097090C">
            <w:pPr>
              <w:rPr>
                <w:rFonts w:cs="Arial"/>
                <w:i/>
                <w:iCs/>
                <w:color w:val="000000"/>
              </w:rPr>
            </w:pPr>
            <w:r w:rsidRPr="00971956">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24DE6716" w14:textId="77777777" w:rsidR="0097090C" w:rsidRPr="00971956" w:rsidRDefault="0097090C" w:rsidP="0097090C">
            <w:pPr>
              <w:jc w:val="right"/>
              <w:rPr>
                <w:rFonts w:cs="Arial"/>
                <w:b/>
                <w:bCs/>
                <w:color w:val="000000"/>
              </w:rPr>
            </w:pPr>
            <w:r w:rsidRPr="00971956">
              <w:rPr>
                <w:rFonts w:cs="Arial"/>
                <w:b/>
                <w:bCs/>
                <w:color w:val="000000"/>
              </w:rPr>
              <w:t>(11,639)</w:t>
            </w:r>
          </w:p>
        </w:tc>
        <w:tc>
          <w:tcPr>
            <w:tcW w:w="1267" w:type="dxa"/>
            <w:tcBorders>
              <w:top w:val="single" w:sz="4" w:space="0" w:color="auto"/>
              <w:left w:val="nil"/>
              <w:bottom w:val="single" w:sz="4" w:space="0" w:color="auto"/>
              <w:right w:val="nil"/>
            </w:tcBorders>
            <w:shd w:val="clear" w:color="auto" w:fill="auto"/>
            <w:vAlign w:val="center"/>
            <w:hideMark/>
          </w:tcPr>
          <w:p w14:paraId="03257DE1" w14:textId="77777777" w:rsidR="0097090C" w:rsidRPr="00971956" w:rsidRDefault="0097090C" w:rsidP="0097090C">
            <w:pPr>
              <w:jc w:val="right"/>
              <w:rPr>
                <w:rFonts w:cs="Arial"/>
                <w:b/>
                <w:bCs/>
                <w:color w:val="000000"/>
              </w:rPr>
            </w:pPr>
            <w:r w:rsidRPr="00971956">
              <w:rPr>
                <w:rFonts w:cs="Arial"/>
                <w:b/>
                <w:bCs/>
                <w:color w:val="000000"/>
              </w:rPr>
              <w:t>(13,448)</w:t>
            </w:r>
          </w:p>
        </w:tc>
      </w:tr>
      <w:tr w:rsidR="0097090C" w:rsidRPr="00971956" w14:paraId="4BD68438" w14:textId="77777777" w:rsidTr="0097090C">
        <w:trPr>
          <w:trHeight w:val="255"/>
        </w:trPr>
        <w:tc>
          <w:tcPr>
            <w:tcW w:w="6095" w:type="dxa"/>
            <w:tcBorders>
              <w:top w:val="nil"/>
              <w:left w:val="nil"/>
              <w:bottom w:val="nil"/>
              <w:right w:val="nil"/>
            </w:tcBorders>
            <w:shd w:val="clear" w:color="auto" w:fill="auto"/>
            <w:vAlign w:val="center"/>
            <w:hideMark/>
          </w:tcPr>
          <w:p w14:paraId="4694DEC7" w14:textId="77777777" w:rsidR="0097090C" w:rsidRPr="00971956"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58334B76" w14:textId="77777777" w:rsidR="0097090C" w:rsidRPr="00971956" w:rsidRDefault="0097090C" w:rsidP="0097090C">
            <w:pPr>
              <w:rPr>
                <w:rFonts w:cs="Arial"/>
                <w:color w:val="000000"/>
              </w:rPr>
            </w:pPr>
          </w:p>
        </w:tc>
        <w:tc>
          <w:tcPr>
            <w:tcW w:w="1267" w:type="dxa"/>
            <w:tcBorders>
              <w:top w:val="nil"/>
              <w:left w:val="nil"/>
              <w:bottom w:val="nil"/>
              <w:right w:val="nil"/>
            </w:tcBorders>
            <w:shd w:val="clear" w:color="000000" w:fill="D9D9D9"/>
            <w:vAlign w:val="center"/>
            <w:hideMark/>
          </w:tcPr>
          <w:p w14:paraId="42E2DF89" w14:textId="77777777" w:rsidR="0097090C" w:rsidRPr="00971956" w:rsidRDefault="0097090C" w:rsidP="0097090C">
            <w:pPr>
              <w:rPr>
                <w:rFonts w:cs="Arial"/>
                <w:color w:val="000000"/>
              </w:rPr>
            </w:pPr>
            <w:r w:rsidRPr="00971956">
              <w:rPr>
                <w:rFonts w:cs="Arial"/>
                <w:color w:val="000000"/>
              </w:rPr>
              <w:t> </w:t>
            </w:r>
          </w:p>
        </w:tc>
        <w:tc>
          <w:tcPr>
            <w:tcW w:w="1267" w:type="dxa"/>
            <w:tcBorders>
              <w:top w:val="nil"/>
              <w:left w:val="nil"/>
              <w:bottom w:val="nil"/>
              <w:right w:val="nil"/>
            </w:tcBorders>
            <w:shd w:val="clear" w:color="auto" w:fill="auto"/>
            <w:vAlign w:val="center"/>
            <w:hideMark/>
          </w:tcPr>
          <w:p w14:paraId="14A6534E" w14:textId="77777777" w:rsidR="0097090C" w:rsidRPr="00971956" w:rsidRDefault="0097090C" w:rsidP="0097090C">
            <w:pPr>
              <w:rPr>
                <w:rFonts w:cs="Arial"/>
                <w:color w:val="000000"/>
              </w:rPr>
            </w:pPr>
          </w:p>
        </w:tc>
      </w:tr>
      <w:tr w:rsidR="0097090C" w:rsidRPr="00971956" w14:paraId="556D81A3" w14:textId="77777777" w:rsidTr="0097090C">
        <w:trPr>
          <w:trHeight w:val="255"/>
        </w:trPr>
        <w:tc>
          <w:tcPr>
            <w:tcW w:w="6095" w:type="dxa"/>
            <w:tcBorders>
              <w:top w:val="nil"/>
              <w:left w:val="nil"/>
              <w:bottom w:val="nil"/>
              <w:right w:val="nil"/>
            </w:tcBorders>
            <w:shd w:val="clear" w:color="auto" w:fill="auto"/>
            <w:vAlign w:val="center"/>
            <w:hideMark/>
          </w:tcPr>
          <w:p w14:paraId="7F9B2A9D" w14:textId="77777777" w:rsidR="0097090C" w:rsidRPr="00971956" w:rsidRDefault="0097090C" w:rsidP="0097090C">
            <w:pPr>
              <w:rPr>
                <w:rFonts w:cs="Arial"/>
                <w:b/>
                <w:bCs/>
                <w:color w:val="000000"/>
              </w:rPr>
            </w:pPr>
            <w:r w:rsidRPr="00971956">
              <w:rPr>
                <w:rFonts w:cs="Arial"/>
                <w:b/>
                <w:bCs/>
                <w:color w:val="000000"/>
              </w:rPr>
              <w:t>Other economic flows included in net result</w:t>
            </w:r>
          </w:p>
        </w:tc>
        <w:tc>
          <w:tcPr>
            <w:tcW w:w="731" w:type="dxa"/>
            <w:tcBorders>
              <w:top w:val="nil"/>
              <w:left w:val="nil"/>
              <w:bottom w:val="nil"/>
              <w:right w:val="nil"/>
            </w:tcBorders>
            <w:shd w:val="clear" w:color="auto" w:fill="auto"/>
            <w:vAlign w:val="center"/>
            <w:hideMark/>
          </w:tcPr>
          <w:p w14:paraId="7EBEB3CE" w14:textId="77777777" w:rsidR="0097090C" w:rsidRPr="00971956" w:rsidRDefault="0097090C" w:rsidP="0097090C">
            <w:pPr>
              <w:rPr>
                <w:rFonts w:cs="Arial"/>
                <w:i/>
                <w:iCs/>
                <w:color w:val="000000"/>
              </w:rPr>
            </w:pPr>
          </w:p>
        </w:tc>
        <w:tc>
          <w:tcPr>
            <w:tcW w:w="1267" w:type="dxa"/>
            <w:tcBorders>
              <w:top w:val="nil"/>
              <w:left w:val="nil"/>
              <w:bottom w:val="nil"/>
              <w:right w:val="nil"/>
            </w:tcBorders>
            <w:shd w:val="clear" w:color="000000" w:fill="D9D9D9"/>
            <w:vAlign w:val="center"/>
            <w:hideMark/>
          </w:tcPr>
          <w:p w14:paraId="7504DFE4" w14:textId="77777777" w:rsidR="0097090C" w:rsidRPr="00971956" w:rsidRDefault="0097090C" w:rsidP="0097090C">
            <w:pPr>
              <w:rPr>
                <w:rFonts w:cs="Arial"/>
                <w:b/>
                <w:bCs/>
                <w:color w:val="000000"/>
              </w:rPr>
            </w:pPr>
            <w:r w:rsidRPr="00971956">
              <w:rPr>
                <w:rFonts w:cs="Arial"/>
                <w:b/>
                <w:bCs/>
                <w:color w:val="000000"/>
              </w:rPr>
              <w:t> </w:t>
            </w:r>
          </w:p>
        </w:tc>
        <w:tc>
          <w:tcPr>
            <w:tcW w:w="1267" w:type="dxa"/>
            <w:tcBorders>
              <w:top w:val="nil"/>
              <w:left w:val="nil"/>
              <w:bottom w:val="nil"/>
              <w:right w:val="nil"/>
            </w:tcBorders>
            <w:shd w:val="clear" w:color="auto" w:fill="auto"/>
            <w:vAlign w:val="center"/>
            <w:hideMark/>
          </w:tcPr>
          <w:p w14:paraId="570E29FC" w14:textId="77777777" w:rsidR="0097090C" w:rsidRPr="00971956" w:rsidRDefault="0097090C" w:rsidP="0097090C">
            <w:pPr>
              <w:rPr>
                <w:rFonts w:cs="Arial"/>
                <w:b/>
                <w:bCs/>
                <w:color w:val="000000"/>
              </w:rPr>
            </w:pPr>
          </w:p>
        </w:tc>
      </w:tr>
      <w:tr w:rsidR="0097090C" w:rsidRPr="00971956" w14:paraId="4DC9C198" w14:textId="77777777" w:rsidTr="0097090C">
        <w:trPr>
          <w:trHeight w:val="255"/>
        </w:trPr>
        <w:tc>
          <w:tcPr>
            <w:tcW w:w="6095" w:type="dxa"/>
            <w:tcBorders>
              <w:top w:val="nil"/>
              <w:left w:val="nil"/>
              <w:bottom w:val="nil"/>
              <w:right w:val="nil"/>
            </w:tcBorders>
            <w:shd w:val="clear" w:color="auto" w:fill="auto"/>
            <w:vAlign w:val="center"/>
            <w:hideMark/>
          </w:tcPr>
          <w:p w14:paraId="651322EE" w14:textId="77777777" w:rsidR="0097090C" w:rsidRPr="00971956" w:rsidRDefault="0097090C" w:rsidP="0097090C">
            <w:pPr>
              <w:rPr>
                <w:rFonts w:cs="Arial"/>
                <w:color w:val="000000"/>
              </w:rPr>
            </w:pPr>
            <w:r w:rsidRPr="00971956">
              <w:rPr>
                <w:rFonts w:cs="Arial"/>
                <w:color w:val="000000"/>
              </w:rPr>
              <w:t>Net Gain/(Loss) on Non-Financial Assets</w:t>
            </w:r>
          </w:p>
        </w:tc>
        <w:tc>
          <w:tcPr>
            <w:tcW w:w="731" w:type="dxa"/>
            <w:tcBorders>
              <w:top w:val="nil"/>
              <w:left w:val="nil"/>
              <w:bottom w:val="nil"/>
              <w:right w:val="nil"/>
            </w:tcBorders>
            <w:shd w:val="clear" w:color="auto" w:fill="auto"/>
            <w:vAlign w:val="center"/>
            <w:hideMark/>
          </w:tcPr>
          <w:p w14:paraId="2A2FE0B3" w14:textId="77777777" w:rsidR="0097090C" w:rsidRPr="00971956" w:rsidRDefault="0097090C" w:rsidP="0097090C">
            <w:pPr>
              <w:rPr>
                <w:rFonts w:cs="Arial"/>
                <w:i/>
                <w:iCs/>
                <w:color w:val="000000"/>
              </w:rPr>
            </w:pPr>
          </w:p>
        </w:tc>
        <w:tc>
          <w:tcPr>
            <w:tcW w:w="1267" w:type="dxa"/>
            <w:tcBorders>
              <w:top w:val="nil"/>
              <w:left w:val="nil"/>
              <w:bottom w:val="nil"/>
              <w:right w:val="nil"/>
            </w:tcBorders>
            <w:shd w:val="clear" w:color="000000" w:fill="D9D9D9"/>
            <w:vAlign w:val="center"/>
            <w:hideMark/>
          </w:tcPr>
          <w:p w14:paraId="09CBFD82" w14:textId="77777777" w:rsidR="0097090C" w:rsidRPr="00971956" w:rsidRDefault="0097090C" w:rsidP="0097090C">
            <w:pPr>
              <w:jc w:val="right"/>
              <w:rPr>
                <w:rFonts w:cs="Arial"/>
                <w:color w:val="000000"/>
              </w:rPr>
            </w:pPr>
            <w:r w:rsidRPr="00971956">
              <w:rPr>
                <w:rFonts w:cs="Arial"/>
                <w:color w:val="000000"/>
              </w:rPr>
              <w:t>144</w:t>
            </w:r>
          </w:p>
        </w:tc>
        <w:tc>
          <w:tcPr>
            <w:tcW w:w="1267" w:type="dxa"/>
            <w:tcBorders>
              <w:top w:val="nil"/>
              <w:left w:val="nil"/>
              <w:bottom w:val="nil"/>
              <w:right w:val="nil"/>
            </w:tcBorders>
            <w:shd w:val="clear" w:color="auto" w:fill="auto"/>
            <w:vAlign w:val="center"/>
            <w:hideMark/>
          </w:tcPr>
          <w:p w14:paraId="71C92CD4" w14:textId="77777777" w:rsidR="0097090C" w:rsidRPr="00971956" w:rsidRDefault="0097090C" w:rsidP="0097090C">
            <w:pPr>
              <w:jc w:val="right"/>
              <w:rPr>
                <w:rFonts w:cs="Arial"/>
                <w:color w:val="000000"/>
              </w:rPr>
            </w:pPr>
            <w:r w:rsidRPr="00971956">
              <w:rPr>
                <w:rFonts w:cs="Arial"/>
                <w:color w:val="000000"/>
              </w:rPr>
              <w:t>(11)</w:t>
            </w:r>
          </w:p>
        </w:tc>
      </w:tr>
      <w:tr w:rsidR="0097090C" w:rsidRPr="00971956" w14:paraId="01184462" w14:textId="77777777" w:rsidTr="0097090C">
        <w:trPr>
          <w:trHeight w:val="255"/>
        </w:trPr>
        <w:tc>
          <w:tcPr>
            <w:tcW w:w="6095" w:type="dxa"/>
            <w:tcBorders>
              <w:top w:val="nil"/>
              <w:left w:val="nil"/>
              <w:bottom w:val="nil"/>
              <w:right w:val="nil"/>
            </w:tcBorders>
            <w:shd w:val="clear" w:color="auto" w:fill="auto"/>
            <w:vAlign w:val="center"/>
            <w:hideMark/>
          </w:tcPr>
          <w:p w14:paraId="5014B25E" w14:textId="77777777" w:rsidR="0097090C" w:rsidRPr="00971956" w:rsidRDefault="0097090C" w:rsidP="0097090C">
            <w:pPr>
              <w:rPr>
                <w:rFonts w:cs="Arial"/>
                <w:color w:val="000000"/>
              </w:rPr>
            </w:pPr>
            <w:r w:rsidRPr="00971956">
              <w:rPr>
                <w:rFonts w:cs="Arial"/>
                <w:color w:val="000000"/>
              </w:rPr>
              <w:t>Net Gain/(Loss) on Financial Assets</w:t>
            </w:r>
          </w:p>
        </w:tc>
        <w:tc>
          <w:tcPr>
            <w:tcW w:w="731" w:type="dxa"/>
            <w:tcBorders>
              <w:top w:val="nil"/>
              <w:left w:val="nil"/>
              <w:bottom w:val="nil"/>
              <w:right w:val="nil"/>
            </w:tcBorders>
            <w:shd w:val="clear" w:color="auto" w:fill="auto"/>
            <w:vAlign w:val="center"/>
            <w:hideMark/>
          </w:tcPr>
          <w:p w14:paraId="450BAB4C" w14:textId="77777777" w:rsidR="0097090C" w:rsidRPr="00971956" w:rsidRDefault="0097090C" w:rsidP="0097090C">
            <w:pPr>
              <w:rPr>
                <w:rFonts w:cs="Arial"/>
                <w:i/>
                <w:iCs/>
                <w:color w:val="000000"/>
              </w:rPr>
            </w:pPr>
          </w:p>
        </w:tc>
        <w:tc>
          <w:tcPr>
            <w:tcW w:w="1267" w:type="dxa"/>
            <w:tcBorders>
              <w:top w:val="nil"/>
              <w:left w:val="nil"/>
              <w:bottom w:val="nil"/>
              <w:right w:val="nil"/>
            </w:tcBorders>
            <w:shd w:val="clear" w:color="000000" w:fill="D9D9D9"/>
            <w:vAlign w:val="center"/>
            <w:hideMark/>
          </w:tcPr>
          <w:p w14:paraId="6BB752B5" w14:textId="77777777" w:rsidR="0097090C" w:rsidRPr="00971956" w:rsidRDefault="0097090C" w:rsidP="0097090C">
            <w:pPr>
              <w:jc w:val="right"/>
              <w:rPr>
                <w:rFonts w:cs="Arial"/>
                <w:color w:val="000000"/>
              </w:rPr>
            </w:pPr>
            <w:r w:rsidRPr="00971956">
              <w:rPr>
                <w:rFonts w:cs="Arial"/>
                <w:color w:val="000000"/>
              </w:rPr>
              <w:t>0</w:t>
            </w:r>
          </w:p>
        </w:tc>
        <w:tc>
          <w:tcPr>
            <w:tcW w:w="1267" w:type="dxa"/>
            <w:tcBorders>
              <w:top w:val="nil"/>
              <w:left w:val="nil"/>
              <w:bottom w:val="nil"/>
              <w:right w:val="nil"/>
            </w:tcBorders>
            <w:shd w:val="clear" w:color="auto" w:fill="auto"/>
            <w:vAlign w:val="center"/>
            <w:hideMark/>
          </w:tcPr>
          <w:p w14:paraId="72ECCA42" w14:textId="77777777" w:rsidR="0097090C" w:rsidRPr="00971956" w:rsidRDefault="0097090C" w:rsidP="0097090C">
            <w:pPr>
              <w:jc w:val="right"/>
              <w:rPr>
                <w:rFonts w:cs="Arial"/>
                <w:color w:val="000000"/>
              </w:rPr>
            </w:pPr>
            <w:r w:rsidRPr="00971956">
              <w:rPr>
                <w:rFonts w:cs="Arial"/>
                <w:color w:val="000000"/>
              </w:rPr>
              <w:t>153</w:t>
            </w:r>
          </w:p>
        </w:tc>
      </w:tr>
      <w:tr w:rsidR="0097090C" w:rsidRPr="00971956" w14:paraId="71E5C575" w14:textId="77777777" w:rsidTr="0097090C">
        <w:trPr>
          <w:trHeight w:val="510"/>
        </w:trPr>
        <w:tc>
          <w:tcPr>
            <w:tcW w:w="6095" w:type="dxa"/>
            <w:tcBorders>
              <w:top w:val="nil"/>
              <w:left w:val="nil"/>
              <w:bottom w:val="nil"/>
              <w:right w:val="nil"/>
            </w:tcBorders>
            <w:shd w:val="clear" w:color="auto" w:fill="auto"/>
            <w:vAlign w:val="center"/>
            <w:hideMark/>
          </w:tcPr>
          <w:p w14:paraId="1B042790" w14:textId="77777777" w:rsidR="0097090C" w:rsidRPr="00971956" w:rsidRDefault="0097090C" w:rsidP="0097090C">
            <w:pPr>
              <w:rPr>
                <w:rFonts w:cs="Arial"/>
                <w:color w:val="000000"/>
              </w:rPr>
            </w:pPr>
            <w:r w:rsidRPr="00971956">
              <w:rPr>
                <w:rFonts w:cs="Arial"/>
                <w:color w:val="000000"/>
              </w:rPr>
              <w:t xml:space="preserve">Net Gain/(Loss) Arising from movement of discount rates for Long Service Leave Liability </w:t>
            </w:r>
          </w:p>
        </w:tc>
        <w:tc>
          <w:tcPr>
            <w:tcW w:w="731" w:type="dxa"/>
            <w:tcBorders>
              <w:top w:val="nil"/>
              <w:left w:val="nil"/>
              <w:bottom w:val="nil"/>
              <w:right w:val="nil"/>
            </w:tcBorders>
            <w:shd w:val="clear" w:color="auto" w:fill="auto"/>
            <w:vAlign w:val="center"/>
            <w:hideMark/>
          </w:tcPr>
          <w:p w14:paraId="096E8F7E" w14:textId="77777777" w:rsidR="0097090C" w:rsidRPr="00971956" w:rsidRDefault="0097090C" w:rsidP="0097090C">
            <w:pPr>
              <w:rPr>
                <w:rFonts w:cs="Arial"/>
                <w:i/>
                <w:iCs/>
                <w:color w:val="000000"/>
              </w:rPr>
            </w:pPr>
          </w:p>
        </w:tc>
        <w:tc>
          <w:tcPr>
            <w:tcW w:w="1267" w:type="dxa"/>
            <w:tcBorders>
              <w:top w:val="nil"/>
              <w:left w:val="nil"/>
              <w:bottom w:val="nil"/>
              <w:right w:val="nil"/>
            </w:tcBorders>
            <w:shd w:val="clear" w:color="000000" w:fill="D9D9D9"/>
            <w:vAlign w:val="center"/>
            <w:hideMark/>
          </w:tcPr>
          <w:p w14:paraId="71837B06" w14:textId="77777777" w:rsidR="0097090C" w:rsidRPr="00971956" w:rsidRDefault="0097090C" w:rsidP="0097090C">
            <w:pPr>
              <w:jc w:val="right"/>
              <w:rPr>
                <w:rFonts w:cs="Arial"/>
                <w:color w:val="000000"/>
              </w:rPr>
            </w:pPr>
            <w:r w:rsidRPr="00971956">
              <w:rPr>
                <w:rFonts w:cs="Arial"/>
                <w:color w:val="000000"/>
              </w:rPr>
              <w:t>(448)</w:t>
            </w:r>
          </w:p>
        </w:tc>
        <w:tc>
          <w:tcPr>
            <w:tcW w:w="1267" w:type="dxa"/>
            <w:tcBorders>
              <w:top w:val="nil"/>
              <w:left w:val="nil"/>
              <w:bottom w:val="nil"/>
              <w:right w:val="nil"/>
            </w:tcBorders>
            <w:shd w:val="clear" w:color="auto" w:fill="auto"/>
            <w:vAlign w:val="center"/>
            <w:hideMark/>
          </w:tcPr>
          <w:p w14:paraId="5C1377BF" w14:textId="77777777" w:rsidR="0097090C" w:rsidRPr="00971956" w:rsidRDefault="0097090C" w:rsidP="0097090C">
            <w:pPr>
              <w:jc w:val="right"/>
              <w:rPr>
                <w:rFonts w:cs="Arial"/>
                <w:color w:val="000000"/>
              </w:rPr>
            </w:pPr>
            <w:r w:rsidRPr="00971956">
              <w:rPr>
                <w:rFonts w:cs="Arial"/>
                <w:color w:val="000000"/>
              </w:rPr>
              <w:t>(204)</w:t>
            </w:r>
          </w:p>
        </w:tc>
      </w:tr>
      <w:tr w:rsidR="0097090C" w:rsidRPr="00971956" w14:paraId="44AA832E"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16D50900" w14:textId="77777777" w:rsidR="0097090C" w:rsidRPr="00971956" w:rsidRDefault="0097090C" w:rsidP="0097090C">
            <w:pPr>
              <w:rPr>
                <w:rFonts w:cs="Arial"/>
                <w:b/>
                <w:bCs/>
                <w:color w:val="000000"/>
              </w:rPr>
            </w:pPr>
            <w:r w:rsidRPr="00971956">
              <w:rPr>
                <w:rFonts w:cs="Arial"/>
                <w:b/>
                <w:bCs/>
                <w:color w:val="000000"/>
              </w:rPr>
              <w:t> </w:t>
            </w:r>
          </w:p>
        </w:tc>
        <w:tc>
          <w:tcPr>
            <w:tcW w:w="731" w:type="dxa"/>
            <w:tcBorders>
              <w:top w:val="single" w:sz="4" w:space="0" w:color="auto"/>
              <w:left w:val="nil"/>
              <w:bottom w:val="single" w:sz="4" w:space="0" w:color="auto"/>
              <w:right w:val="nil"/>
            </w:tcBorders>
            <w:shd w:val="clear" w:color="auto" w:fill="auto"/>
            <w:vAlign w:val="center"/>
            <w:hideMark/>
          </w:tcPr>
          <w:p w14:paraId="05C70345" w14:textId="77777777" w:rsidR="0097090C" w:rsidRPr="00971956" w:rsidRDefault="0097090C" w:rsidP="0097090C">
            <w:pPr>
              <w:rPr>
                <w:rFonts w:cs="Arial"/>
                <w:i/>
                <w:iCs/>
                <w:color w:val="000000"/>
              </w:rPr>
            </w:pPr>
            <w:r w:rsidRPr="00971956">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3ED51F5F" w14:textId="77777777" w:rsidR="0097090C" w:rsidRPr="00971956" w:rsidRDefault="0097090C" w:rsidP="0097090C">
            <w:pPr>
              <w:jc w:val="right"/>
              <w:rPr>
                <w:rFonts w:cs="Arial"/>
                <w:b/>
                <w:bCs/>
                <w:color w:val="000000"/>
              </w:rPr>
            </w:pPr>
            <w:r w:rsidRPr="00971956">
              <w:rPr>
                <w:rFonts w:cs="Arial"/>
                <w:b/>
                <w:bCs/>
                <w:color w:val="000000"/>
              </w:rPr>
              <w:t>(304)</w:t>
            </w:r>
          </w:p>
        </w:tc>
        <w:tc>
          <w:tcPr>
            <w:tcW w:w="1267" w:type="dxa"/>
            <w:tcBorders>
              <w:top w:val="single" w:sz="4" w:space="0" w:color="auto"/>
              <w:left w:val="nil"/>
              <w:bottom w:val="single" w:sz="4" w:space="0" w:color="auto"/>
              <w:right w:val="nil"/>
            </w:tcBorders>
            <w:shd w:val="clear" w:color="auto" w:fill="auto"/>
            <w:vAlign w:val="center"/>
            <w:hideMark/>
          </w:tcPr>
          <w:p w14:paraId="112146EC" w14:textId="77777777" w:rsidR="0097090C" w:rsidRPr="00971956" w:rsidRDefault="0097090C" w:rsidP="0097090C">
            <w:pPr>
              <w:jc w:val="right"/>
              <w:rPr>
                <w:rFonts w:cs="Arial"/>
                <w:b/>
                <w:bCs/>
                <w:color w:val="000000"/>
              </w:rPr>
            </w:pPr>
            <w:r w:rsidRPr="00971956">
              <w:rPr>
                <w:rFonts w:cs="Arial"/>
                <w:b/>
                <w:bCs/>
                <w:color w:val="000000"/>
              </w:rPr>
              <w:t>(62)</w:t>
            </w:r>
          </w:p>
        </w:tc>
      </w:tr>
      <w:tr w:rsidR="0097090C" w:rsidRPr="00971956" w14:paraId="4E821BFC" w14:textId="77777777" w:rsidTr="0097090C">
        <w:trPr>
          <w:trHeight w:val="255"/>
        </w:trPr>
        <w:tc>
          <w:tcPr>
            <w:tcW w:w="6095" w:type="dxa"/>
            <w:tcBorders>
              <w:top w:val="nil"/>
              <w:left w:val="nil"/>
              <w:bottom w:val="nil"/>
              <w:right w:val="nil"/>
            </w:tcBorders>
            <w:shd w:val="clear" w:color="auto" w:fill="auto"/>
            <w:vAlign w:val="center"/>
            <w:hideMark/>
          </w:tcPr>
          <w:p w14:paraId="5C77656F" w14:textId="77777777" w:rsidR="0097090C" w:rsidRPr="00971956" w:rsidRDefault="0097090C" w:rsidP="0097090C">
            <w:pPr>
              <w:rPr>
                <w:rFonts w:cs="Arial"/>
                <w:b/>
                <w:bCs/>
                <w:color w:val="000000"/>
              </w:rPr>
            </w:pPr>
          </w:p>
        </w:tc>
        <w:tc>
          <w:tcPr>
            <w:tcW w:w="731" w:type="dxa"/>
            <w:tcBorders>
              <w:top w:val="nil"/>
              <w:left w:val="nil"/>
              <w:bottom w:val="nil"/>
              <w:right w:val="nil"/>
            </w:tcBorders>
            <w:shd w:val="clear" w:color="auto" w:fill="auto"/>
            <w:vAlign w:val="center"/>
            <w:hideMark/>
          </w:tcPr>
          <w:p w14:paraId="6B7B387A" w14:textId="77777777" w:rsidR="0097090C" w:rsidRPr="00971956" w:rsidRDefault="0097090C" w:rsidP="0097090C">
            <w:pPr>
              <w:rPr>
                <w:rFonts w:cs="Arial"/>
                <w:i/>
                <w:iCs/>
                <w:color w:val="000000"/>
              </w:rPr>
            </w:pPr>
          </w:p>
        </w:tc>
        <w:tc>
          <w:tcPr>
            <w:tcW w:w="1267" w:type="dxa"/>
            <w:tcBorders>
              <w:top w:val="nil"/>
              <w:left w:val="nil"/>
              <w:bottom w:val="nil"/>
              <w:right w:val="nil"/>
            </w:tcBorders>
            <w:shd w:val="clear" w:color="000000" w:fill="D9D9D9"/>
            <w:vAlign w:val="center"/>
            <w:hideMark/>
          </w:tcPr>
          <w:p w14:paraId="71328266" w14:textId="77777777" w:rsidR="0097090C" w:rsidRPr="00971956" w:rsidRDefault="0097090C" w:rsidP="0097090C">
            <w:pPr>
              <w:jc w:val="right"/>
              <w:rPr>
                <w:rFonts w:cs="Arial"/>
                <w:b/>
                <w:bCs/>
                <w:color w:val="000000"/>
              </w:rPr>
            </w:pPr>
            <w:r w:rsidRPr="00971956">
              <w:rPr>
                <w:rFonts w:cs="Arial"/>
                <w:b/>
                <w:bCs/>
                <w:color w:val="000000"/>
              </w:rPr>
              <w:t> </w:t>
            </w:r>
          </w:p>
        </w:tc>
        <w:tc>
          <w:tcPr>
            <w:tcW w:w="1267" w:type="dxa"/>
            <w:tcBorders>
              <w:top w:val="nil"/>
              <w:left w:val="nil"/>
              <w:bottom w:val="nil"/>
              <w:right w:val="nil"/>
            </w:tcBorders>
            <w:shd w:val="clear" w:color="auto" w:fill="auto"/>
            <w:vAlign w:val="center"/>
            <w:hideMark/>
          </w:tcPr>
          <w:p w14:paraId="39C17A6B" w14:textId="77777777" w:rsidR="0097090C" w:rsidRPr="00971956" w:rsidRDefault="0097090C" w:rsidP="0097090C">
            <w:pPr>
              <w:jc w:val="right"/>
              <w:rPr>
                <w:rFonts w:cs="Arial"/>
                <w:b/>
                <w:bCs/>
                <w:color w:val="000000"/>
              </w:rPr>
            </w:pPr>
          </w:p>
        </w:tc>
      </w:tr>
      <w:tr w:rsidR="0097090C" w:rsidRPr="00971956" w14:paraId="4EC49443" w14:textId="77777777" w:rsidTr="0097090C">
        <w:trPr>
          <w:trHeight w:val="255"/>
        </w:trPr>
        <w:tc>
          <w:tcPr>
            <w:tcW w:w="6095" w:type="dxa"/>
            <w:tcBorders>
              <w:top w:val="single" w:sz="4" w:space="0" w:color="auto"/>
              <w:left w:val="nil"/>
              <w:bottom w:val="single" w:sz="4" w:space="0" w:color="auto"/>
              <w:right w:val="nil"/>
            </w:tcBorders>
            <w:shd w:val="clear" w:color="auto" w:fill="auto"/>
            <w:vAlign w:val="center"/>
            <w:hideMark/>
          </w:tcPr>
          <w:p w14:paraId="70786677" w14:textId="77777777" w:rsidR="0097090C" w:rsidRPr="00971956" w:rsidRDefault="0097090C" w:rsidP="0097090C">
            <w:pPr>
              <w:rPr>
                <w:rFonts w:cs="Arial"/>
                <w:b/>
                <w:bCs/>
                <w:color w:val="000000"/>
              </w:rPr>
            </w:pPr>
            <w:r w:rsidRPr="00971956">
              <w:rPr>
                <w:rFonts w:cs="Arial"/>
                <w:b/>
                <w:bCs/>
                <w:color w:val="000000"/>
              </w:rPr>
              <w:t>Net result</w:t>
            </w:r>
          </w:p>
        </w:tc>
        <w:tc>
          <w:tcPr>
            <w:tcW w:w="731" w:type="dxa"/>
            <w:tcBorders>
              <w:top w:val="single" w:sz="4" w:space="0" w:color="auto"/>
              <w:left w:val="nil"/>
              <w:bottom w:val="single" w:sz="4" w:space="0" w:color="auto"/>
              <w:right w:val="nil"/>
            </w:tcBorders>
            <w:shd w:val="clear" w:color="auto" w:fill="auto"/>
            <w:vAlign w:val="center"/>
            <w:hideMark/>
          </w:tcPr>
          <w:p w14:paraId="55FFCDDA" w14:textId="77777777" w:rsidR="0097090C" w:rsidRPr="00971956" w:rsidRDefault="0097090C" w:rsidP="0097090C">
            <w:pPr>
              <w:rPr>
                <w:rFonts w:cs="Arial"/>
                <w:i/>
                <w:iCs/>
                <w:color w:val="000000"/>
              </w:rPr>
            </w:pPr>
            <w:r w:rsidRPr="00971956">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51891051" w14:textId="77777777" w:rsidR="0097090C" w:rsidRPr="00971956" w:rsidRDefault="0097090C" w:rsidP="0097090C">
            <w:pPr>
              <w:jc w:val="right"/>
              <w:rPr>
                <w:rFonts w:cs="Arial"/>
                <w:b/>
                <w:bCs/>
                <w:color w:val="000000"/>
              </w:rPr>
            </w:pPr>
            <w:r w:rsidRPr="00971956">
              <w:rPr>
                <w:rFonts w:cs="Arial"/>
                <w:b/>
                <w:bCs/>
                <w:color w:val="000000"/>
              </w:rPr>
              <w:t>(11,943)</w:t>
            </w:r>
          </w:p>
        </w:tc>
        <w:tc>
          <w:tcPr>
            <w:tcW w:w="1267" w:type="dxa"/>
            <w:tcBorders>
              <w:top w:val="single" w:sz="4" w:space="0" w:color="auto"/>
              <w:left w:val="nil"/>
              <w:bottom w:val="single" w:sz="4" w:space="0" w:color="auto"/>
              <w:right w:val="nil"/>
            </w:tcBorders>
            <w:shd w:val="clear" w:color="auto" w:fill="auto"/>
            <w:vAlign w:val="center"/>
            <w:hideMark/>
          </w:tcPr>
          <w:p w14:paraId="1243D164" w14:textId="77777777" w:rsidR="0097090C" w:rsidRPr="00971956" w:rsidRDefault="0097090C" w:rsidP="0097090C">
            <w:pPr>
              <w:jc w:val="right"/>
              <w:rPr>
                <w:rFonts w:cs="Arial"/>
                <w:b/>
                <w:bCs/>
                <w:color w:val="000000"/>
              </w:rPr>
            </w:pPr>
            <w:r w:rsidRPr="00971956">
              <w:rPr>
                <w:rFonts w:cs="Arial"/>
                <w:b/>
                <w:bCs/>
                <w:color w:val="000000"/>
              </w:rPr>
              <w:t>(13,510)</w:t>
            </w:r>
          </w:p>
        </w:tc>
      </w:tr>
      <w:tr w:rsidR="0097090C" w:rsidRPr="00971956" w14:paraId="51029C61"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6678AB40" w14:textId="77777777" w:rsidR="0097090C" w:rsidRPr="00971956" w:rsidRDefault="0097090C" w:rsidP="0097090C">
            <w:pPr>
              <w:rPr>
                <w:rFonts w:cs="Arial"/>
                <w:b/>
                <w:bCs/>
                <w:color w:val="000000"/>
              </w:rPr>
            </w:pPr>
            <w:r w:rsidRPr="00971956">
              <w:rPr>
                <w:rFonts w:cs="Arial"/>
                <w:b/>
                <w:bCs/>
                <w:color w:val="000000"/>
              </w:rPr>
              <w:t>Other economic flows – other comprehensive income</w:t>
            </w:r>
          </w:p>
        </w:tc>
        <w:tc>
          <w:tcPr>
            <w:tcW w:w="731" w:type="dxa"/>
            <w:tcBorders>
              <w:top w:val="nil"/>
              <w:left w:val="nil"/>
              <w:bottom w:val="single" w:sz="4" w:space="0" w:color="auto"/>
              <w:right w:val="nil"/>
            </w:tcBorders>
            <w:shd w:val="clear" w:color="auto" w:fill="auto"/>
            <w:vAlign w:val="center"/>
            <w:hideMark/>
          </w:tcPr>
          <w:p w14:paraId="3E4E9915" w14:textId="77777777" w:rsidR="0097090C" w:rsidRPr="00971956" w:rsidRDefault="0097090C" w:rsidP="0097090C">
            <w:pPr>
              <w:rPr>
                <w:rFonts w:cs="Arial"/>
                <w:b/>
                <w:bCs/>
                <w:color w:val="000000"/>
              </w:rPr>
            </w:pPr>
            <w:r w:rsidRPr="00971956">
              <w:rPr>
                <w:rFonts w:cs="Arial"/>
                <w:b/>
                <w:bCs/>
                <w:color w:val="000000"/>
              </w:rPr>
              <w:t> </w:t>
            </w:r>
          </w:p>
        </w:tc>
        <w:tc>
          <w:tcPr>
            <w:tcW w:w="1267" w:type="dxa"/>
            <w:tcBorders>
              <w:top w:val="nil"/>
              <w:left w:val="nil"/>
              <w:bottom w:val="single" w:sz="4" w:space="0" w:color="auto"/>
              <w:right w:val="nil"/>
            </w:tcBorders>
            <w:shd w:val="clear" w:color="000000" w:fill="D9D9D9"/>
            <w:vAlign w:val="center"/>
            <w:hideMark/>
          </w:tcPr>
          <w:p w14:paraId="68538482" w14:textId="77777777" w:rsidR="0097090C" w:rsidRPr="00971956" w:rsidRDefault="0097090C" w:rsidP="0097090C">
            <w:pPr>
              <w:rPr>
                <w:rFonts w:cs="Arial"/>
                <w:b/>
                <w:bCs/>
                <w:color w:val="000000"/>
              </w:rPr>
            </w:pPr>
            <w:r w:rsidRPr="00971956">
              <w:rPr>
                <w:rFonts w:cs="Arial"/>
                <w:b/>
                <w:bCs/>
                <w:color w:val="000000"/>
              </w:rPr>
              <w:t> </w:t>
            </w:r>
          </w:p>
        </w:tc>
        <w:tc>
          <w:tcPr>
            <w:tcW w:w="1267" w:type="dxa"/>
            <w:tcBorders>
              <w:top w:val="nil"/>
              <w:left w:val="nil"/>
              <w:bottom w:val="single" w:sz="4" w:space="0" w:color="auto"/>
              <w:right w:val="nil"/>
            </w:tcBorders>
            <w:shd w:val="clear" w:color="auto" w:fill="auto"/>
            <w:vAlign w:val="center"/>
            <w:hideMark/>
          </w:tcPr>
          <w:p w14:paraId="670F4CCF" w14:textId="77777777" w:rsidR="0097090C" w:rsidRPr="00971956" w:rsidRDefault="0097090C" w:rsidP="0097090C">
            <w:pPr>
              <w:rPr>
                <w:rFonts w:cs="Arial"/>
                <w:b/>
                <w:bCs/>
                <w:color w:val="000000"/>
              </w:rPr>
            </w:pPr>
            <w:r w:rsidRPr="00971956">
              <w:rPr>
                <w:rFonts w:cs="Arial"/>
                <w:b/>
                <w:bCs/>
                <w:color w:val="000000"/>
              </w:rPr>
              <w:t> </w:t>
            </w:r>
          </w:p>
        </w:tc>
      </w:tr>
      <w:tr w:rsidR="0097090C" w:rsidRPr="00971956" w14:paraId="1021365C" w14:textId="77777777" w:rsidTr="0097090C">
        <w:trPr>
          <w:trHeight w:val="255"/>
        </w:trPr>
        <w:tc>
          <w:tcPr>
            <w:tcW w:w="6095" w:type="dxa"/>
            <w:tcBorders>
              <w:top w:val="nil"/>
              <w:left w:val="nil"/>
              <w:bottom w:val="nil"/>
              <w:right w:val="nil"/>
            </w:tcBorders>
            <w:shd w:val="clear" w:color="auto" w:fill="auto"/>
            <w:vAlign w:val="center"/>
            <w:hideMark/>
          </w:tcPr>
          <w:p w14:paraId="6C3626C1" w14:textId="77777777" w:rsidR="0097090C" w:rsidRPr="00971956" w:rsidRDefault="0097090C" w:rsidP="0097090C">
            <w:pPr>
              <w:rPr>
                <w:rFonts w:cs="Arial"/>
                <w:b/>
                <w:bCs/>
                <w:color w:val="000000"/>
              </w:rPr>
            </w:pPr>
            <w:r w:rsidRPr="00971956">
              <w:rPr>
                <w:rFonts w:cs="Arial"/>
                <w:b/>
                <w:bCs/>
                <w:color w:val="000000"/>
              </w:rPr>
              <w:t>Items that will not be reclassified to net result</w:t>
            </w:r>
          </w:p>
        </w:tc>
        <w:tc>
          <w:tcPr>
            <w:tcW w:w="731" w:type="dxa"/>
            <w:tcBorders>
              <w:top w:val="nil"/>
              <w:left w:val="nil"/>
              <w:bottom w:val="nil"/>
              <w:right w:val="nil"/>
            </w:tcBorders>
            <w:shd w:val="clear" w:color="auto" w:fill="auto"/>
            <w:vAlign w:val="center"/>
            <w:hideMark/>
          </w:tcPr>
          <w:p w14:paraId="74799B11" w14:textId="77777777" w:rsidR="0097090C" w:rsidRPr="00971956" w:rsidRDefault="0097090C" w:rsidP="0097090C">
            <w:pPr>
              <w:rPr>
                <w:rFonts w:cs="Arial"/>
                <w:b/>
                <w:bCs/>
                <w:color w:val="000000"/>
              </w:rPr>
            </w:pPr>
          </w:p>
        </w:tc>
        <w:tc>
          <w:tcPr>
            <w:tcW w:w="1267" w:type="dxa"/>
            <w:tcBorders>
              <w:top w:val="nil"/>
              <w:left w:val="nil"/>
              <w:bottom w:val="nil"/>
              <w:right w:val="nil"/>
            </w:tcBorders>
            <w:shd w:val="clear" w:color="000000" w:fill="D9D9D9"/>
            <w:vAlign w:val="center"/>
            <w:hideMark/>
          </w:tcPr>
          <w:p w14:paraId="783EDD2C" w14:textId="77777777" w:rsidR="0097090C" w:rsidRPr="00971956" w:rsidRDefault="0097090C" w:rsidP="0097090C">
            <w:pPr>
              <w:rPr>
                <w:rFonts w:cs="Arial"/>
                <w:b/>
                <w:bCs/>
                <w:color w:val="000000"/>
              </w:rPr>
            </w:pPr>
            <w:r w:rsidRPr="00971956">
              <w:rPr>
                <w:rFonts w:cs="Arial"/>
                <w:b/>
                <w:bCs/>
                <w:color w:val="000000"/>
              </w:rPr>
              <w:t> </w:t>
            </w:r>
          </w:p>
        </w:tc>
        <w:tc>
          <w:tcPr>
            <w:tcW w:w="1267" w:type="dxa"/>
            <w:tcBorders>
              <w:top w:val="nil"/>
              <w:left w:val="nil"/>
              <w:bottom w:val="nil"/>
              <w:right w:val="nil"/>
            </w:tcBorders>
            <w:shd w:val="clear" w:color="auto" w:fill="auto"/>
            <w:vAlign w:val="center"/>
            <w:hideMark/>
          </w:tcPr>
          <w:p w14:paraId="1EB7E6E2" w14:textId="77777777" w:rsidR="0097090C" w:rsidRPr="00971956" w:rsidRDefault="0097090C" w:rsidP="0097090C">
            <w:pPr>
              <w:rPr>
                <w:rFonts w:cs="Arial"/>
                <w:b/>
                <w:bCs/>
                <w:color w:val="000000"/>
              </w:rPr>
            </w:pPr>
          </w:p>
        </w:tc>
      </w:tr>
      <w:tr w:rsidR="0097090C" w:rsidRPr="00971956" w14:paraId="233E5495" w14:textId="77777777" w:rsidTr="0097090C">
        <w:trPr>
          <w:trHeight w:val="255"/>
        </w:trPr>
        <w:tc>
          <w:tcPr>
            <w:tcW w:w="6095" w:type="dxa"/>
            <w:tcBorders>
              <w:top w:val="nil"/>
              <w:left w:val="nil"/>
              <w:bottom w:val="nil"/>
              <w:right w:val="nil"/>
            </w:tcBorders>
            <w:shd w:val="clear" w:color="auto" w:fill="auto"/>
            <w:vAlign w:val="center"/>
            <w:hideMark/>
          </w:tcPr>
          <w:p w14:paraId="652F1B1F" w14:textId="77777777" w:rsidR="0097090C" w:rsidRPr="00971956" w:rsidRDefault="0097090C" w:rsidP="0097090C">
            <w:pPr>
              <w:rPr>
                <w:rFonts w:cs="Arial"/>
                <w:color w:val="000000"/>
              </w:rPr>
            </w:pPr>
            <w:r w:rsidRPr="00971956">
              <w:rPr>
                <w:rFonts w:cs="Arial"/>
                <w:color w:val="000000"/>
              </w:rPr>
              <w:t>Changes in Physical Asset Revaluation Surplus</w:t>
            </w:r>
          </w:p>
        </w:tc>
        <w:tc>
          <w:tcPr>
            <w:tcW w:w="731" w:type="dxa"/>
            <w:tcBorders>
              <w:top w:val="nil"/>
              <w:left w:val="nil"/>
              <w:bottom w:val="nil"/>
              <w:right w:val="nil"/>
            </w:tcBorders>
            <w:shd w:val="clear" w:color="auto" w:fill="auto"/>
            <w:vAlign w:val="center"/>
            <w:hideMark/>
          </w:tcPr>
          <w:p w14:paraId="5B305AD6"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6919B721" w14:textId="77777777" w:rsidR="0097090C" w:rsidRPr="00971956" w:rsidRDefault="0097090C" w:rsidP="0097090C">
            <w:pPr>
              <w:jc w:val="right"/>
              <w:rPr>
                <w:rFonts w:cs="Arial"/>
                <w:color w:val="000000"/>
              </w:rPr>
            </w:pPr>
            <w:r>
              <w:rPr>
                <w:rFonts w:cs="Arial"/>
                <w:color w:val="000000"/>
              </w:rPr>
              <w:t>644,064</w:t>
            </w:r>
          </w:p>
        </w:tc>
        <w:tc>
          <w:tcPr>
            <w:tcW w:w="1267" w:type="dxa"/>
            <w:tcBorders>
              <w:top w:val="nil"/>
              <w:left w:val="nil"/>
              <w:bottom w:val="nil"/>
              <w:right w:val="nil"/>
            </w:tcBorders>
            <w:shd w:val="clear" w:color="auto" w:fill="auto"/>
            <w:vAlign w:val="center"/>
            <w:hideMark/>
          </w:tcPr>
          <w:p w14:paraId="1A9362B4" w14:textId="77777777" w:rsidR="0097090C" w:rsidRPr="00971956" w:rsidRDefault="0097090C" w:rsidP="0097090C">
            <w:pPr>
              <w:jc w:val="right"/>
              <w:rPr>
                <w:rFonts w:cs="Arial"/>
                <w:color w:val="000000"/>
              </w:rPr>
            </w:pPr>
            <w:r w:rsidRPr="00971956">
              <w:rPr>
                <w:rFonts w:cs="Arial"/>
                <w:color w:val="000000"/>
              </w:rPr>
              <w:t>0</w:t>
            </w:r>
          </w:p>
        </w:tc>
      </w:tr>
      <w:tr w:rsidR="0097090C" w:rsidRPr="00971956" w14:paraId="040C6C69" w14:textId="77777777" w:rsidTr="0097090C">
        <w:trPr>
          <w:trHeight w:val="255"/>
        </w:trPr>
        <w:tc>
          <w:tcPr>
            <w:tcW w:w="6095" w:type="dxa"/>
            <w:tcBorders>
              <w:top w:val="nil"/>
              <w:left w:val="nil"/>
              <w:bottom w:val="nil"/>
              <w:right w:val="nil"/>
            </w:tcBorders>
            <w:shd w:val="clear" w:color="auto" w:fill="auto"/>
            <w:vAlign w:val="center"/>
            <w:hideMark/>
          </w:tcPr>
          <w:p w14:paraId="293F8CA8" w14:textId="77777777" w:rsidR="0097090C" w:rsidRPr="00971956" w:rsidRDefault="0097090C" w:rsidP="0097090C">
            <w:pPr>
              <w:rPr>
                <w:rFonts w:cs="Arial"/>
                <w:b/>
                <w:bCs/>
                <w:color w:val="000000"/>
              </w:rPr>
            </w:pPr>
          </w:p>
        </w:tc>
        <w:tc>
          <w:tcPr>
            <w:tcW w:w="731" w:type="dxa"/>
            <w:tcBorders>
              <w:top w:val="nil"/>
              <w:left w:val="nil"/>
              <w:bottom w:val="nil"/>
              <w:right w:val="nil"/>
            </w:tcBorders>
            <w:shd w:val="clear" w:color="auto" w:fill="auto"/>
            <w:vAlign w:val="center"/>
            <w:hideMark/>
          </w:tcPr>
          <w:p w14:paraId="0603C92C" w14:textId="77777777" w:rsidR="0097090C" w:rsidRPr="00971956" w:rsidRDefault="0097090C" w:rsidP="0097090C">
            <w:pPr>
              <w:jc w:val="center"/>
              <w:rPr>
                <w:rFonts w:cs="Arial"/>
                <w:i/>
                <w:iCs/>
                <w:color w:val="000000"/>
              </w:rPr>
            </w:pPr>
          </w:p>
        </w:tc>
        <w:tc>
          <w:tcPr>
            <w:tcW w:w="1267" w:type="dxa"/>
            <w:tcBorders>
              <w:top w:val="nil"/>
              <w:left w:val="nil"/>
              <w:bottom w:val="nil"/>
              <w:right w:val="nil"/>
            </w:tcBorders>
            <w:shd w:val="clear" w:color="000000" w:fill="D9D9D9"/>
            <w:vAlign w:val="center"/>
            <w:hideMark/>
          </w:tcPr>
          <w:p w14:paraId="5A49630B" w14:textId="77777777" w:rsidR="0097090C" w:rsidRPr="00971956" w:rsidRDefault="0097090C" w:rsidP="0097090C">
            <w:pPr>
              <w:jc w:val="right"/>
              <w:rPr>
                <w:rFonts w:cs="Arial"/>
                <w:b/>
                <w:bCs/>
                <w:color w:val="000000"/>
              </w:rPr>
            </w:pPr>
            <w:r w:rsidRPr="00971956">
              <w:rPr>
                <w:rFonts w:cs="Arial"/>
                <w:b/>
                <w:bCs/>
                <w:color w:val="000000"/>
              </w:rPr>
              <w:t> </w:t>
            </w:r>
          </w:p>
        </w:tc>
        <w:tc>
          <w:tcPr>
            <w:tcW w:w="1267" w:type="dxa"/>
            <w:tcBorders>
              <w:top w:val="nil"/>
              <w:left w:val="nil"/>
              <w:bottom w:val="nil"/>
              <w:right w:val="nil"/>
            </w:tcBorders>
            <w:shd w:val="clear" w:color="auto" w:fill="auto"/>
            <w:vAlign w:val="center"/>
            <w:hideMark/>
          </w:tcPr>
          <w:p w14:paraId="4C697077" w14:textId="77777777" w:rsidR="0097090C" w:rsidRPr="00971956" w:rsidRDefault="0097090C" w:rsidP="0097090C">
            <w:pPr>
              <w:jc w:val="right"/>
              <w:rPr>
                <w:rFonts w:cs="Arial"/>
                <w:b/>
                <w:bCs/>
                <w:color w:val="000000"/>
              </w:rPr>
            </w:pPr>
          </w:p>
        </w:tc>
      </w:tr>
      <w:tr w:rsidR="0097090C" w:rsidRPr="00971956" w14:paraId="283E1FE8"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6BA7B030" w14:textId="77777777" w:rsidR="0097090C" w:rsidRPr="00971956" w:rsidRDefault="0097090C" w:rsidP="0097090C">
            <w:pPr>
              <w:rPr>
                <w:rFonts w:cs="Arial"/>
                <w:b/>
                <w:bCs/>
                <w:color w:val="000000"/>
              </w:rPr>
            </w:pPr>
            <w:r w:rsidRPr="00971956">
              <w:rPr>
                <w:rFonts w:cs="Arial"/>
                <w:b/>
                <w:bCs/>
                <w:color w:val="000000"/>
              </w:rPr>
              <w:t>Comprehensive result</w:t>
            </w:r>
          </w:p>
        </w:tc>
        <w:tc>
          <w:tcPr>
            <w:tcW w:w="731" w:type="dxa"/>
            <w:tcBorders>
              <w:top w:val="single" w:sz="4" w:space="0" w:color="auto"/>
              <w:left w:val="nil"/>
              <w:bottom w:val="single" w:sz="4" w:space="0" w:color="auto"/>
              <w:right w:val="nil"/>
            </w:tcBorders>
            <w:shd w:val="clear" w:color="auto" w:fill="auto"/>
            <w:vAlign w:val="center"/>
            <w:hideMark/>
          </w:tcPr>
          <w:p w14:paraId="1B1F1C8C" w14:textId="77777777" w:rsidR="0097090C" w:rsidRPr="00971956" w:rsidRDefault="0097090C" w:rsidP="0097090C">
            <w:pPr>
              <w:rPr>
                <w:rFonts w:cs="Arial"/>
                <w:i/>
                <w:iCs/>
                <w:color w:val="000000"/>
              </w:rPr>
            </w:pPr>
            <w:r w:rsidRPr="00971956">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1396EB1F" w14:textId="77777777" w:rsidR="0097090C" w:rsidRPr="00971956" w:rsidRDefault="0097090C" w:rsidP="0097090C">
            <w:pPr>
              <w:jc w:val="right"/>
              <w:rPr>
                <w:rFonts w:cs="Arial"/>
                <w:b/>
                <w:bCs/>
                <w:color w:val="000000"/>
              </w:rPr>
            </w:pPr>
            <w:r>
              <w:rPr>
                <w:rFonts w:cs="Arial"/>
                <w:b/>
                <w:bCs/>
                <w:color w:val="000000"/>
              </w:rPr>
              <w:t>632,121</w:t>
            </w:r>
          </w:p>
        </w:tc>
        <w:tc>
          <w:tcPr>
            <w:tcW w:w="1267" w:type="dxa"/>
            <w:tcBorders>
              <w:top w:val="single" w:sz="4" w:space="0" w:color="auto"/>
              <w:left w:val="nil"/>
              <w:bottom w:val="single" w:sz="4" w:space="0" w:color="auto"/>
              <w:right w:val="nil"/>
            </w:tcBorders>
            <w:shd w:val="clear" w:color="auto" w:fill="auto"/>
            <w:vAlign w:val="center"/>
            <w:hideMark/>
          </w:tcPr>
          <w:p w14:paraId="1FC6C9F3" w14:textId="77777777" w:rsidR="0097090C" w:rsidRPr="00971956" w:rsidRDefault="0097090C" w:rsidP="0097090C">
            <w:pPr>
              <w:jc w:val="right"/>
              <w:rPr>
                <w:rFonts w:cs="Arial"/>
                <w:b/>
                <w:bCs/>
                <w:color w:val="000000"/>
              </w:rPr>
            </w:pPr>
            <w:r w:rsidRPr="00971956">
              <w:rPr>
                <w:rFonts w:cs="Arial"/>
                <w:b/>
                <w:bCs/>
                <w:color w:val="000000"/>
              </w:rPr>
              <w:t>(13,510)</w:t>
            </w:r>
          </w:p>
        </w:tc>
      </w:tr>
    </w:tbl>
    <w:p w14:paraId="725ADCB2" w14:textId="77777777" w:rsidR="0097090C" w:rsidRDefault="0097090C" w:rsidP="0097090C">
      <w:pPr>
        <w:rPr>
          <w:rFonts w:cs="Arial"/>
        </w:rPr>
      </w:pPr>
    </w:p>
    <w:p w14:paraId="22D19B91" w14:textId="77777777" w:rsidR="0097090C" w:rsidRDefault="0097090C" w:rsidP="0097090C">
      <w:pPr>
        <w:spacing w:before="40"/>
      </w:pPr>
      <w:r>
        <w:rPr>
          <w:b/>
          <w:lang w:val="en-GB"/>
        </w:rPr>
        <w:t xml:space="preserve">The </w:t>
      </w:r>
      <w:r w:rsidRPr="00341D75">
        <w:rPr>
          <w:b/>
          <w:lang w:val="en-GB"/>
        </w:rPr>
        <w:t xml:space="preserve">above </w:t>
      </w:r>
      <w:r>
        <w:rPr>
          <w:b/>
          <w:lang w:val="en-GB"/>
        </w:rPr>
        <w:t xml:space="preserve">Comprehensive </w:t>
      </w:r>
      <w:r w:rsidRPr="00341D75">
        <w:rPr>
          <w:b/>
          <w:lang w:val="en-GB"/>
        </w:rPr>
        <w:t>Operating Statement</w:t>
      </w:r>
      <w:r>
        <w:rPr>
          <w:b/>
          <w:lang w:val="en-GB"/>
        </w:rPr>
        <w:t xml:space="preserve"> should be read in conjunction with the accompanying notes.</w:t>
      </w:r>
    </w:p>
    <w:p w14:paraId="5E49C9BD" w14:textId="77777777" w:rsidR="0097090C" w:rsidRPr="00DE68C7" w:rsidRDefault="0097090C" w:rsidP="0097090C">
      <w:pPr>
        <w:spacing w:after="200" w:line="276" w:lineRule="auto"/>
        <w:rPr>
          <w:rFonts w:cs="Arial"/>
        </w:rPr>
      </w:pPr>
      <w:r>
        <w:rPr>
          <w:rFonts w:cs="Arial"/>
        </w:rPr>
        <w:br w:type="page"/>
      </w:r>
    </w:p>
    <w:p w14:paraId="4FCD3D1D" w14:textId="77777777" w:rsidR="0097090C" w:rsidRPr="00254CC1" w:rsidRDefault="0097090C" w:rsidP="0097090C">
      <w:pPr>
        <w:pStyle w:val="Heading3"/>
        <w:rPr>
          <w:szCs w:val="22"/>
        </w:rPr>
      </w:pPr>
      <w:r>
        <w:rPr>
          <w:szCs w:val="22"/>
        </w:rPr>
        <w:lastRenderedPageBreak/>
        <w:t>Balance Sheet as at 30 June 2016</w:t>
      </w:r>
    </w:p>
    <w:tbl>
      <w:tblPr>
        <w:tblW w:w="9360" w:type="dxa"/>
        <w:tblInd w:w="108" w:type="dxa"/>
        <w:tblLook w:val="04A0" w:firstRow="1" w:lastRow="0" w:firstColumn="1" w:lastColumn="0" w:noHBand="0" w:noVBand="1"/>
      </w:tblPr>
      <w:tblGrid>
        <w:gridCol w:w="6095"/>
        <w:gridCol w:w="925"/>
        <w:gridCol w:w="1267"/>
        <w:gridCol w:w="1267"/>
      </w:tblGrid>
      <w:tr w:rsidR="0097090C" w:rsidRPr="003731A3" w14:paraId="69974B27" w14:textId="77777777" w:rsidTr="0097090C">
        <w:trPr>
          <w:trHeight w:val="255"/>
        </w:trPr>
        <w:tc>
          <w:tcPr>
            <w:tcW w:w="6095" w:type="dxa"/>
            <w:tcBorders>
              <w:top w:val="single" w:sz="4" w:space="0" w:color="auto"/>
              <w:left w:val="nil"/>
              <w:bottom w:val="single" w:sz="4" w:space="0" w:color="auto"/>
              <w:right w:val="nil"/>
            </w:tcBorders>
            <w:shd w:val="clear" w:color="auto" w:fill="auto"/>
            <w:noWrap/>
            <w:vAlign w:val="center"/>
            <w:hideMark/>
          </w:tcPr>
          <w:p w14:paraId="0FAE5921" w14:textId="77777777" w:rsidR="0097090C" w:rsidRPr="003731A3" w:rsidRDefault="0097090C" w:rsidP="0097090C">
            <w:pPr>
              <w:rPr>
                <w:rFonts w:cs="Arial"/>
                <w:color w:val="000000"/>
              </w:rPr>
            </w:pPr>
            <w:r w:rsidRPr="003731A3">
              <w:rPr>
                <w:rFonts w:cs="Arial"/>
                <w:color w:val="000000"/>
              </w:rPr>
              <w:t> </w:t>
            </w:r>
          </w:p>
        </w:tc>
        <w:tc>
          <w:tcPr>
            <w:tcW w:w="731" w:type="dxa"/>
            <w:tcBorders>
              <w:top w:val="single" w:sz="4" w:space="0" w:color="auto"/>
              <w:left w:val="nil"/>
              <w:bottom w:val="single" w:sz="4" w:space="0" w:color="auto"/>
              <w:right w:val="nil"/>
            </w:tcBorders>
            <w:shd w:val="clear" w:color="auto" w:fill="auto"/>
            <w:noWrap/>
            <w:vAlign w:val="center"/>
            <w:hideMark/>
          </w:tcPr>
          <w:p w14:paraId="2E9E076E" w14:textId="77777777" w:rsidR="0097090C" w:rsidRPr="006F48C9" w:rsidRDefault="0097090C" w:rsidP="0097090C">
            <w:pPr>
              <w:jc w:val="center"/>
              <w:rPr>
                <w:rFonts w:cs="Arial"/>
                <w:b/>
                <w:color w:val="000000"/>
              </w:rPr>
            </w:pPr>
            <w:r w:rsidRPr="006F48C9">
              <w:rPr>
                <w:rFonts w:cs="Arial"/>
                <w:b/>
                <w:color w:val="000000"/>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7F8FC286" w14:textId="77777777" w:rsidR="0097090C" w:rsidRPr="006F48C9" w:rsidRDefault="0097090C" w:rsidP="0097090C">
            <w:pPr>
              <w:jc w:val="right"/>
              <w:rPr>
                <w:rFonts w:cs="Arial"/>
                <w:b/>
                <w:color w:val="000000"/>
              </w:rPr>
            </w:pPr>
            <w:r w:rsidRPr="006F48C9">
              <w:rPr>
                <w:rFonts w:cs="Arial"/>
                <w:b/>
                <w:color w:val="000000"/>
              </w:rPr>
              <w:t>2016</w:t>
            </w:r>
          </w:p>
        </w:tc>
        <w:tc>
          <w:tcPr>
            <w:tcW w:w="1267" w:type="dxa"/>
            <w:tcBorders>
              <w:top w:val="single" w:sz="4" w:space="0" w:color="auto"/>
              <w:left w:val="nil"/>
              <w:bottom w:val="single" w:sz="4" w:space="0" w:color="auto"/>
              <w:right w:val="nil"/>
            </w:tcBorders>
            <w:shd w:val="clear" w:color="auto" w:fill="auto"/>
            <w:noWrap/>
            <w:vAlign w:val="center"/>
            <w:hideMark/>
          </w:tcPr>
          <w:p w14:paraId="49269E64" w14:textId="77777777" w:rsidR="0097090C" w:rsidRPr="006F48C9" w:rsidRDefault="0097090C" w:rsidP="0097090C">
            <w:pPr>
              <w:jc w:val="right"/>
              <w:rPr>
                <w:rFonts w:cs="Arial"/>
                <w:b/>
                <w:color w:val="000000"/>
              </w:rPr>
            </w:pPr>
            <w:r w:rsidRPr="006F48C9">
              <w:rPr>
                <w:rFonts w:cs="Arial"/>
                <w:b/>
                <w:color w:val="000000"/>
              </w:rPr>
              <w:t>2015</w:t>
            </w:r>
          </w:p>
        </w:tc>
      </w:tr>
      <w:tr w:rsidR="0097090C" w:rsidRPr="003731A3" w14:paraId="7CF2EBFD" w14:textId="77777777" w:rsidTr="0097090C">
        <w:trPr>
          <w:trHeight w:val="255"/>
        </w:trPr>
        <w:tc>
          <w:tcPr>
            <w:tcW w:w="6095" w:type="dxa"/>
            <w:tcBorders>
              <w:top w:val="nil"/>
              <w:left w:val="nil"/>
              <w:bottom w:val="single" w:sz="4" w:space="0" w:color="auto"/>
              <w:right w:val="nil"/>
            </w:tcBorders>
            <w:shd w:val="clear" w:color="auto" w:fill="auto"/>
            <w:noWrap/>
            <w:vAlign w:val="center"/>
            <w:hideMark/>
          </w:tcPr>
          <w:p w14:paraId="6C2AF56D" w14:textId="77777777" w:rsidR="0097090C" w:rsidRPr="003731A3" w:rsidRDefault="0097090C" w:rsidP="0097090C">
            <w:pPr>
              <w:rPr>
                <w:rFonts w:cs="Arial"/>
                <w:color w:val="000000"/>
              </w:rPr>
            </w:pPr>
            <w:r w:rsidRPr="003731A3">
              <w:rPr>
                <w:rFonts w:cs="Arial"/>
                <w:color w:val="000000"/>
              </w:rPr>
              <w:t> </w:t>
            </w:r>
          </w:p>
        </w:tc>
        <w:tc>
          <w:tcPr>
            <w:tcW w:w="731" w:type="dxa"/>
            <w:tcBorders>
              <w:top w:val="nil"/>
              <w:left w:val="nil"/>
              <w:bottom w:val="single" w:sz="4" w:space="0" w:color="auto"/>
              <w:right w:val="nil"/>
            </w:tcBorders>
            <w:shd w:val="clear" w:color="auto" w:fill="auto"/>
            <w:noWrap/>
            <w:vAlign w:val="center"/>
            <w:hideMark/>
          </w:tcPr>
          <w:p w14:paraId="471643C5" w14:textId="77777777" w:rsidR="0097090C" w:rsidRPr="006F48C9" w:rsidRDefault="0097090C" w:rsidP="0097090C">
            <w:pPr>
              <w:rPr>
                <w:rFonts w:cs="Arial"/>
                <w:b/>
                <w:color w:val="000000"/>
              </w:rPr>
            </w:pPr>
            <w:r w:rsidRPr="006F48C9">
              <w:rPr>
                <w:rFonts w:cs="Arial"/>
                <w:b/>
                <w:color w:val="000000"/>
              </w:rPr>
              <w:t> </w:t>
            </w:r>
          </w:p>
        </w:tc>
        <w:tc>
          <w:tcPr>
            <w:tcW w:w="1267" w:type="dxa"/>
            <w:tcBorders>
              <w:top w:val="nil"/>
              <w:left w:val="nil"/>
              <w:bottom w:val="single" w:sz="4" w:space="0" w:color="auto"/>
              <w:right w:val="nil"/>
            </w:tcBorders>
            <w:shd w:val="clear" w:color="000000" w:fill="D9D9D9"/>
            <w:noWrap/>
            <w:vAlign w:val="center"/>
            <w:hideMark/>
          </w:tcPr>
          <w:p w14:paraId="3C32A912" w14:textId="77777777" w:rsidR="0097090C" w:rsidRPr="006F48C9" w:rsidRDefault="0097090C" w:rsidP="0097090C">
            <w:pPr>
              <w:jc w:val="right"/>
              <w:rPr>
                <w:rFonts w:cs="Arial"/>
                <w:b/>
                <w:color w:val="000000"/>
              </w:rPr>
            </w:pPr>
            <w:r w:rsidRPr="006F48C9">
              <w:rPr>
                <w:rFonts w:cs="Arial"/>
                <w:b/>
                <w:color w:val="000000"/>
              </w:rPr>
              <w:t>$'000</w:t>
            </w:r>
          </w:p>
        </w:tc>
        <w:tc>
          <w:tcPr>
            <w:tcW w:w="1267" w:type="dxa"/>
            <w:tcBorders>
              <w:top w:val="nil"/>
              <w:left w:val="nil"/>
              <w:bottom w:val="single" w:sz="4" w:space="0" w:color="auto"/>
              <w:right w:val="nil"/>
            </w:tcBorders>
            <w:shd w:val="clear" w:color="auto" w:fill="auto"/>
            <w:noWrap/>
            <w:vAlign w:val="center"/>
            <w:hideMark/>
          </w:tcPr>
          <w:p w14:paraId="7E8CDC78" w14:textId="77777777" w:rsidR="0097090C" w:rsidRPr="006F48C9" w:rsidRDefault="0097090C" w:rsidP="0097090C">
            <w:pPr>
              <w:jc w:val="right"/>
              <w:rPr>
                <w:rFonts w:cs="Arial"/>
                <w:b/>
                <w:color w:val="000000"/>
              </w:rPr>
            </w:pPr>
            <w:r w:rsidRPr="006F48C9">
              <w:rPr>
                <w:rFonts w:cs="Arial"/>
                <w:b/>
                <w:color w:val="000000"/>
              </w:rPr>
              <w:t>$'000</w:t>
            </w:r>
          </w:p>
        </w:tc>
      </w:tr>
      <w:tr w:rsidR="0097090C" w:rsidRPr="003731A3" w14:paraId="256A2733" w14:textId="77777777" w:rsidTr="0097090C">
        <w:trPr>
          <w:trHeight w:val="255"/>
        </w:trPr>
        <w:tc>
          <w:tcPr>
            <w:tcW w:w="6095" w:type="dxa"/>
            <w:tcBorders>
              <w:top w:val="nil"/>
              <w:left w:val="nil"/>
              <w:bottom w:val="nil"/>
              <w:right w:val="nil"/>
            </w:tcBorders>
            <w:shd w:val="clear" w:color="auto" w:fill="auto"/>
            <w:noWrap/>
            <w:vAlign w:val="center"/>
            <w:hideMark/>
          </w:tcPr>
          <w:p w14:paraId="0E54479E" w14:textId="77777777" w:rsidR="0097090C" w:rsidRPr="003731A3" w:rsidRDefault="0097090C" w:rsidP="0097090C">
            <w:pPr>
              <w:rPr>
                <w:rFonts w:cs="Arial"/>
                <w:color w:val="000000"/>
              </w:rPr>
            </w:pPr>
          </w:p>
        </w:tc>
        <w:tc>
          <w:tcPr>
            <w:tcW w:w="731" w:type="dxa"/>
            <w:tcBorders>
              <w:top w:val="nil"/>
              <w:left w:val="nil"/>
              <w:bottom w:val="nil"/>
              <w:right w:val="nil"/>
            </w:tcBorders>
            <w:shd w:val="clear" w:color="auto" w:fill="auto"/>
            <w:noWrap/>
            <w:vAlign w:val="center"/>
            <w:hideMark/>
          </w:tcPr>
          <w:p w14:paraId="524C31DE" w14:textId="77777777" w:rsidR="0097090C" w:rsidRPr="003731A3"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5021F7B3"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noWrap/>
            <w:vAlign w:val="center"/>
            <w:hideMark/>
          </w:tcPr>
          <w:p w14:paraId="42287701" w14:textId="77777777" w:rsidR="0097090C" w:rsidRPr="003731A3" w:rsidRDefault="0097090C" w:rsidP="0097090C">
            <w:pPr>
              <w:jc w:val="right"/>
              <w:rPr>
                <w:rFonts w:cs="Arial"/>
                <w:color w:val="000000"/>
              </w:rPr>
            </w:pPr>
          </w:p>
        </w:tc>
      </w:tr>
      <w:tr w:rsidR="0097090C" w:rsidRPr="003731A3" w14:paraId="4F6BFFE8" w14:textId="77777777" w:rsidTr="0097090C">
        <w:trPr>
          <w:trHeight w:val="255"/>
        </w:trPr>
        <w:tc>
          <w:tcPr>
            <w:tcW w:w="6095" w:type="dxa"/>
            <w:tcBorders>
              <w:top w:val="nil"/>
              <w:left w:val="nil"/>
              <w:bottom w:val="nil"/>
              <w:right w:val="nil"/>
            </w:tcBorders>
            <w:shd w:val="clear" w:color="auto" w:fill="auto"/>
            <w:noWrap/>
            <w:vAlign w:val="center"/>
            <w:hideMark/>
          </w:tcPr>
          <w:p w14:paraId="746E8E17" w14:textId="77777777" w:rsidR="0097090C" w:rsidRPr="003731A3" w:rsidRDefault="0097090C" w:rsidP="0097090C">
            <w:pPr>
              <w:rPr>
                <w:rFonts w:cs="Arial"/>
                <w:b/>
                <w:bCs/>
                <w:color w:val="000000"/>
              </w:rPr>
            </w:pPr>
            <w:r w:rsidRPr="003731A3">
              <w:rPr>
                <w:rFonts w:cs="Arial"/>
                <w:b/>
                <w:bCs/>
                <w:color w:val="000000"/>
              </w:rPr>
              <w:t>Financial Assets</w:t>
            </w:r>
          </w:p>
        </w:tc>
        <w:tc>
          <w:tcPr>
            <w:tcW w:w="731" w:type="dxa"/>
            <w:tcBorders>
              <w:top w:val="nil"/>
              <w:left w:val="nil"/>
              <w:bottom w:val="nil"/>
              <w:right w:val="nil"/>
            </w:tcBorders>
            <w:shd w:val="clear" w:color="auto" w:fill="auto"/>
            <w:noWrap/>
            <w:vAlign w:val="center"/>
            <w:hideMark/>
          </w:tcPr>
          <w:p w14:paraId="504DFBE5" w14:textId="77777777" w:rsidR="0097090C" w:rsidRPr="003731A3"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5AC55DA0" w14:textId="77777777" w:rsidR="0097090C" w:rsidRPr="003731A3" w:rsidRDefault="0097090C" w:rsidP="0097090C">
            <w:pPr>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noWrap/>
            <w:vAlign w:val="center"/>
            <w:hideMark/>
          </w:tcPr>
          <w:p w14:paraId="60A5B05E" w14:textId="77777777" w:rsidR="0097090C" w:rsidRPr="003731A3" w:rsidRDefault="0097090C" w:rsidP="0097090C">
            <w:pPr>
              <w:rPr>
                <w:rFonts w:cs="Arial"/>
                <w:color w:val="000000"/>
              </w:rPr>
            </w:pPr>
          </w:p>
        </w:tc>
      </w:tr>
      <w:tr w:rsidR="0097090C" w:rsidRPr="003731A3" w14:paraId="001FDE44" w14:textId="77777777" w:rsidTr="0097090C">
        <w:trPr>
          <w:trHeight w:val="255"/>
        </w:trPr>
        <w:tc>
          <w:tcPr>
            <w:tcW w:w="6095" w:type="dxa"/>
            <w:tcBorders>
              <w:top w:val="nil"/>
              <w:left w:val="nil"/>
              <w:bottom w:val="nil"/>
              <w:right w:val="nil"/>
            </w:tcBorders>
            <w:shd w:val="clear" w:color="auto" w:fill="auto"/>
            <w:vAlign w:val="center"/>
            <w:hideMark/>
          </w:tcPr>
          <w:p w14:paraId="7D45477C" w14:textId="77777777" w:rsidR="0097090C" w:rsidRPr="003731A3" w:rsidRDefault="0097090C" w:rsidP="0097090C">
            <w:pPr>
              <w:rPr>
                <w:rFonts w:cs="Arial"/>
                <w:color w:val="000000"/>
              </w:rPr>
            </w:pPr>
            <w:r w:rsidRPr="003731A3">
              <w:rPr>
                <w:rFonts w:cs="Arial"/>
                <w:color w:val="000000"/>
              </w:rPr>
              <w:t>Cash and Deposits</w:t>
            </w:r>
          </w:p>
        </w:tc>
        <w:tc>
          <w:tcPr>
            <w:tcW w:w="731" w:type="dxa"/>
            <w:tcBorders>
              <w:top w:val="nil"/>
              <w:left w:val="nil"/>
              <w:bottom w:val="nil"/>
              <w:right w:val="nil"/>
            </w:tcBorders>
            <w:shd w:val="clear" w:color="auto" w:fill="auto"/>
            <w:vAlign w:val="center"/>
            <w:hideMark/>
          </w:tcPr>
          <w:p w14:paraId="65D468F0" w14:textId="77777777" w:rsidR="0097090C" w:rsidRPr="003731A3" w:rsidRDefault="0097090C" w:rsidP="0097090C">
            <w:pPr>
              <w:jc w:val="center"/>
              <w:rPr>
                <w:rFonts w:cs="Arial"/>
                <w:color w:val="000000"/>
              </w:rPr>
            </w:pPr>
            <w:r w:rsidRPr="003731A3">
              <w:rPr>
                <w:rFonts w:cs="Arial"/>
                <w:color w:val="000000"/>
              </w:rPr>
              <w:t>6,15(a)</w:t>
            </w:r>
          </w:p>
        </w:tc>
        <w:tc>
          <w:tcPr>
            <w:tcW w:w="1267" w:type="dxa"/>
            <w:tcBorders>
              <w:top w:val="nil"/>
              <w:left w:val="nil"/>
              <w:bottom w:val="nil"/>
              <w:right w:val="nil"/>
            </w:tcBorders>
            <w:shd w:val="clear" w:color="000000" w:fill="D9D9D9"/>
            <w:vAlign w:val="center"/>
            <w:hideMark/>
          </w:tcPr>
          <w:p w14:paraId="20CAB9FF" w14:textId="77777777" w:rsidR="0097090C" w:rsidRPr="003731A3" w:rsidRDefault="0097090C" w:rsidP="0097090C">
            <w:pPr>
              <w:jc w:val="right"/>
              <w:rPr>
                <w:rFonts w:cs="Arial"/>
                <w:color w:val="000000"/>
              </w:rPr>
            </w:pPr>
            <w:r w:rsidRPr="003731A3">
              <w:rPr>
                <w:rFonts w:cs="Arial"/>
                <w:color w:val="000000"/>
              </w:rPr>
              <w:t>40,789</w:t>
            </w:r>
          </w:p>
        </w:tc>
        <w:tc>
          <w:tcPr>
            <w:tcW w:w="1267" w:type="dxa"/>
            <w:tcBorders>
              <w:top w:val="nil"/>
              <w:left w:val="nil"/>
              <w:bottom w:val="nil"/>
              <w:right w:val="nil"/>
            </w:tcBorders>
            <w:shd w:val="clear" w:color="auto" w:fill="auto"/>
            <w:vAlign w:val="center"/>
            <w:hideMark/>
          </w:tcPr>
          <w:p w14:paraId="1C4E3A50" w14:textId="77777777" w:rsidR="0097090C" w:rsidRPr="003731A3" w:rsidRDefault="0097090C" w:rsidP="0097090C">
            <w:pPr>
              <w:jc w:val="right"/>
              <w:rPr>
                <w:rFonts w:cs="Arial"/>
                <w:color w:val="000000"/>
              </w:rPr>
            </w:pPr>
            <w:r w:rsidRPr="003731A3">
              <w:rPr>
                <w:rFonts w:cs="Arial"/>
                <w:color w:val="000000"/>
              </w:rPr>
              <w:t>30,236</w:t>
            </w:r>
          </w:p>
        </w:tc>
      </w:tr>
      <w:tr w:rsidR="0097090C" w:rsidRPr="003731A3" w14:paraId="6A088527" w14:textId="77777777" w:rsidTr="0097090C">
        <w:trPr>
          <w:trHeight w:val="255"/>
        </w:trPr>
        <w:tc>
          <w:tcPr>
            <w:tcW w:w="6095" w:type="dxa"/>
            <w:tcBorders>
              <w:top w:val="nil"/>
              <w:left w:val="nil"/>
              <w:bottom w:val="nil"/>
              <w:right w:val="nil"/>
            </w:tcBorders>
            <w:shd w:val="clear" w:color="auto" w:fill="auto"/>
            <w:vAlign w:val="center"/>
            <w:hideMark/>
          </w:tcPr>
          <w:p w14:paraId="619E89F4" w14:textId="77777777" w:rsidR="0097090C" w:rsidRPr="003731A3" w:rsidRDefault="0097090C" w:rsidP="0097090C">
            <w:pPr>
              <w:rPr>
                <w:rFonts w:cs="Arial"/>
                <w:color w:val="000000"/>
              </w:rPr>
            </w:pPr>
            <w:r w:rsidRPr="003731A3">
              <w:rPr>
                <w:rFonts w:cs="Arial"/>
                <w:color w:val="000000"/>
              </w:rPr>
              <w:t>Receivables</w:t>
            </w:r>
          </w:p>
        </w:tc>
        <w:tc>
          <w:tcPr>
            <w:tcW w:w="731" w:type="dxa"/>
            <w:tcBorders>
              <w:top w:val="nil"/>
              <w:left w:val="nil"/>
              <w:bottom w:val="nil"/>
              <w:right w:val="nil"/>
            </w:tcBorders>
            <w:shd w:val="clear" w:color="auto" w:fill="auto"/>
            <w:vAlign w:val="center"/>
            <w:hideMark/>
          </w:tcPr>
          <w:p w14:paraId="1A1F38C6" w14:textId="77777777" w:rsidR="0097090C" w:rsidRPr="003731A3" w:rsidRDefault="0097090C" w:rsidP="0097090C">
            <w:pPr>
              <w:jc w:val="center"/>
              <w:rPr>
                <w:rFonts w:cs="Arial"/>
                <w:color w:val="000000"/>
              </w:rPr>
            </w:pPr>
            <w:r w:rsidRPr="003731A3">
              <w:rPr>
                <w:rFonts w:cs="Arial"/>
                <w:color w:val="000000"/>
              </w:rPr>
              <w:t>7</w:t>
            </w:r>
          </w:p>
        </w:tc>
        <w:tc>
          <w:tcPr>
            <w:tcW w:w="1267" w:type="dxa"/>
            <w:tcBorders>
              <w:top w:val="nil"/>
              <w:left w:val="nil"/>
              <w:bottom w:val="nil"/>
              <w:right w:val="nil"/>
            </w:tcBorders>
            <w:shd w:val="clear" w:color="000000" w:fill="D9D9D9"/>
            <w:vAlign w:val="center"/>
            <w:hideMark/>
          </w:tcPr>
          <w:p w14:paraId="3AD1D1B5" w14:textId="77777777" w:rsidR="0097090C" w:rsidRPr="003731A3" w:rsidRDefault="0097090C" w:rsidP="0097090C">
            <w:pPr>
              <w:jc w:val="right"/>
              <w:rPr>
                <w:rFonts w:cs="Arial"/>
                <w:color w:val="000000"/>
              </w:rPr>
            </w:pPr>
            <w:r w:rsidRPr="003731A3">
              <w:rPr>
                <w:rFonts w:cs="Arial"/>
                <w:color w:val="000000"/>
              </w:rPr>
              <w:t>1,051</w:t>
            </w:r>
          </w:p>
        </w:tc>
        <w:tc>
          <w:tcPr>
            <w:tcW w:w="1267" w:type="dxa"/>
            <w:tcBorders>
              <w:top w:val="nil"/>
              <w:left w:val="nil"/>
              <w:bottom w:val="nil"/>
              <w:right w:val="nil"/>
            </w:tcBorders>
            <w:shd w:val="clear" w:color="auto" w:fill="auto"/>
            <w:vAlign w:val="center"/>
            <w:hideMark/>
          </w:tcPr>
          <w:p w14:paraId="1E66D510" w14:textId="77777777" w:rsidR="0097090C" w:rsidRPr="003731A3" w:rsidRDefault="0097090C" w:rsidP="0097090C">
            <w:pPr>
              <w:jc w:val="right"/>
              <w:rPr>
                <w:rFonts w:cs="Arial"/>
                <w:color w:val="000000"/>
              </w:rPr>
            </w:pPr>
            <w:r w:rsidRPr="003731A3">
              <w:rPr>
                <w:rFonts w:cs="Arial"/>
                <w:color w:val="000000"/>
              </w:rPr>
              <w:t>1,659</w:t>
            </w:r>
          </w:p>
        </w:tc>
      </w:tr>
      <w:tr w:rsidR="0097090C" w:rsidRPr="003731A3" w14:paraId="2B3E48D2" w14:textId="77777777" w:rsidTr="0097090C">
        <w:trPr>
          <w:trHeight w:val="255"/>
        </w:trPr>
        <w:tc>
          <w:tcPr>
            <w:tcW w:w="6095" w:type="dxa"/>
            <w:tcBorders>
              <w:top w:val="nil"/>
              <w:left w:val="nil"/>
              <w:bottom w:val="nil"/>
              <w:right w:val="nil"/>
            </w:tcBorders>
            <w:shd w:val="clear" w:color="auto" w:fill="auto"/>
            <w:vAlign w:val="center"/>
            <w:hideMark/>
          </w:tcPr>
          <w:p w14:paraId="63E907CD" w14:textId="77777777" w:rsidR="0097090C" w:rsidRPr="003731A3" w:rsidRDefault="0097090C" w:rsidP="0097090C">
            <w:pPr>
              <w:rPr>
                <w:rFonts w:cs="Arial"/>
                <w:color w:val="000000"/>
              </w:rPr>
            </w:pPr>
            <w:r w:rsidRPr="003731A3">
              <w:rPr>
                <w:rFonts w:cs="Arial"/>
                <w:color w:val="000000"/>
              </w:rPr>
              <w:t>Foreign exchange forward contract</w:t>
            </w:r>
          </w:p>
        </w:tc>
        <w:tc>
          <w:tcPr>
            <w:tcW w:w="731" w:type="dxa"/>
            <w:tcBorders>
              <w:top w:val="nil"/>
              <w:left w:val="nil"/>
              <w:bottom w:val="nil"/>
              <w:right w:val="nil"/>
            </w:tcBorders>
            <w:shd w:val="clear" w:color="auto" w:fill="auto"/>
            <w:vAlign w:val="center"/>
            <w:hideMark/>
          </w:tcPr>
          <w:p w14:paraId="7DDD2D1E"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918DC73" w14:textId="77777777" w:rsidR="0097090C" w:rsidRPr="003731A3" w:rsidRDefault="0097090C" w:rsidP="0097090C">
            <w:pPr>
              <w:jc w:val="right"/>
              <w:rPr>
                <w:rFonts w:cs="Arial"/>
                <w:color w:val="000000"/>
              </w:rPr>
            </w:pPr>
            <w:r w:rsidRPr="003731A3">
              <w:rPr>
                <w:rFonts w:cs="Arial"/>
                <w:color w:val="000000"/>
              </w:rPr>
              <w:t>0</w:t>
            </w:r>
          </w:p>
        </w:tc>
        <w:tc>
          <w:tcPr>
            <w:tcW w:w="1267" w:type="dxa"/>
            <w:tcBorders>
              <w:top w:val="nil"/>
              <w:left w:val="nil"/>
              <w:bottom w:val="nil"/>
              <w:right w:val="nil"/>
            </w:tcBorders>
            <w:shd w:val="clear" w:color="auto" w:fill="auto"/>
            <w:vAlign w:val="center"/>
            <w:hideMark/>
          </w:tcPr>
          <w:p w14:paraId="39CDE7B1" w14:textId="77777777" w:rsidR="0097090C" w:rsidRPr="003731A3" w:rsidRDefault="0097090C" w:rsidP="0097090C">
            <w:pPr>
              <w:jc w:val="right"/>
              <w:rPr>
                <w:rFonts w:cs="Arial"/>
                <w:color w:val="000000"/>
              </w:rPr>
            </w:pPr>
            <w:r w:rsidRPr="003731A3">
              <w:rPr>
                <w:rFonts w:cs="Arial"/>
                <w:color w:val="000000"/>
              </w:rPr>
              <w:t>947</w:t>
            </w:r>
          </w:p>
        </w:tc>
      </w:tr>
      <w:tr w:rsidR="0097090C" w:rsidRPr="003731A3" w14:paraId="174BDB3C"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0F7C59C3" w14:textId="77777777" w:rsidR="0097090C" w:rsidRPr="003731A3" w:rsidRDefault="0097090C" w:rsidP="0097090C">
            <w:pPr>
              <w:rPr>
                <w:rFonts w:cs="Arial"/>
                <w:b/>
                <w:bCs/>
                <w:color w:val="000000"/>
              </w:rPr>
            </w:pPr>
            <w:r w:rsidRPr="003731A3">
              <w:rPr>
                <w:rFonts w:cs="Arial"/>
                <w:b/>
                <w:bCs/>
                <w:color w:val="000000"/>
              </w:rPr>
              <w:t>Total Financial Assets</w:t>
            </w:r>
          </w:p>
        </w:tc>
        <w:tc>
          <w:tcPr>
            <w:tcW w:w="731" w:type="dxa"/>
            <w:tcBorders>
              <w:top w:val="single" w:sz="4" w:space="0" w:color="auto"/>
              <w:left w:val="nil"/>
              <w:bottom w:val="single" w:sz="4" w:space="0" w:color="auto"/>
              <w:right w:val="nil"/>
            </w:tcBorders>
            <w:shd w:val="clear" w:color="auto" w:fill="auto"/>
            <w:vAlign w:val="center"/>
            <w:hideMark/>
          </w:tcPr>
          <w:p w14:paraId="308C4D88" w14:textId="77777777" w:rsidR="0097090C" w:rsidRPr="003731A3" w:rsidRDefault="0097090C" w:rsidP="0097090C">
            <w:pPr>
              <w:rPr>
                <w:rFonts w:cs="Arial"/>
                <w:i/>
                <w:iCs/>
                <w:color w:val="000000"/>
              </w:rPr>
            </w:pPr>
            <w:r w:rsidRPr="003731A3">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11871D05" w14:textId="77777777" w:rsidR="0097090C" w:rsidRPr="003731A3" w:rsidRDefault="0097090C" w:rsidP="0097090C">
            <w:pPr>
              <w:jc w:val="right"/>
              <w:rPr>
                <w:rFonts w:cs="Arial"/>
                <w:b/>
                <w:bCs/>
                <w:color w:val="000000"/>
              </w:rPr>
            </w:pPr>
            <w:r w:rsidRPr="003731A3">
              <w:rPr>
                <w:rFonts w:cs="Arial"/>
                <w:b/>
                <w:bCs/>
                <w:color w:val="000000"/>
              </w:rPr>
              <w:t>41,840</w:t>
            </w:r>
          </w:p>
        </w:tc>
        <w:tc>
          <w:tcPr>
            <w:tcW w:w="1267" w:type="dxa"/>
            <w:tcBorders>
              <w:top w:val="single" w:sz="4" w:space="0" w:color="auto"/>
              <w:left w:val="nil"/>
              <w:bottom w:val="single" w:sz="4" w:space="0" w:color="auto"/>
              <w:right w:val="nil"/>
            </w:tcBorders>
            <w:shd w:val="clear" w:color="auto" w:fill="auto"/>
            <w:vAlign w:val="center"/>
            <w:hideMark/>
          </w:tcPr>
          <w:p w14:paraId="07710EA7" w14:textId="77777777" w:rsidR="0097090C" w:rsidRPr="003731A3" w:rsidRDefault="0097090C" w:rsidP="0097090C">
            <w:pPr>
              <w:jc w:val="right"/>
              <w:rPr>
                <w:rFonts w:cs="Arial"/>
                <w:b/>
                <w:bCs/>
                <w:color w:val="000000"/>
              </w:rPr>
            </w:pPr>
            <w:r w:rsidRPr="003731A3">
              <w:rPr>
                <w:rFonts w:cs="Arial"/>
                <w:b/>
                <w:bCs/>
                <w:color w:val="000000"/>
              </w:rPr>
              <w:t>32,842</w:t>
            </w:r>
          </w:p>
        </w:tc>
      </w:tr>
      <w:tr w:rsidR="0097090C" w:rsidRPr="003731A3" w14:paraId="54AB8169" w14:textId="77777777" w:rsidTr="0097090C">
        <w:trPr>
          <w:trHeight w:val="255"/>
        </w:trPr>
        <w:tc>
          <w:tcPr>
            <w:tcW w:w="6095" w:type="dxa"/>
            <w:tcBorders>
              <w:top w:val="nil"/>
              <w:left w:val="nil"/>
              <w:bottom w:val="nil"/>
              <w:right w:val="nil"/>
            </w:tcBorders>
            <w:shd w:val="clear" w:color="auto" w:fill="auto"/>
            <w:vAlign w:val="center"/>
            <w:hideMark/>
          </w:tcPr>
          <w:p w14:paraId="542659F9" w14:textId="77777777" w:rsidR="0097090C" w:rsidRPr="003731A3"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5E5682BE"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7E29255"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0A14A285" w14:textId="77777777" w:rsidR="0097090C" w:rsidRPr="003731A3" w:rsidRDefault="0097090C" w:rsidP="0097090C">
            <w:pPr>
              <w:jc w:val="right"/>
              <w:rPr>
                <w:rFonts w:cs="Arial"/>
                <w:color w:val="000000"/>
              </w:rPr>
            </w:pPr>
          </w:p>
        </w:tc>
      </w:tr>
      <w:tr w:rsidR="0097090C" w:rsidRPr="003731A3" w14:paraId="13F63E13" w14:textId="77777777" w:rsidTr="0097090C">
        <w:trPr>
          <w:trHeight w:val="255"/>
        </w:trPr>
        <w:tc>
          <w:tcPr>
            <w:tcW w:w="6095" w:type="dxa"/>
            <w:tcBorders>
              <w:top w:val="nil"/>
              <w:left w:val="nil"/>
              <w:bottom w:val="nil"/>
              <w:right w:val="nil"/>
            </w:tcBorders>
            <w:shd w:val="clear" w:color="auto" w:fill="auto"/>
            <w:vAlign w:val="center"/>
            <w:hideMark/>
          </w:tcPr>
          <w:p w14:paraId="529082B8" w14:textId="77777777" w:rsidR="0097090C" w:rsidRPr="003731A3" w:rsidRDefault="0097090C" w:rsidP="0097090C">
            <w:pPr>
              <w:rPr>
                <w:rFonts w:cs="Arial"/>
                <w:b/>
                <w:bCs/>
                <w:color w:val="000000"/>
              </w:rPr>
            </w:pPr>
            <w:r w:rsidRPr="003731A3">
              <w:rPr>
                <w:rFonts w:cs="Arial"/>
                <w:b/>
                <w:bCs/>
                <w:color w:val="000000"/>
              </w:rPr>
              <w:t>Non-Financial Assets</w:t>
            </w:r>
          </w:p>
        </w:tc>
        <w:tc>
          <w:tcPr>
            <w:tcW w:w="731" w:type="dxa"/>
            <w:tcBorders>
              <w:top w:val="nil"/>
              <w:left w:val="nil"/>
              <w:bottom w:val="nil"/>
              <w:right w:val="nil"/>
            </w:tcBorders>
            <w:shd w:val="clear" w:color="auto" w:fill="auto"/>
            <w:vAlign w:val="center"/>
            <w:hideMark/>
          </w:tcPr>
          <w:p w14:paraId="0CF3A410"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9E9BDC5"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1722251B" w14:textId="77777777" w:rsidR="0097090C" w:rsidRPr="003731A3" w:rsidRDefault="0097090C" w:rsidP="0097090C">
            <w:pPr>
              <w:jc w:val="right"/>
              <w:rPr>
                <w:rFonts w:cs="Arial"/>
                <w:color w:val="000000"/>
              </w:rPr>
            </w:pPr>
          </w:p>
        </w:tc>
      </w:tr>
      <w:tr w:rsidR="0097090C" w:rsidRPr="003731A3" w14:paraId="07DA5B60" w14:textId="77777777" w:rsidTr="0097090C">
        <w:trPr>
          <w:trHeight w:val="255"/>
        </w:trPr>
        <w:tc>
          <w:tcPr>
            <w:tcW w:w="6095" w:type="dxa"/>
            <w:tcBorders>
              <w:top w:val="nil"/>
              <w:left w:val="nil"/>
              <w:bottom w:val="nil"/>
              <w:right w:val="nil"/>
            </w:tcBorders>
            <w:shd w:val="clear" w:color="auto" w:fill="auto"/>
            <w:vAlign w:val="center"/>
            <w:hideMark/>
          </w:tcPr>
          <w:p w14:paraId="68B81A65" w14:textId="77777777" w:rsidR="0097090C" w:rsidRPr="003731A3" w:rsidRDefault="0097090C" w:rsidP="0097090C">
            <w:pPr>
              <w:rPr>
                <w:rFonts w:cs="Arial"/>
                <w:color w:val="000000"/>
              </w:rPr>
            </w:pPr>
            <w:r w:rsidRPr="003731A3">
              <w:rPr>
                <w:rFonts w:cs="Arial"/>
                <w:color w:val="000000"/>
              </w:rPr>
              <w:t>Prepayments</w:t>
            </w:r>
          </w:p>
        </w:tc>
        <w:tc>
          <w:tcPr>
            <w:tcW w:w="731" w:type="dxa"/>
            <w:tcBorders>
              <w:top w:val="nil"/>
              <w:left w:val="nil"/>
              <w:bottom w:val="nil"/>
              <w:right w:val="nil"/>
            </w:tcBorders>
            <w:shd w:val="clear" w:color="auto" w:fill="auto"/>
            <w:vAlign w:val="center"/>
            <w:hideMark/>
          </w:tcPr>
          <w:p w14:paraId="79D97712" w14:textId="77777777" w:rsidR="0097090C" w:rsidRPr="003731A3" w:rsidRDefault="0097090C" w:rsidP="0097090C">
            <w:pPr>
              <w:jc w:val="center"/>
              <w:rPr>
                <w:rFonts w:cs="Arial"/>
                <w:color w:val="000000"/>
              </w:rPr>
            </w:pPr>
            <w:r w:rsidRPr="003731A3">
              <w:rPr>
                <w:rFonts w:cs="Arial"/>
                <w:color w:val="000000"/>
              </w:rPr>
              <w:t>8</w:t>
            </w:r>
          </w:p>
        </w:tc>
        <w:tc>
          <w:tcPr>
            <w:tcW w:w="1267" w:type="dxa"/>
            <w:tcBorders>
              <w:top w:val="nil"/>
              <w:left w:val="nil"/>
              <w:bottom w:val="nil"/>
              <w:right w:val="nil"/>
            </w:tcBorders>
            <w:shd w:val="clear" w:color="000000" w:fill="D9D9D9"/>
            <w:vAlign w:val="center"/>
            <w:hideMark/>
          </w:tcPr>
          <w:p w14:paraId="26B9DA56" w14:textId="77777777" w:rsidR="0097090C" w:rsidRPr="003731A3" w:rsidRDefault="0097090C" w:rsidP="0097090C">
            <w:pPr>
              <w:jc w:val="right"/>
              <w:rPr>
                <w:rFonts w:cs="Arial"/>
                <w:color w:val="000000"/>
              </w:rPr>
            </w:pPr>
            <w:r w:rsidRPr="003731A3">
              <w:rPr>
                <w:rFonts w:cs="Arial"/>
                <w:color w:val="000000"/>
              </w:rPr>
              <w:t>214</w:t>
            </w:r>
          </w:p>
        </w:tc>
        <w:tc>
          <w:tcPr>
            <w:tcW w:w="1267" w:type="dxa"/>
            <w:tcBorders>
              <w:top w:val="nil"/>
              <w:left w:val="nil"/>
              <w:bottom w:val="nil"/>
              <w:right w:val="nil"/>
            </w:tcBorders>
            <w:shd w:val="clear" w:color="auto" w:fill="auto"/>
            <w:vAlign w:val="center"/>
            <w:hideMark/>
          </w:tcPr>
          <w:p w14:paraId="42F9E531" w14:textId="77777777" w:rsidR="0097090C" w:rsidRPr="003731A3" w:rsidRDefault="0097090C" w:rsidP="0097090C">
            <w:pPr>
              <w:jc w:val="right"/>
              <w:rPr>
                <w:rFonts w:cs="Arial"/>
                <w:color w:val="000000"/>
              </w:rPr>
            </w:pPr>
            <w:r w:rsidRPr="003731A3">
              <w:rPr>
                <w:rFonts w:cs="Arial"/>
                <w:color w:val="000000"/>
              </w:rPr>
              <w:t>215</w:t>
            </w:r>
          </w:p>
        </w:tc>
      </w:tr>
      <w:tr w:rsidR="0097090C" w:rsidRPr="003731A3" w14:paraId="43B25CE8" w14:textId="77777777" w:rsidTr="0097090C">
        <w:trPr>
          <w:trHeight w:val="255"/>
        </w:trPr>
        <w:tc>
          <w:tcPr>
            <w:tcW w:w="6095" w:type="dxa"/>
            <w:tcBorders>
              <w:top w:val="nil"/>
              <w:left w:val="nil"/>
              <w:bottom w:val="nil"/>
              <w:right w:val="nil"/>
            </w:tcBorders>
            <w:shd w:val="clear" w:color="auto" w:fill="auto"/>
            <w:vAlign w:val="center"/>
            <w:hideMark/>
          </w:tcPr>
          <w:p w14:paraId="5EF02BCB" w14:textId="77777777" w:rsidR="0097090C" w:rsidRPr="003731A3" w:rsidRDefault="0097090C" w:rsidP="0097090C">
            <w:pPr>
              <w:rPr>
                <w:rFonts w:cs="Arial"/>
                <w:color w:val="000000"/>
              </w:rPr>
            </w:pPr>
            <w:r w:rsidRPr="003731A3">
              <w:rPr>
                <w:rFonts w:cs="Arial"/>
                <w:color w:val="000000"/>
              </w:rPr>
              <w:t>Inventories</w:t>
            </w:r>
          </w:p>
        </w:tc>
        <w:tc>
          <w:tcPr>
            <w:tcW w:w="731" w:type="dxa"/>
            <w:tcBorders>
              <w:top w:val="nil"/>
              <w:left w:val="nil"/>
              <w:bottom w:val="nil"/>
              <w:right w:val="nil"/>
            </w:tcBorders>
            <w:shd w:val="clear" w:color="auto" w:fill="auto"/>
            <w:vAlign w:val="center"/>
            <w:hideMark/>
          </w:tcPr>
          <w:p w14:paraId="3ECCF43F"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7C2E522" w14:textId="77777777" w:rsidR="0097090C" w:rsidRPr="003731A3" w:rsidRDefault="0097090C" w:rsidP="0097090C">
            <w:pPr>
              <w:jc w:val="right"/>
              <w:rPr>
                <w:rFonts w:cs="Arial"/>
                <w:color w:val="000000"/>
              </w:rPr>
            </w:pPr>
            <w:r w:rsidRPr="003731A3">
              <w:rPr>
                <w:rFonts w:cs="Arial"/>
                <w:color w:val="000000"/>
              </w:rPr>
              <w:t>1,114</w:t>
            </w:r>
          </w:p>
        </w:tc>
        <w:tc>
          <w:tcPr>
            <w:tcW w:w="1267" w:type="dxa"/>
            <w:tcBorders>
              <w:top w:val="nil"/>
              <w:left w:val="nil"/>
              <w:bottom w:val="nil"/>
              <w:right w:val="nil"/>
            </w:tcBorders>
            <w:shd w:val="clear" w:color="auto" w:fill="auto"/>
            <w:vAlign w:val="center"/>
            <w:hideMark/>
          </w:tcPr>
          <w:p w14:paraId="6ADD37CB" w14:textId="77777777" w:rsidR="0097090C" w:rsidRPr="003731A3" w:rsidRDefault="0097090C" w:rsidP="0097090C">
            <w:pPr>
              <w:jc w:val="right"/>
              <w:rPr>
                <w:rFonts w:cs="Arial"/>
                <w:color w:val="000000"/>
              </w:rPr>
            </w:pPr>
            <w:r w:rsidRPr="003731A3">
              <w:rPr>
                <w:rFonts w:cs="Arial"/>
                <w:color w:val="000000"/>
              </w:rPr>
              <w:t>1,184</w:t>
            </w:r>
          </w:p>
        </w:tc>
      </w:tr>
      <w:tr w:rsidR="0097090C" w:rsidRPr="003731A3" w14:paraId="5A638A06" w14:textId="77777777" w:rsidTr="0097090C">
        <w:trPr>
          <w:trHeight w:val="255"/>
        </w:trPr>
        <w:tc>
          <w:tcPr>
            <w:tcW w:w="6095" w:type="dxa"/>
            <w:tcBorders>
              <w:top w:val="nil"/>
              <w:left w:val="nil"/>
              <w:bottom w:val="nil"/>
              <w:right w:val="nil"/>
            </w:tcBorders>
            <w:shd w:val="clear" w:color="auto" w:fill="auto"/>
            <w:vAlign w:val="center"/>
            <w:hideMark/>
          </w:tcPr>
          <w:p w14:paraId="2CA31B5B" w14:textId="77777777" w:rsidR="0097090C" w:rsidRPr="003731A3" w:rsidRDefault="0097090C" w:rsidP="0097090C">
            <w:pPr>
              <w:rPr>
                <w:rFonts w:cs="Arial"/>
                <w:color w:val="000000"/>
              </w:rPr>
            </w:pPr>
            <w:r w:rsidRPr="003731A3">
              <w:rPr>
                <w:rFonts w:cs="Arial"/>
                <w:color w:val="000000"/>
              </w:rPr>
              <w:t>Property, Plant and Equipment</w:t>
            </w:r>
          </w:p>
        </w:tc>
        <w:tc>
          <w:tcPr>
            <w:tcW w:w="731" w:type="dxa"/>
            <w:tcBorders>
              <w:top w:val="nil"/>
              <w:left w:val="nil"/>
              <w:bottom w:val="nil"/>
              <w:right w:val="nil"/>
            </w:tcBorders>
            <w:shd w:val="clear" w:color="auto" w:fill="auto"/>
            <w:vAlign w:val="center"/>
            <w:hideMark/>
          </w:tcPr>
          <w:p w14:paraId="085D3B31" w14:textId="77777777" w:rsidR="0097090C" w:rsidRPr="003731A3" w:rsidRDefault="0097090C" w:rsidP="0097090C">
            <w:pPr>
              <w:jc w:val="center"/>
              <w:rPr>
                <w:rFonts w:cs="Arial"/>
                <w:color w:val="000000"/>
              </w:rPr>
            </w:pPr>
            <w:r w:rsidRPr="003731A3">
              <w:rPr>
                <w:rFonts w:cs="Arial"/>
                <w:color w:val="000000"/>
              </w:rPr>
              <w:t>9(b),(c)</w:t>
            </w:r>
          </w:p>
        </w:tc>
        <w:tc>
          <w:tcPr>
            <w:tcW w:w="1267" w:type="dxa"/>
            <w:tcBorders>
              <w:top w:val="nil"/>
              <w:left w:val="nil"/>
              <w:bottom w:val="nil"/>
              <w:right w:val="nil"/>
            </w:tcBorders>
            <w:shd w:val="clear" w:color="000000" w:fill="D9D9D9"/>
            <w:vAlign w:val="center"/>
            <w:hideMark/>
          </w:tcPr>
          <w:p w14:paraId="7BB48510" w14:textId="77777777" w:rsidR="0097090C" w:rsidRPr="003731A3" w:rsidRDefault="0097090C" w:rsidP="0097090C">
            <w:pPr>
              <w:jc w:val="right"/>
              <w:rPr>
                <w:rFonts w:cs="Arial"/>
                <w:color w:val="000000"/>
              </w:rPr>
            </w:pPr>
            <w:r w:rsidRPr="003731A3">
              <w:rPr>
                <w:rFonts w:cs="Arial"/>
                <w:color w:val="000000"/>
              </w:rPr>
              <w:t>908,005</w:t>
            </w:r>
          </w:p>
        </w:tc>
        <w:tc>
          <w:tcPr>
            <w:tcW w:w="1267" w:type="dxa"/>
            <w:tcBorders>
              <w:top w:val="nil"/>
              <w:left w:val="nil"/>
              <w:bottom w:val="nil"/>
              <w:right w:val="nil"/>
            </w:tcBorders>
            <w:shd w:val="clear" w:color="auto" w:fill="auto"/>
            <w:vAlign w:val="center"/>
            <w:hideMark/>
          </w:tcPr>
          <w:p w14:paraId="5761B4D7" w14:textId="77777777" w:rsidR="0097090C" w:rsidRPr="003731A3" w:rsidRDefault="0097090C" w:rsidP="0097090C">
            <w:pPr>
              <w:jc w:val="right"/>
              <w:rPr>
                <w:rFonts w:cs="Arial"/>
                <w:color w:val="000000"/>
              </w:rPr>
            </w:pPr>
            <w:r w:rsidRPr="003731A3">
              <w:rPr>
                <w:rFonts w:cs="Arial"/>
                <w:color w:val="000000"/>
              </w:rPr>
              <w:t>484,801</w:t>
            </w:r>
          </w:p>
        </w:tc>
      </w:tr>
      <w:tr w:rsidR="0097090C" w:rsidRPr="003731A3" w14:paraId="7D97E8F7" w14:textId="77777777" w:rsidTr="0097090C">
        <w:trPr>
          <w:trHeight w:val="255"/>
        </w:trPr>
        <w:tc>
          <w:tcPr>
            <w:tcW w:w="6095" w:type="dxa"/>
            <w:tcBorders>
              <w:top w:val="nil"/>
              <w:left w:val="nil"/>
              <w:bottom w:val="nil"/>
              <w:right w:val="nil"/>
            </w:tcBorders>
            <w:shd w:val="clear" w:color="auto" w:fill="auto"/>
            <w:vAlign w:val="center"/>
            <w:hideMark/>
          </w:tcPr>
          <w:p w14:paraId="37B2F3ED" w14:textId="77777777" w:rsidR="0097090C" w:rsidRPr="003731A3" w:rsidRDefault="0097090C" w:rsidP="0097090C">
            <w:pPr>
              <w:rPr>
                <w:rFonts w:cs="Arial"/>
                <w:color w:val="000000"/>
              </w:rPr>
            </w:pPr>
            <w:r w:rsidRPr="003731A3">
              <w:rPr>
                <w:rFonts w:cs="Arial"/>
                <w:color w:val="000000"/>
              </w:rPr>
              <w:t>Exhibitions</w:t>
            </w:r>
          </w:p>
        </w:tc>
        <w:tc>
          <w:tcPr>
            <w:tcW w:w="731" w:type="dxa"/>
            <w:tcBorders>
              <w:top w:val="nil"/>
              <w:left w:val="nil"/>
              <w:bottom w:val="nil"/>
              <w:right w:val="nil"/>
            </w:tcBorders>
            <w:shd w:val="clear" w:color="auto" w:fill="auto"/>
            <w:vAlign w:val="center"/>
            <w:hideMark/>
          </w:tcPr>
          <w:p w14:paraId="6744AC94" w14:textId="77777777" w:rsidR="0097090C" w:rsidRPr="003731A3" w:rsidRDefault="0097090C" w:rsidP="0097090C">
            <w:pPr>
              <w:jc w:val="center"/>
              <w:rPr>
                <w:rFonts w:cs="Arial"/>
                <w:color w:val="000000"/>
              </w:rPr>
            </w:pPr>
            <w:r w:rsidRPr="003731A3">
              <w:rPr>
                <w:rFonts w:cs="Arial"/>
                <w:color w:val="000000"/>
              </w:rPr>
              <w:t>9(c)</w:t>
            </w:r>
          </w:p>
        </w:tc>
        <w:tc>
          <w:tcPr>
            <w:tcW w:w="1267" w:type="dxa"/>
            <w:tcBorders>
              <w:top w:val="nil"/>
              <w:left w:val="nil"/>
              <w:bottom w:val="nil"/>
              <w:right w:val="nil"/>
            </w:tcBorders>
            <w:shd w:val="clear" w:color="000000" w:fill="D9D9D9"/>
            <w:vAlign w:val="center"/>
            <w:hideMark/>
          </w:tcPr>
          <w:p w14:paraId="509D8FAB" w14:textId="77777777" w:rsidR="0097090C" w:rsidRPr="003731A3" w:rsidRDefault="0097090C" w:rsidP="0097090C">
            <w:pPr>
              <w:jc w:val="right"/>
              <w:rPr>
                <w:rFonts w:cs="Arial"/>
                <w:color w:val="000000"/>
              </w:rPr>
            </w:pPr>
            <w:r w:rsidRPr="003731A3">
              <w:rPr>
                <w:rFonts w:cs="Arial"/>
                <w:color w:val="000000"/>
              </w:rPr>
              <w:t>3,580</w:t>
            </w:r>
          </w:p>
        </w:tc>
        <w:tc>
          <w:tcPr>
            <w:tcW w:w="1267" w:type="dxa"/>
            <w:tcBorders>
              <w:top w:val="nil"/>
              <w:left w:val="nil"/>
              <w:bottom w:val="nil"/>
              <w:right w:val="nil"/>
            </w:tcBorders>
            <w:shd w:val="clear" w:color="auto" w:fill="auto"/>
            <w:vAlign w:val="center"/>
            <w:hideMark/>
          </w:tcPr>
          <w:p w14:paraId="479D6E29" w14:textId="77777777" w:rsidR="0097090C" w:rsidRPr="003731A3" w:rsidRDefault="0097090C" w:rsidP="0097090C">
            <w:pPr>
              <w:jc w:val="right"/>
              <w:rPr>
                <w:rFonts w:cs="Arial"/>
                <w:color w:val="000000"/>
              </w:rPr>
            </w:pPr>
            <w:r w:rsidRPr="003731A3">
              <w:rPr>
                <w:rFonts w:cs="Arial"/>
                <w:color w:val="000000"/>
              </w:rPr>
              <w:t>1,937</w:t>
            </w:r>
          </w:p>
        </w:tc>
      </w:tr>
      <w:tr w:rsidR="0097090C" w:rsidRPr="003731A3" w14:paraId="6B20DEF1" w14:textId="77777777" w:rsidTr="0097090C">
        <w:trPr>
          <w:trHeight w:val="255"/>
        </w:trPr>
        <w:tc>
          <w:tcPr>
            <w:tcW w:w="6095" w:type="dxa"/>
            <w:tcBorders>
              <w:top w:val="nil"/>
              <w:left w:val="nil"/>
              <w:bottom w:val="nil"/>
              <w:right w:val="nil"/>
            </w:tcBorders>
            <w:shd w:val="clear" w:color="auto" w:fill="auto"/>
            <w:vAlign w:val="center"/>
            <w:hideMark/>
          </w:tcPr>
          <w:p w14:paraId="47D15646" w14:textId="77777777" w:rsidR="0097090C" w:rsidRPr="003731A3" w:rsidRDefault="0097090C" w:rsidP="0097090C">
            <w:pPr>
              <w:rPr>
                <w:rFonts w:cs="Arial"/>
                <w:color w:val="000000"/>
              </w:rPr>
            </w:pPr>
            <w:r w:rsidRPr="003731A3">
              <w:rPr>
                <w:rFonts w:cs="Arial"/>
                <w:color w:val="000000"/>
              </w:rPr>
              <w:t>Collections</w:t>
            </w:r>
          </w:p>
        </w:tc>
        <w:tc>
          <w:tcPr>
            <w:tcW w:w="731" w:type="dxa"/>
            <w:tcBorders>
              <w:top w:val="nil"/>
              <w:left w:val="nil"/>
              <w:bottom w:val="nil"/>
              <w:right w:val="nil"/>
            </w:tcBorders>
            <w:shd w:val="clear" w:color="auto" w:fill="auto"/>
            <w:vAlign w:val="center"/>
            <w:hideMark/>
          </w:tcPr>
          <w:p w14:paraId="44E78FB9" w14:textId="77777777" w:rsidR="0097090C" w:rsidRPr="003731A3" w:rsidRDefault="0097090C" w:rsidP="0097090C">
            <w:pPr>
              <w:jc w:val="center"/>
              <w:rPr>
                <w:rFonts w:cs="Arial"/>
                <w:color w:val="000000"/>
              </w:rPr>
            </w:pPr>
            <w:r w:rsidRPr="003731A3">
              <w:rPr>
                <w:rFonts w:cs="Arial"/>
                <w:color w:val="000000"/>
              </w:rPr>
              <w:t>9(a)</w:t>
            </w:r>
          </w:p>
        </w:tc>
        <w:tc>
          <w:tcPr>
            <w:tcW w:w="1267" w:type="dxa"/>
            <w:tcBorders>
              <w:top w:val="nil"/>
              <w:left w:val="nil"/>
              <w:bottom w:val="nil"/>
              <w:right w:val="nil"/>
            </w:tcBorders>
            <w:shd w:val="clear" w:color="000000" w:fill="D9D9D9"/>
            <w:vAlign w:val="center"/>
            <w:hideMark/>
          </w:tcPr>
          <w:p w14:paraId="02819350" w14:textId="77777777" w:rsidR="0097090C" w:rsidRPr="003731A3" w:rsidRDefault="0097090C" w:rsidP="0097090C">
            <w:pPr>
              <w:jc w:val="right"/>
              <w:rPr>
                <w:rFonts w:cs="Arial"/>
                <w:color w:val="000000"/>
              </w:rPr>
            </w:pPr>
            <w:r w:rsidRPr="003731A3">
              <w:rPr>
                <w:rFonts w:cs="Arial"/>
                <w:color w:val="000000"/>
              </w:rPr>
              <w:t>714,340</w:t>
            </w:r>
          </w:p>
        </w:tc>
        <w:tc>
          <w:tcPr>
            <w:tcW w:w="1267" w:type="dxa"/>
            <w:tcBorders>
              <w:top w:val="nil"/>
              <w:left w:val="nil"/>
              <w:bottom w:val="nil"/>
              <w:right w:val="nil"/>
            </w:tcBorders>
            <w:shd w:val="clear" w:color="auto" w:fill="auto"/>
            <w:vAlign w:val="center"/>
            <w:hideMark/>
          </w:tcPr>
          <w:p w14:paraId="3FFD1524" w14:textId="77777777" w:rsidR="0097090C" w:rsidRPr="003731A3" w:rsidRDefault="0097090C" w:rsidP="0097090C">
            <w:pPr>
              <w:jc w:val="right"/>
              <w:rPr>
                <w:rFonts w:cs="Arial"/>
                <w:color w:val="000000"/>
              </w:rPr>
            </w:pPr>
            <w:r w:rsidRPr="003731A3">
              <w:rPr>
                <w:rFonts w:cs="Arial"/>
                <w:color w:val="000000"/>
              </w:rPr>
              <w:t>502,970</w:t>
            </w:r>
          </w:p>
        </w:tc>
      </w:tr>
      <w:tr w:rsidR="0097090C" w:rsidRPr="003731A3" w14:paraId="51A6B60F"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6715C4BA" w14:textId="77777777" w:rsidR="0097090C" w:rsidRPr="003731A3" w:rsidRDefault="0097090C" w:rsidP="0097090C">
            <w:pPr>
              <w:rPr>
                <w:rFonts w:cs="Arial"/>
                <w:b/>
                <w:bCs/>
                <w:color w:val="000000"/>
              </w:rPr>
            </w:pPr>
            <w:r w:rsidRPr="003731A3">
              <w:rPr>
                <w:rFonts w:cs="Arial"/>
                <w:b/>
                <w:bCs/>
                <w:color w:val="000000"/>
              </w:rPr>
              <w:t>Total Non-Financial Assets</w:t>
            </w:r>
          </w:p>
        </w:tc>
        <w:tc>
          <w:tcPr>
            <w:tcW w:w="731" w:type="dxa"/>
            <w:tcBorders>
              <w:top w:val="single" w:sz="4" w:space="0" w:color="auto"/>
              <w:left w:val="nil"/>
              <w:bottom w:val="single" w:sz="4" w:space="0" w:color="auto"/>
              <w:right w:val="nil"/>
            </w:tcBorders>
            <w:shd w:val="clear" w:color="auto" w:fill="auto"/>
            <w:vAlign w:val="center"/>
            <w:hideMark/>
          </w:tcPr>
          <w:p w14:paraId="4928F31B" w14:textId="77777777" w:rsidR="0097090C" w:rsidRPr="003731A3" w:rsidRDefault="0097090C" w:rsidP="0097090C">
            <w:pPr>
              <w:rPr>
                <w:rFonts w:cs="Arial"/>
                <w:i/>
                <w:iCs/>
                <w:color w:val="000000"/>
              </w:rPr>
            </w:pPr>
            <w:r w:rsidRPr="003731A3">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43031CFD" w14:textId="77777777" w:rsidR="0097090C" w:rsidRPr="003731A3" w:rsidRDefault="0097090C" w:rsidP="0097090C">
            <w:pPr>
              <w:jc w:val="right"/>
              <w:rPr>
                <w:rFonts w:cs="Arial"/>
                <w:b/>
                <w:bCs/>
                <w:color w:val="000000"/>
              </w:rPr>
            </w:pPr>
            <w:r w:rsidRPr="003731A3">
              <w:rPr>
                <w:rFonts w:cs="Arial"/>
                <w:b/>
                <w:bCs/>
                <w:color w:val="000000"/>
              </w:rPr>
              <w:t>1,627,253</w:t>
            </w:r>
          </w:p>
        </w:tc>
        <w:tc>
          <w:tcPr>
            <w:tcW w:w="1267" w:type="dxa"/>
            <w:tcBorders>
              <w:top w:val="single" w:sz="4" w:space="0" w:color="auto"/>
              <w:left w:val="nil"/>
              <w:bottom w:val="single" w:sz="4" w:space="0" w:color="auto"/>
              <w:right w:val="nil"/>
            </w:tcBorders>
            <w:shd w:val="clear" w:color="auto" w:fill="auto"/>
            <w:vAlign w:val="center"/>
            <w:hideMark/>
          </w:tcPr>
          <w:p w14:paraId="697BE901" w14:textId="77777777" w:rsidR="0097090C" w:rsidRPr="003731A3" w:rsidRDefault="0097090C" w:rsidP="0097090C">
            <w:pPr>
              <w:jc w:val="right"/>
              <w:rPr>
                <w:rFonts w:cs="Arial"/>
                <w:b/>
                <w:bCs/>
                <w:color w:val="000000"/>
              </w:rPr>
            </w:pPr>
            <w:r w:rsidRPr="003731A3">
              <w:rPr>
                <w:rFonts w:cs="Arial"/>
                <w:b/>
                <w:bCs/>
                <w:color w:val="000000"/>
              </w:rPr>
              <w:t>991,107</w:t>
            </w:r>
          </w:p>
        </w:tc>
      </w:tr>
      <w:tr w:rsidR="0097090C" w:rsidRPr="003731A3" w14:paraId="752DE417" w14:textId="77777777" w:rsidTr="0097090C">
        <w:trPr>
          <w:trHeight w:val="255"/>
        </w:trPr>
        <w:tc>
          <w:tcPr>
            <w:tcW w:w="6095" w:type="dxa"/>
            <w:tcBorders>
              <w:top w:val="nil"/>
              <w:left w:val="nil"/>
              <w:bottom w:val="nil"/>
              <w:right w:val="nil"/>
            </w:tcBorders>
            <w:shd w:val="clear" w:color="auto" w:fill="auto"/>
            <w:vAlign w:val="center"/>
            <w:hideMark/>
          </w:tcPr>
          <w:p w14:paraId="03A35078" w14:textId="77777777" w:rsidR="0097090C" w:rsidRPr="003731A3"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2B52B81A"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F6D933E"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49B6642D" w14:textId="77777777" w:rsidR="0097090C" w:rsidRPr="003731A3" w:rsidRDefault="0097090C" w:rsidP="0097090C">
            <w:pPr>
              <w:jc w:val="right"/>
              <w:rPr>
                <w:rFonts w:cs="Arial"/>
                <w:color w:val="000000"/>
              </w:rPr>
            </w:pPr>
          </w:p>
        </w:tc>
      </w:tr>
      <w:tr w:rsidR="0097090C" w:rsidRPr="003731A3" w14:paraId="34ADADD8"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7C944D13" w14:textId="77777777" w:rsidR="0097090C" w:rsidRPr="003731A3" w:rsidRDefault="0097090C" w:rsidP="0097090C">
            <w:pPr>
              <w:rPr>
                <w:rFonts w:cs="Arial"/>
                <w:b/>
                <w:bCs/>
                <w:color w:val="000000"/>
              </w:rPr>
            </w:pPr>
            <w:r w:rsidRPr="003731A3">
              <w:rPr>
                <w:rFonts w:cs="Arial"/>
                <w:b/>
                <w:bCs/>
                <w:color w:val="000000"/>
              </w:rPr>
              <w:t>Total Assets</w:t>
            </w:r>
          </w:p>
        </w:tc>
        <w:tc>
          <w:tcPr>
            <w:tcW w:w="731" w:type="dxa"/>
            <w:tcBorders>
              <w:top w:val="single" w:sz="4" w:space="0" w:color="auto"/>
              <w:left w:val="nil"/>
              <w:bottom w:val="single" w:sz="4" w:space="0" w:color="auto"/>
              <w:right w:val="nil"/>
            </w:tcBorders>
            <w:shd w:val="clear" w:color="auto" w:fill="auto"/>
            <w:vAlign w:val="center"/>
            <w:hideMark/>
          </w:tcPr>
          <w:p w14:paraId="605DC285" w14:textId="77777777" w:rsidR="0097090C" w:rsidRPr="003731A3" w:rsidRDefault="0097090C" w:rsidP="0097090C">
            <w:pPr>
              <w:rPr>
                <w:rFonts w:cs="Arial"/>
                <w:i/>
                <w:iCs/>
                <w:color w:val="000000"/>
              </w:rPr>
            </w:pPr>
            <w:r w:rsidRPr="003731A3">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07FC4275" w14:textId="77777777" w:rsidR="0097090C" w:rsidRPr="003731A3" w:rsidRDefault="0097090C" w:rsidP="0097090C">
            <w:pPr>
              <w:jc w:val="right"/>
              <w:rPr>
                <w:rFonts w:cs="Arial"/>
                <w:b/>
                <w:bCs/>
                <w:color w:val="000000"/>
              </w:rPr>
            </w:pPr>
            <w:r w:rsidRPr="003731A3">
              <w:rPr>
                <w:rFonts w:cs="Arial"/>
                <w:b/>
                <w:bCs/>
                <w:color w:val="000000"/>
              </w:rPr>
              <w:t>1,669,093</w:t>
            </w:r>
          </w:p>
        </w:tc>
        <w:tc>
          <w:tcPr>
            <w:tcW w:w="1267" w:type="dxa"/>
            <w:tcBorders>
              <w:top w:val="single" w:sz="4" w:space="0" w:color="auto"/>
              <w:left w:val="nil"/>
              <w:bottom w:val="single" w:sz="4" w:space="0" w:color="auto"/>
              <w:right w:val="nil"/>
            </w:tcBorders>
            <w:shd w:val="clear" w:color="auto" w:fill="auto"/>
            <w:vAlign w:val="center"/>
            <w:hideMark/>
          </w:tcPr>
          <w:p w14:paraId="738E49AF" w14:textId="77777777" w:rsidR="0097090C" w:rsidRPr="003731A3" w:rsidRDefault="0097090C" w:rsidP="0097090C">
            <w:pPr>
              <w:jc w:val="right"/>
              <w:rPr>
                <w:rFonts w:cs="Arial"/>
                <w:b/>
                <w:bCs/>
                <w:color w:val="000000"/>
              </w:rPr>
            </w:pPr>
            <w:r w:rsidRPr="003731A3">
              <w:rPr>
                <w:rFonts w:cs="Arial"/>
                <w:b/>
                <w:bCs/>
                <w:color w:val="000000"/>
              </w:rPr>
              <w:t>1,023,949</w:t>
            </w:r>
          </w:p>
        </w:tc>
      </w:tr>
      <w:tr w:rsidR="0097090C" w:rsidRPr="003731A3" w14:paraId="08EB7DC1" w14:textId="77777777" w:rsidTr="0097090C">
        <w:trPr>
          <w:trHeight w:val="255"/>
        </w:trPr>
        <w:tc>
          <w:tcPr>
            <w:tcW w:w="6095" w:type="dxa"/>
            <w:tcBorders>
              <w:top w:val="nil"/>
              <w:left w:val="nil"/>
              <w:bottom w:val="nil"/>
              <w:right w:val="nil"/>
            </w:tcBorders>
            <w:shd w:val="clear" w:color="auto" w:fill="auto"/>
            <w:vAlign w:val="center"/>
            <w:hideMark/>
          </w:tcPr>
          <w:p w14:paraId="05F30745" w14:textId="77777777" w:rsidR="0097090C" w:rsidRPr="003731A3"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576AA6B3"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18A098E"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179D4EFA" w14:textId="77777777" w:rsidR="0097090C" w:rsidRPr="003731A3" w:rsidRDefault="0097090C" w:rsidP="0097090C">
            <w:pPr>
              <w:jc w:val="right"/>
              <w:rPr>
                <w:rFonts w:cs="Arial"/>
                <w:color w:val="000000"/>
              </w:rPr>
            </w:pPr>
          </w:p>
        </w:tc>
      </w:tr>
      <w:tr w:rsidR="0097090C" w:rsidRPr="003731A3" w14:paraId="73ACA88B" w14:textId="77777777" w:rsidTr="0097090C">
        <w:trPr>
          <w:trHeight w:val="255"/>
        </w:trPr>
        <w:tc>
          <w:tcPr>
            <w:tcW w:w="6095" w:type="dxa"/>
            <w:tcBorders>
              <w:top w:val="nil"/>
              <w:left w:val="nil"/>
              <w:bottom w:val="nil"/>
              <w:right w:val="nil"/>
            </w:tcBorders>
            <w:shd w:val="clear" w:color="auto" w:fill="auto"/>
            <w:vAlign w:val="center"/>
            <w:hideMark/>
          </w:tcPr>
          <w:p w14:paraId="4D43F9AE" w14:textId="77777777" w:rsidR="0097090C" w:rsidRPr="003731A3" w:rsidRDefault="0097090C" w:rsidP="0097090C">
            <w:pPr>
              <w:rPr>
                <w:rFonts w:cs="Arial"/>
                <w:b/>
                <w:bCs/>
                <w:color w:val="000000"/>
              </w:rPr>
            </w:pPr>
            <w:r w:rsidRPr="003731A3">
              <w:rPr>
                <w:rFonts w:cs="Arial"/>
                <w:b/>
                <w:bCs/>
                <w:color w:val="000000"/>
              </w:rPr>
              <w:t>Liabilities</w:t>
            </w:r>
          </w:p>
        </w:tc>
        <w:tc>
          <w:tcPr>
            <w:tcW w:w="731" w:type="dxa"/>
            <w:tcBorders>
              <w:top w:val="nil"/>
              <w:left w:val="nil"/>
              <w:bottom w:val="nil"/>
              <w:right w:val="nil"/>
            </w:tcBorders>
            <w:shd w:val="clear" w:color="auto" w:fill="auto"/>
            <w:vAlign w:val="center"/>
            <w:hideMark/>
          </w:tcPr>
          <w:p w14:paraId="43CE5443"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D837630"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175A0634" w14:textId="77777777" w:rsidR="0097090C" w:rsidRPr="003731A3" w:rsidRDefault="0097090C" w:rsidP="0097090C">
            <w:pPr>
              <w:jc w:val="right"/>
              <w:rPr>
                <w:rFonts w:cs="Arial"/>
                <w:color w:val="000000"/>
              </w:rPr>
            </w:pPr>
          </w:p>
        </w:tc>
      </w:tr>
      <w:tr w:rsidR="0097090C" w:rsidRPr="003731A3" w14:paraId="5F9D8C00" w14:textId="77777777" w:rsidTr="0097090C">
        <w:trPr>
          <w:trHeight w:val="255"/>
        </w:trPr>
        <w:tc>
          <w:tcPr>
            <w:tcW w:w="6095" w:type="dxa"/>
            <w:tcBorders>
              <w:top w:val="nil"/>
              <w:left w:val="nil"/>
              <w:bottom w:val="nil"/>
              <w:right w:val="nil"/>
            </w:tcBorders>
            <w:shd w:val="clear" w:color="auto" w:fill="auto"/>
            <w:vAlign w:val="center"/>
            <w:hideMark/>
          </w:tcPr>
          <w:p w14:paraId="41CACA6B" w14:textId="77777777" w:rsidR="0097090C" w:rsidRPr="003731A3" w:rsidRDefault="0097090C" w:rsidP="0097090C">
            <w:pPr>
              <w:rPr>
                <w:rFonts w:cs="Arial"/>
                <w:color w:val="000000"/>
              </w:rPr>
            </w:pPr>
            <w:r w:rsidRPr="003731A3">
              <w:rPr>
                <w:rFonts w:cs="Arial"/>
                <w:color w:val="000000"/>
              </w:rPr>
              <w:t>Payables</w:t>
            </w:r>
          </w:p>
        </w:tc>
        <w:tc>
          <w:tcPr>
            <w:tcW w:w="731" w:type="dxa"/>
            <w:tcBorders>
              <w:top w:val="nil"/>
              <w:left w:val="nil"/>
              <w:bottom w:val="nil"/>
              <w:right w:val="nil"/>
            </w:tcBorders>
            <w:shd w:val="clear" w:color="auto" w:fill="auto"/>
            <w:vAlign w:val="center"/>
            <w:hideMark/>
          </w:tcPr>
          <w:p w14:paraId="1BC43055" w14:textId="77777777" w:rsidR="0097090C" w:rsidRPr="003731A3" w:rsidRDefault="0097090C" w:rsidP="0097090C">
            <w:pPr>
              <w:jc w:val="center"/>
              <w:rPr>
                <w:rFonts w:cs="Arial"/>
                <w:color w:val="000000"/>
              </w:rPr>
            </w:pPr>
            <w:r w:rsidRPr="003731A3">
              <w:rPr>
                <w:rFonts w:cs="Arial"/>
                <w:color w:val="000000"/>
              </w:rPr>
              <w:t>10</w:t>
            </w:r>
          </w:p>
        </w:tc>
        <w:tc>
          <w:tcPr>
            <w:tcW w:w="1267" w:type="dxa"/>
            <w:tcBorders>
              <w:top w:val="nil"/>
              <w:left w:val="nil"/>
              <w:bottom w:val="nil"/>
              <w:right w:val="nil"/>
            </w:tcBorders>
            <w:shd w:val="clear" w:color="000000" w:fill="D9D9D9"/>
            <w:vAlign w:val="center"/>
            <w:hideMark/>
          </w:tcPr>
          <w:p w14:paraId="507EEEF7" w14:textId="77777777" w:rsidR="0097090C" w:rsidRPr="003731A3" w:rsidRDefault="0097090C" w:rsidP="0097090C">
            <w:pPr>
              <w:jc w:val="right"/>
              <w:rPr>
                <w:rFonts w:cs="Arial"/>
                <w:color w:val="000000"/>
              </w:rPr>
            </w:pPr>
            <w:r w:rsidRPr="003731A3">
              <w:rPr>
                <w:rFonts w:cs="Arial"/>
                <w:color w:val="000000"/>
              </w:rPr>
              <w:t>14,579</w:t>
            </w:r>
          </w:p>
        </w:tc>
        <w:tc>
          <w:tcPr>
            <w:tcW w:w="1267" w:type="dxa"/>
            <w:tcBorders>
              <w:top w:val="nil"/>
              <w:left w:val="nil"/>
              <w:bottom w:val="nil"/>
              <w:right w:val="nil"/>
            </w:tcBorders>
            <w:shd w:val="clear" w:color="auto" w:fill="auto"/>
            <w:vAlign w:val="center"/>
            <w:hideMark/>
          </w:tcPr>
          <w:p w14:paraId="30A25B83" w14:textId="77777777" w:rsidR="0097090C" w:rsidRPr="003731A3" w:rsidRDefault="0097090C" w:rsidP="0097090C">
            <w:pPr>
              <w:jc w:val="right"/>
              <w:rPr>
                <w:rFonts w:cs="Arial"/>
                <w:color w:val="000000"/>
              </w:rPr>
            </w:pPr>
            <w:r w:rsidRPr="003731A3">
              <w:rPr>
                <w:rFonts w:cs="Arial"/>
                <w:color w:val="000000"/>
              </w:rPr>
              <w:t>6,979</w:t>
            </w:r>
          </w:p>
        </w:tc>
      </w:tr>
      <w:tr w:rsidR="0097090C" w:rsidRPr="003731A3" w14:paraId="090561E1" w14:textId="77777777" w:rsidTr="0097090C">
        <w:trPr>
          <w:trHeight w:val="255"/>
        </w:trPr>
        <w:tc>
          <w:tcPr>
            <w:tcW w:w="6095" w:type="dxa"/>
            <w:tcBorders>
              <w:top w:val="nil"/>
              <w:left w:val="nil"/>
              <w:bottom w:val="nil"/>
              <w:right w:val="nil"/>
            </w:tcBorders>
            <w:shd w:val="clear" w:color="auto" w:fill="auto"/>
            <w:vAlign w:val="center"/>
            <w:hideMark/>
          </w:tcPr>
          <w:p w14:paraId="3A10CCEB" w14:textId="77777777" w:rsidR="0097090C" w:rsidRPr="003731A3" w:rsidRDefault="0097090C" w:rsidP="0097090C">
            <w:pPr>
              <w:rPr>
                <w:rFonts w:cs="Arial"/>
                <w:color w:val="000000"/>
              </w:rPr>
            </w:pPr>
            <w:r w:rsidRPr="003731A3">
              <w:rPr>
                <w:rFonts w:cs="Arial"/>
                <w:color w:val="000000"/>
              </w:rPr>
              <w:t>Interest Bearing Liabilities</w:t>
            </w:r>
          </w:p>
        </w:tc>
        <w:tc>
          <w:tcPr>
            <w:tcW w:w="731" w:type="dxa"/>
            <w:tcBorders>
              <w:top w:val="nil"/>
              <w:left w:val="nil"/>
              <w:bottom w:val="nil"/>
              <w:right w:val="nil"/>
            </w:tcBorders>
            <w:shd w:val="clear" w:color="auto" w:fill="auto"/>
            <w:vAlign w:val="center"/>
            <w:hideMark/>
          </w:tcPr>
          <w:p w14:paraId="319222F2" w14:textId="77777777" w:rsidR="0097090C" w:rsidRPr="003731A3" w:rsidRDefault="0097090C" w:rsidP="0097090C">
            <w:pPr>
              <w:jc w:val="center"/>
              <w:rPr>
                <w:rFonts w:cs="Arial"/>
                <w:color w:val="000000"/>
              </w:rPr>
            </w:pPr>
            <w:r w:rsidRPr="003731A3">
              <w:rPr>
                <w:rFonts w:cs="Arial"/>
                <w:color w:val="000000"/>
              </w:rPr>
              <w:t>11</w:t>
            </w:r>
          </w:p>
        </w:tc>
        <w:tc>
          <w:tcPr>
            <w:tcW w:w="1267" w:type="dxa"/>
            <w:tcBorders>
              <w:top w:val="nil"/>
              <w:left w:val="nil"/>
              <w:bottom w:val="nil"/>
              <w:right w:val="nil"/>
            </w:tcBorders>
            <w:shd w:val="clear" w:color="000000" w:fill="D9D9D9"/>
            <w:vAlign w:val="center"/>
            <w:hideMark/>
          </w:tcPr>
          <w:p w14:paraId="4E537402" w14:textId="77777777" w:rsidR="0097090C" w:rsidRPr="003731A3" w:rsidRDefault="0097090C" w:rsidP="0097090C">
            <w:pPr>
              <w:jc w:val="right"/>
              <w:rPr>
                <w:rFonts w:cs="Arial"/>
                <w:color w:val="000000"/>
              </w:rPr>
            </w:pPr>
            <w:r w:rsidRPr="003731A3">
              <w:rPr>
                <w:rFonts w:cs="Arial"/>
                <w:color w:val="000000"/>
              </w:rPr>
              <w:t>457</w:t>
            </w:r>
          </w:p>
        </w:tc>
        <w:tc>
          <w:tcPr>
            <w:tcW w:w="1267" w:type="dxa"/>
            <w:tcBorders>
              <w:top w:val="nil"/>
              <w:left w:val="nil"/>
              <w:bottom w:val="nil"/>
              <w:right w:val="nil"/>
            </w:tcBorders>
            <w:shd w:val="clear" w:color="auto" w:fill="auto"/>
            <w:vAlign w:val="center"/>
            <w:hideMark/>
          </w:tcPr>
          <w:p w14:paraId="72963F40" w14:textId="77777777" w:rsidR="0097090C" w:rsidRPr="003731A3" w:rsidRDefault="0097090C" w:rsidP="0097090C">
            <w:pPr>
              <w:jc w:val="right"/>
              <w:rPr>
                <w:rFonts w:cs="Arial"/>
                <w:color w:val="000000"/>
              </w:rPr>
            </w:pPr>
            <w:r w:rsidRPr="003731A3">
              <w:rPr>
                <w:rFonts w:cs="Arial"/>
                <w:color w:val="000000"/>
              </w:rPr>
              <w:t>274</w:t>
            </w:r>
          </w:p>
        </w:tc>
      </w:tr>
      <w:tr w:rsidR="0097090C" w:rsidRPr="003731A3" w14:paraId="2FCEA074" w14:textId="77777777" w:rsidTr="0097090C">
        <w:trPr>
          <w:trHeight w:val="255"/>
        </w:trPr>
        <w:tc>
          <w:tcPr>
            <w:tcW w:w="6095" w:type="dxa"/>
            <w:tcBorders>
              <w:top w:val="nil"/>
              <w:left w:val="nil"/>
              <w:bottom w:val="nil"/>
              <w:right w:val="nil"/>
            </w:tcBorders>
            <w:shd w:val="clear" w:color="auto" w:fill="auto"/>
            <w:vAlign w:val="center"/>
            <w:hideMark/>
          </w:tcPr>
          <w:p w14:paraId="2E88B04F" w14:textId="77777777" w:rsidR="0097090C" w:rsidRPr="003731A3" w:rsidRDefault="0097090C" w:rsidP="0097090C">
            <w:pPr>
              <w:rPr>
                <w:rFonts w:cs="Arial"/>
                <w:color w:val="000000"/>
              </w:rPr>
            </w:pPr>
            <w:r w:rsidRPr="003731A3">
              <w:rPr>
                <w:rFonts w:cs="Arial"/>
                <w:color w:val="000000"/>
              </w:rPr>
              <w:t>Provisions</w:t>
            </w:r>
          </w:p>
        </w:tc>
        <w:tc>
          <w:tcPr>
            <w:tcW w:w="731" w:type="dxa"/>
            <w:tcBorders>
              <w:top w:val="nil"/>
              <w:left w:val="nil"/>
              <w:bottom w:val="nil"/>
              <w:right w:val="nil"/>
            </w:tcBorders>
            <w:shd w:val="clear" w:color="auto" w:fill="auto"/>
            <w:vAlign w:val="center"/>
            <w:hideMark/>
          </w:tcPr>
          <w:p w14:paraId="4CE089AF" w14:textId="77777777" w:rsidR="0097090C" w:rsidRPr="003731A3" w:rsidRDefault="0097090C" w:rsidP="0097090C">
            <w:pPr>
              <w:jc w:val="center"/>
              <w:rPr>
                <w:rFonts w:cs="Arial"/>
                <w:color w:val="000000"/>
              </w:rPr>
            </w:pPr>
            <w:r w:rsidRPr="003731A3">
              <w:rPr>
                <w:rFonts w:cs="Arial"/>
                <w:color w:val="000000"/>
              </w:rPr>
              <w:t>12</w:t>
            </w:r>
          </w:p>
        </w:tc>
        <w:tc>
          <w:tcPr>
            <w:tcW w:w="1267" w:type="dxa"/>
            <w:tcBorders>
              <w:top w:val="nil"/>
              <w:left w:val="nil"/>
              <w:bottom w:val="nil"/>
              <w:right w:val="nil"/>
            </w:tcBorders>
            <w:shd w:val="clear" w:color="000000" w:fill="D9D9D9"/>
            <w:vAlign w:val="center"/>
            <w:hideMark/>
          </w:tcPr>
          <w:p w14:paraId="5D0EE73F" w14:textId="77777777" w:rsidR="0097090C" w:rsidRPr="003731A3" w:rsidRDefault="0097090C" w:rsidP="0097090C">
            <w:pPr>
              <w:jc w:val="right"/>
              <w:rPr>
                <w:rFonts w:cs="Arial"/>
                <w:color w:val="000000"/>
              </w:rPr>
            </w:pPr>
            <w:r w:rsidRPr="003731A3">
              <w:rPr>
                <w:rFonts w:cs="Arial"/>
                <w:color w:val="000000"/>
              </w:rPr>
              <w:t>11,331</w:t>
            </w:r>
          </w:p>
        </w:tc>
        <w:tc>
          <w:tcPr>
            <w:tcW w:w="1267" w:type="dxa"/>
            <w:tcBorders>
              <w:top w:val="nil"/>
              <w:left w:val="nil"/>
              <w:bottom w:val="nil"/>
              <w:right w:val="nil"/>
            </w:tcBorders>
            <w:shd w:val="clear" w:color="auto" w:fill="auto"/>
            <w:vAlign w:val="center"/>
            <w:hideMark/>
          </w:tcPr>
          <w:p w14:paraId="1FCA5293" w14:textId="77777777" w:rsidR="0097090C" w:rsidRPr="003731A3" w:rsidRDefault="0097090C" w:rsidP="0097090C">
            <w:pPr>
              <w:jc w:val="right"/>
              <w:rPr>
                <w:rFonts w:cs="Arial"/>
                <w:color w:val="000000"/>
              </w:rPr>
            </w:pPr>
            <w:r w:rsidRPr="003731A3">
              <w:rPr>
                <w:rFonts w:cs="Arial"/>
                <w:color w:val="000000"/>
              </w:rPr>
              <w:t>10,091</w:t>
            </w:r>
          </w:p>
        </w:tc>
      </w:tr>
      <w:tr w:rsidR="0097090C" w:rsidRPr="003731A3" w14:paraId="4E1062F3"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24EE4DD2" w14:textId="77777777" w:rsidR="0097090C" w:rsidRPr="003731A3" w:rsidRDefault="0097090C" w:rsidP="0097090C">
            <w:pPr>
              <w:rPr>
                <w:rFonts w:cs="Arial"/>
                <w:b/>
                <w:bCs/>
                <w:color w:val="000000"/>
              </w:rPr>
            </w:pPr>
            <w:r w:rsidRPr="003731A3">
              <w:rPr>
                <w:rFonts w:cs="Arial"/>
                <w:b/>
                <w:bCs/>
                <w:color w:val="000000"/>
              </w:rPr>
              <w:t>Total Liabilities</w:t>
            </w:r>
          </w:p>
        </w:tc>
        <w:tc>
          <w:tcPr>
            <w:tcW w:w="731" w:type="dxa"/>
            <w:tcBorders>
              <w:top w:val="single" w:sz="4" w:space="0" w:color="auto"/>
              <w:left w:val="nil"/>
              <w:bottom w:val="single" w:sz="4" w:space="0" w:color="auto"/>
              <w:right w:val="nil"/>
            </w:tcBorders>
            <w:shd w:val="clear" w:color="auto" w:fill="auto"/>
            <w:vAlign w:val="center"/>
            <w:hideMark/>
          </w:tcPr>
          <w:p w14:paraId="652C364C" w14:textId="77777777" w:rsidR="0097090C" w:rsidRPr="003731A3" w:rsidRDefault="0097090C" w:rsidP="0097090C">
            <w:pPr>
              <w:rPr>
                <w:rFonts w:cs="Arial"/>
                <w:i/>
                <w:iCs/>
                <w:color w:val="000000"/>
              </w:rPr>
            </w:pPr>
            <w:r w:rsidRPr="003731A3">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6C2BE69C" w14:textId="77777777" w:rsidR="0097090C" w:rsidRPr="003731A3" w:rsidRDefault="0097090C" w:rsidP="0097090C">
            <w:pPr>
              <w:jc w:val="right"/>
              <w:rPr>
                <w:rFonts w:cs="Arial"/>
                <w:b/>
                <w:bCs/>
                <w:color w:val="000000"/>
              </w:rPr>
            </w:pPr>
            <w:r w:rsidRPr="003731A3">
              <w:rPr>
                <w:rFonts w:cs="Arial"/>
                <w:b/>
                <w:bCs/>
                <w:color w:val="000000"/>
              </w:rPr>
              <w:t>26,367</w:t>
            </w:r>
          </w:p>
        </w:tc>
        <w:tc>
          <w:tcPr>
            <w:tcW w:w="1267" w:type="dxa"/>
            <w:tcBorders>
              <w:top w:val="single" w:sz="4" w:space="0" w:color="auto"/>
              <w:left w:val="nil"/>
              <w:bottom w:val="single" w:sz="4" w:space="0" w:color="auto"/>
              <w:right w:val="nil"/>
            </w:tcBorders>
            <w:shd w:val="clear" w:color="auto" w:fill="auto"/>
            <w:vAlign w:val="center"/>
            <w:hideMark/>
          </w:tcPr>
          <w:p w14:paraId="6B3AE92D" w14:textId="77777777" w:rsidR="0097090C" w:rsidRPr="003731A3" w:rsidRDefault="0097090C" w:rsidP="0097090C">
            <w:pPr>
              <w:jc w:val="right"/>
              <w:rPr>
                <w:rFonts w:cs="Arial"/>
                <w:b/>
                <w:bCs/>
                <w:color w:val="000000"/>
              </w:rPr>
            </w:pPr>
            <w:r w:rsidRPr="003731A3">
              <w:rPr>
                <w:rFonts w:cs="Arial"/>
                <w:b/>
                <w:bCs/>
                <w:color w:val="000000"/>
              </w:rPr>
              <w:t>17,344</w:t>
            </w:r>
          </w:p>
        </w:tc>
      </w:tr>
      <w:tr w:rsidR="0097090C" w:rsidRPr="003731A3" w14:paraId="65E86AA8" w14:textId="77777777" w:rsidTr="0097090C">
        <w:trPr>
          <w:trHeight w:val="255"/>
        </w:trPr>
        <w:tc>
          <w:tcPr>
            <w:tcW w:w="6095" w:type="dxa"/>
            <w:tcBorders>
              <w:top w:val="nil"/>
              <w:left w:val="nil"/>
              <w:bottom w:val="nil"/>
              <w:right w:val="nil"/>
            </w:tcBorders>
            <w:shd w:val="clear" w:color="auto" w:fill="auto"/>
            <w:vAlign w:val="center"/>
            <w:hideMark/>
          </w:tcPr>
          <w:p w14:paraId="65B0EB01" w14:textId="77777777" w:rsidR="0097090C" w:rsidRPr="003731A3"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4F346053"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7603DA0"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3228E510" w14:textId="77777777" w:rsidR="0097090C" w:rsidRPr="003731A3" w:rsidRDefault="0097090C" w:rsidP="0097090C">
            <w:pPr>
              <w:jc w:val="right"/>
              <w:rPr>
                <w:rFonts w:cs="Arial"/>
                <w:color w:val="000000"/>
              </w:rPr>
            </w:pPr>
          </w:p>
        </w:tc>
      </w:tr>
      <w:tr w:rsidR="0097090C" w:rsidRPr="003731A3" w14:paraId="40D3FB18"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205092B0" w14:textId="77777777" w:rsidR="0097090C" w:rsidRPr="003731A3" w:rsidRDefault="0097090C" w:rsidP="0097090C">
            <w:pPr>
              <w:rPr>
                <w:rFonts w:cs="Arial"/>
                <w:b/>
                <w:bCs/>
                <w:color w:val="000000"/>
              </w:rPr>
            </w:pPr>
            <w:r w:rsidRPr="003731A3">
              <w:rPr>
                <w:rFonts w:cs="Arial"/>
                <w:b/>
                <w:bCs/>
                <w:color w:val="000000"/>
              </w:rPr>
              <w:t>Net Assets</w:t>
            </w:r>
          </w:p>
        </w:tc>
        <w:tc>
          <w:tcPr>
            <w:tcW w:w="731" w:type="dxa"/>
            <w:tcBorders>
              <w:top w:val="single" w:sz="4" w:space="0" w:color="auto"/>
              <w:left w:val="nil"/>
              <w:bottom w:val="single" w:sz="4" w:space="0" w:color="auto"/>
              <w:right w:val="nil"/>
            </w:tcBorders>
            <w:shd w:val="clear" w:color="auto" w:fill="auto"/>
            <w:vAlign w:val="center"/>
            <w:hideMark/>
          </w:tcPr>
          <w:p w14:paraId="4E1833BE" w14:textId="77777777" w:rsidR="0097090C" w:rsidRPr="003731A3" w:rsidRDefault="0097090C" w:rsidP="0097090C">
            <w:pPr>
              <w:rPr>
                <w:rFonts w:cs="Arial"/>
                <w:i/>
                <w:iCs/>
                <w:color w:val="000000"/>
              </w:rPr>
            </w:pPr>
            <w:r w:rsidRPr="003731A3">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1185D6A5" w14:textId="77777777" w:rsidR="0097090C" w:rsidRPr="003731A3" w:rsidRDefault="0097090C" w:rsidP="0097090C">
            <w:pPr>
              <w:jc w:val="right"/>
              <w:rPr>
                <w:rFonts w:cs="Arial"/>
                <w:b/>
                <w:bCs/>
                <w:color w:val="000000"/>
              </w:rPr>
            </w:pPr>
            <w:r w:rsidRPr="003731A3">
              <w:rPr>
                <w:rFonts w:cs="Arial"/>
                <w:b/>
                <w:bCs/>
                <w:color w:val="000000"/>
              </w:rPr>
              <w:t>1,642,726</w:t>
            </w:r>
          </w:p>
        </w:tc>
        <w:tc>
          <w:tcPr>
            <w:tcW w:w="1267" w:type="dxa"/>
            <w:tcBorders>
              <w:top w:val="single" w:sz="4" w:space="0" w:color="auto"/>
              <w:left w:val="nil"/>
              <w:bottom w:val="single" w:sz="4" w:space="0" w:color="auto"/>
              <w:right w:val="nil"/>
            </w:tcBorders>
            <w:shd w:val="clear" w:color="auto" w:fill="auto"/>
            <w:vAlign w:val="center"/>
            <w:hideMark/>
          </w:tcPr>
          <w:p w14:paraId="56882A84" w14:textId="77777777" w:rsidR="0097090C" w:rsidRPr="003731A3" w:rsidRDefault="0097090C" w:rsidP="0097090C">
            <w:pPr>
              <w:jc w:val="right"/>
              <w:rPr>
                <w:rFonts w:cs="Arial"/>
                <w:b/>
                <w:bCs/>
                <w:color w:val="000000"/>
              </w:rPr>
            </w:pPr>
            <w:r w:rsidRPr="003731A3">
              <w:rPr>
                <w:rFonts w:cs="Arial"/>
                <w:b/>
                <w:bCs/>
                <w:color w:val="000000"/>
              </w:rPr>
              <w:t>1,006,605</w:t>
            </w:r>
          </w:p>
        </w:tc>
      </w:tr>
      <w:tr w:rsidR="0097090C" w:rsidRPr="003731A3" w14:paraId="500433D7" w14:textId="77777777" w:rsidTr="0097090C">
        <w:trPr>
          <w:trHeight w:val="255"/>
        </w:trPr>
        <w:tc>
          <w:tcPr>
            <w:tcW w:w="6095" w:type="dxa"/>
            <w:tcBorders>
              <w:top w:val="nil"/>
              <w:left w:val="nil"/>
              <w:bottom w:val="nil"/>
              <w:right w:val="nil"/>
            </w:tcBorders>
            <w:shd w:val="clear" w:color="auto" w:fill="auto"/>
            <w:vAlign w:val="center"/>
            <w:hideMark/>
          </w:tcPr>
          <w:p w14:paraId="1F54AC33" w14:textId="77777777" w:rsidR="0097090C" w:rsidRPr="003731A3"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0E5EEA43"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6A4DB5A0"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423D9830" w14:textId="77777777" w:rsidR="0097090C" w:rsidRPr="003731A3" w:rsidRDefault="0097090C" w:rsidP="0097090C">
            <w:pPr>
              <w:jc w:val="right"/>
              <w:rPr>
                <w:rFonts w:cs="Arial"/>
                <w:color w:val="000000"/>
              </w:rPr>
            </w:pPr>
          </w:p>
        </w:tc>
      </w:tr>
      <w:tr w:rsidR="0097090C" w:rsidRPr="003731A3" w14:paraId="11AE8B03" w14:textId="77777777" w:rsidTr="0097090C">
        <w:trPr>
          <w:trHeight w:val="255"/>
        </w:trPr>
        <w:tc>
          <w:tcPr>
            <w:tcW w:w="6095" w:type="dxa"/>
            <w:tcBorders>
              <w:top w:val="nil"/>
              <w:left w:val="nil"/>
              <w:bottom w:val="nil"/>
              <w:right w:val="nil"/>
            </w:tcBorders>
            <w:shd w:val="clear" w:color="auto" w:fill="auto"/>
            <w:vAlign w:val="center"/>
            <w:hideMark/>
          </w:tcPr>
          <w:p w14:paraId="4C45A71B" w14:textId="77777777" w:rsidR="0097090C" w:rsidRPr="003731A3" w:rsidRDefault="0097090C" w:rsidP="0097090C">
            <w:pPr>
              <w:rPr>
                <w:rFonts w:cs="Arial"/>
                <w:b/>
                <w:bCs/>
                <w:color w:val="000000"/>
              </w:rPr>
            </w:pPr>
            <w:r w:rsidRPr="003731A3">
              <w:rPr>
                <w:rFonts w:cs="Arial"/>
                <w:b/>
                <w:bCs/>
                <w:color w:val="000000"/>
              </w:rPr>
              <w:t>Equity</w:t>
            </w:r>
          </w:p>
        </w:tc>
        <w:tc>
          <w:tcPr>
            <w:tcW w:w="731" w:type="dxa"/>
            <w:tcBorders>
              <w:top w:val="nil"/>
              <w:left w:val="nil"/>
              <w:bottom w:val="nil"/>
              <w:right w:val="nil"/>
            </w:tcBorders>
            <w:shd w:val="clear" w:color="auto" w:fill="auto"/>
            <w:vAlign w:val="center"/>
            <w:hideMark/>
          </w:tcPr>
          <w:p w14:paraId="27289525"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AEE7A37" w14:textId="77777777" w:rsidR="0097090C" w:rsidRPr="003731A3" w:rsidRDefault="0097090C" w:rsidP="0097090C">
            <w:pPr>
              <w:jc w:val="right"/>
              <w:rPr>
                <w:rFonts w:cs="Arial"/>
                <w:color w:val="000000"/>
              </w:rPr>
            </w:pPr>
            <w:r w:rsidRPr="003731A3">
              <w:rPr>
                <w:rFonts w:cs="Arial"/>
                <w:color w:val="000000"/>
              </w:rPr>
              <w:t> </w:t>
            </w:r>
          </w:p>
        </w:tc>
        <w:tc>
          <w:tcPr>
            <w:tcW w:w="1267" w:type="dxa"/>
            <w:tcBorders>
              <w:top w:val="nil"/>
              <w:left w:val="nil"/>
              <w:bottom w:val="nil"/>
              <w:right w:val="nil"/>
            </w:tcBorders>
            <w:shd w:val="clear" w:color="auto" w:fill="auto"/>
            <w:vAlign w:val="center"/>
            <w:hideMark/>
          </w:tcPr>
          <w:p w14:paraId="09D37EA7" w14:textId="77777777" w:rsidR="0097090C" w:rsidRPr="003731A3" w:rsidRDefault="0097090C" w:rsidP="0097090C">
            <w:pPr>
              <w:jc w:val="right"/>
              <w:rPr>
                <w:rFonts w:cs="Arial"/>
                <w:color w:val="000000"/>
              </w:rPr>
            </w:pPr>
          </w:p>
        </w:tc>
      </w:tr>
      <w:tr w:rsidR="0097090C" w:rsidRPr="003731A3" w14:paraId="3EA27C79" w14:textId="77777777" w:rsidTr="0097090C">
        <w:trPr>
          <w:trHeight w:val="255"/>
        </w:trPr>
        <w:tc>
          <w:tcPr>
            <w:tcW w:w="6095" w:type="dxa"/>
            <w:tcBorders>
              <w:top w:val="nil"/>
              <w:left w:val="nil"/>
              <w:bottom w:val="nil"/>
              <w:right w:val="nil"/>
            </w:tcBorders>
            <w:shd w:val="clear" w:color="auto" w:fill="auto"/>
            <w:vAlign w:val="center"/>
            <w:hideMark/>
          </w:tcPr>
          <w:p w14:paraId="7017AA5C" w14:textId="77777777" w:rsidR="0097090C" w:rsidRPr="003731A3" w:rsidRDefault="0097090C" w:rsidP="0097090C">
            <w:pPr>
              <w:rPr>
                <w:rFonts w:cs="Arial"/>
                <w:color w:val="000000"/>
              </w:rPr>
            </w:pPr>
            <w:r w:rsidRPr="003731A3">
              <w:rPr>
                <w:rFonts w:cs="Arial"/>
                <w:color w:val="000000"/>
              </w:rPr>
              <w:t>Accumulated Deficit</w:t>
            </w:r>
          </w:p>
        </w:tc>
        <w:tc>
          <w:tcPr>
            <w:tcW w:w="731" w:type="dxa"/>
            <w:tcBorders>
              <w:top w:val="nil"/>
              <w:left w:val="nil"/>
              <w:bottom w:val="nil"/>
              <w:right w:val="nil"/>
            </w:tcBorders>
            <w:shd w:val="clear" w:color="auto" w:fill="auto"/>
            <w:vAlign w:val="center"/>
            <w:hideMark/>
          </w:tcPr>
          <w:p w14:paraId="56EF7512" w14:textId="77777777" w:rsidR="0097090C" w:rsidRPr="003731A3" w:rsidRDefault="0097090C" w:rsidP="0097090C">
            <w:pPr>
              <w:jc w:val="center"/>
              <w:rPr>
                <w:rFonts w:cs="Arial"/>
                <w:color w:val="000000"/>
              </w:rPr>
            </w:pPr>
            <w:r w:rsidRPr="003731A3">
              <w:rPr>
                <w:rFonts w:cs="Arial"/>
                <w:color w:val="000000"/>
              </w:rPr>
              <w:t>13(b)</w:t>
            </w:r>
          </w:p>
        </w:tc>
        <w:tc>
          <w:tcPr>
            <w:tcW w:w="1267" w:type="dxa"/>
            <w:tcBorders>
              <w:top w:val="nil"/>
              <w:left w:val="nil"/>
              <w:bottom w:val="nil"/>
              <w:right w:val="nil"/>
            </w:tcBorders>
            <w:shd w:val="clear" w:color="000000" w:fill="D9D9D9"/>
            <w:vAlign w:val="center"/>
            <w:hideMark/>
          </w:tcPr>
          <w:p w14:paraId="3B6B11E0" w14:textId="77777777" w:rsidR="0097090C" w:rsidRPr="003731A3" w:rsidRDefault="0097090C" w:rsidP="0097090C">
            <w:pPr>
              <w:jc w:val="right"/>
              <w:rPr>
                <w:rFonts w:cs="Arial"/>
                <w:color w:val="000000"/>
              </w:rPr>
            </w:pPr>
            <w:r w:rsidRPr="003731A3">
              <w:rPr>
                <w:rFonts w:cs="Arial"/>
                <w:color w:val="000000"/>
              </w:rPr>
              <w:t>(150,628)</w:t>
            </w:r>
          </w:p>
        </w:tc>
        <w:tc>
          <w:tcPr>
            <w:tcW w:w="1267" w:type="dxa"/>
            <w:tcBorders>
              <w:top w:val="nil"/>
              <w:left w:val="nil"/>
              <w:bottom w:val="nil"/>
              <w:right w:val="nil"/>
            </w:tcBorders>
            <w:shd w:val="clear" w:color="auto" w:fill="auto"/>
            <w:vAlign w:val="center"/>
            <w:hideMark/>
          </w:tcPr>
          <w:p w14:paraId="15998C27" w14:textId="77777777" w:rsidR="0097090C" w:rsidRPr="003731A3" w:rsidRDefault="0097090C" w:rsidP="0097090C">
            <w:pPr>
              <w:jc w:val="right"/>
              <w:rPr>
                <w:rFonts w:cs="Arial"/>
                <w:color w:val="000000"/>
              </w:rPr>
            </w:pPr>
            <w:r w:rsidRPr="003731A3">
              <w:rPr>
                <w:rFonts w:cs="Arial"/>
                <w:color w:val="000000"/>
              </w:rPr>
              <w:t>(141,838)</w:t>
            </w:r>
          </w:p>
        </w:tc>
      </w:tr>
      <w:tr w:rsidR="0097090C" w:rsidRPr="003731A3" w14:paraId="024C26A5" w14:textId="77777777" w:rsidTr="0097090C">
        <w:trPr>
          <w:trHeight w:val="255"/>
        </w:trPr>
        <w:tc>
          <w:tcPr>
            <w:tcW w:w="6095" w:type="dxa"/>
            <w:tcBorders>
              <w:top w:val="nil"/>
              <w:left w:val="nil"/>
              <w:bottom w:val="nil"/>
              <w:right w:val="nil"/>
            </w:tcBorders>
            <w:shd w:val="clear" w:color="auto" w:fill="auto"/>
            <w:vAlign w:val="center"/>
            <w:hideMark/>
          </w:tcPr>
          <w:p w14:paraId="7A8E12A8" w14:textId="77777777" w:rsidR="0097090C" w:rsidRPr="003731A3" w:rsidRDefault="0097090C" w:rsidP="0097090C">
            <w:pPr>
              <w:rPr>
                <w:rFonts w:cs="Arial"/>
                <w:color w:val="000000"/>
              </w:rPr>
            </w:pPr>
            <w:r w:rsidRPr="003731A3">
              <w:rPr>
                <w:rFonts w:cs="Arial"/>
                <w:color w:val="000000"/>
              </w:rPr>
              <w:t xml:space="preserve">Reserves </w:t>
            </w:r>
          </w:p>
        </w:tc>
        <w:tc>
          <w:tcPr>
            <w:tcW w:w="731" w:type="dxa"/>
            <w:tcBorders>
              <w:top w:val="nil"/>
              <w:left w:val="nil"/>
              <w:bottom w:val="nil"/>
              <w:right w:val="nil"/>
            </w:tcBorders>
            <w:shd w:val="clear" w:color="auto" w:fill="auto"/>
            <w:vAlign w:val="center"/>
            <w:hideMark/>
          </w:tcPr>
          <w:p w14:paraId="376EBC08" w14:textId="77777777" w:rsidR="0097090C" w:rsidRPr="003731A3" w:rsidRDefault="0097090C" w:rsidP="0097090C">
            <w:pPr>
              <w:jc w:val="center"/>
              <w:rPr>
                <w:rFonts w:cs="Arial"/>
                <w:color w:val="000000"/>
              </w:rPr>
            </w:pPr>
            <w:r w:rsidRPr="003731A3">
              <w:rPr>
                <w:rFonts w:cs="Arial"/>
                <w:color w:val="000000"/>
              </w:rPr>
              <w:t>13(c)</w:t>
            </w:r>
          </w:p>
        </w:tc>
        <w:tc>
          <w:tcPr>
            <w:tcW w:w="1267" w:type="dxa"/>
            <w:tcBorders>
              <w:top w:val="nil"/>
              <w:left w:val="nil"/>
              <w:bottom w:val="nil"/>
              <w:right w:val="nil"/>
            </w:tcBorders>
            <w:shd w:val="clear" w:color="000000" w:fill="D9D9D9"/>
            <w:vAlign w:val="center"/>
            <w:hideMark/>
          </w:tcPr>
          <w:p w14:paraId="2E304245" w14:textId="77777777" w:rsidR="0097090C" w:rsidRPr="003731A3" w:rsidRDefault="0097090C" w:rsidP="0097090C">
            <w:pPr>
              <w:jc w:val="right"/>
              <w:rPr>
                <w:rFonts w:cs="Arial"/>
                <w:color w:val="000000"/>
              </w:rPr>
            </w:pPr>
            <w:r w:rsidRPr="003731A3">
              <w:rPr>
                <w:rFonts w:cs="Arial"/>
                <w:color w:val="000000"/>
              </w:rPr>
              <w:t>1,203,215</w:t>
            </w:r>
          </w:p>
        </w:tc>
        <w:tc>
          <w:tcPr>
            <w:tcW w:w="1267" w:type="dxa"/>
            <w:tcBorders>
              <w:top w:val="nil"/>
              <w:left w:val="nil"/>
              <w:bottom w:val="nil"/>
              <w:right w:val="nil"/>
            </w:tcBorders>
            <w:shd w:val="clear" w:color="auto" w:fill="auto"/>
            <w:vAlign w:val="center"/>
            <w:hideMark/>
          </w:tcPr>
          <w:p w14:paraId="0C6B0FDC" w14:textId="77777777" w:rsidR="0097090C" w:rsidRPr="003731A3" w:rsidRDefault="0097090C" w:rsidP="0097090C">
            <w:pPr>
              <w:jc w:val="right"/>
              <w:rPr>
                <w:rFonts w:cs="Arial"/>
                <w:color w:val="000000"/>
              </w:rPr>
            </w:pPr>
            <w:r w:rsidRPr="003731A3">
              <w:rPr>
                <w:rFonts w:cs="Arial"/>
                <w:color w:val="000000"/>
              </w:rPr>
              <w:t>562,304</w:t>
            </w:r>
          </w:p>
        </w:tc>
      </w:tr>
      <w:tr w:rsidR="0097090C" w:rsidRPr="003731A3" w14:paraId="4DDCBD93" w14:textId="77777777" w:rsidTr="0097090C">
        <w:trPr>
          <w:trHeight w:val="255"/>
        </w:trPr>
        <w:tc>
          <w:tcPr>
            <w:tcW w:w="6095" w:type="dxa"/>
            <w:tcBorders>
              <w:top w:val="nil"/>
              <w:left w:val="nil"/>
              <w:bottom w:val="nil"/>
              <w:right w:val="nil"/>
            </w:tcBorders>
            <w:shd w:val="clear" w:color="auto" w:fill="auto"/>
            <w:vAlign w:val="center"/>
            <w:hideMark/>
          </w:tcPr>
          <w:p w14:paraId="3E733280" w14:textId="77777777" w:rsidR="0097090C" w:rsidRPr="003731A3" w:rsidRDefault="0097090C" w:rsidP="0097090C">
            <w:pPr>
              <w:rPr>
                <w:rFonts w:cs="Arial"/>
                <w:color w:val="000000"/>
              </w:rPr>
            </w:pPr>
            <w:r w:rsidRPr="003731A3">
              <w:rPr>
                <w:rFonts w:cs="Arial"/>
                <w:color w:val="000000"/>
              </w:rPr>
              <w:t>Contributed Capital</w:t>
            </w:r>
          </w:p>
        </w:tc>
        <w:tc>
          <w:tcPr>
            <w:tcW w:w="731" w:type="dxa"/>
            <w:tcBorders>
              <w:top w:val="nil"/>
              <w:left w:val="nil"/>
              <w:bottom w:val="nil"/>
              <w:right w:val="nil"/>
            </w:tcBorders>
            <w:shd w:val="clear" w:color="auto" w:fill="auto"/>
            <w:vAlign w:val="center"/>
            <w:hideMark/>
          </w:tcPr>
          <w:p w14:paraId="646538EF" w14:textId="77777777" w:rsidR="0097090C" w:rsidRPr="003731A3" w:rsidRDefault="0097090C" w:rsidP="0097090C">
            <w:pPr>
              <w:jc w:val="center"/>
              <w:rPr>
                <w:rFonts w:cs="Arial"/>
                <w:color w:val="000000"/>
              </w:rPr>
            </w:pPr>
            <w:r w:rsidRPr="003731A3">
              <w:rPr>
                <w:rFonts w:cs="Arial"/>
                <w:color w:val="000000"/>
              </w:rPr>
              <w:t>13(a)</w:t>
            </w:r>
          </w:p>
        </w:tc>
        <w:tc>
          <w:tcPr>
            <w:tcW w:w="1267" w:type="dxa"/>
            <w:tcBorders>
              <w:top w:val="nil"/>
              <w:left w:val="nil"/>
              <w:bottom w:val="nil"/>
              <w:right w:val="nil"/>
            </w:tcBorders>
            <w:shd w:val="clear" w:color="000000" w:fill="D9D9D9"/>
            <w:vAlign w:val="center"/>
            <w:hideMark/>
          </w:tcPr>
          <w:p w14:paraId="1A4610E7" w14:textId="77777777" w:rsidR="0097090C" w:rsidRPr="003731A3" w:rsidRDefault="0097090C" w:rsidP="0097090C">
            <w:pPr>
              <w:jc w:val="right"/>
              <w:rPr>
                <w:rFonts w:cs="Arial"/>
                <w:color w:val="000000"/>
              </w:rPr>
            </w:pPr>
            <w:r w:rsidRPr="003731A3">
              <w:rPr>
                <w:rFonts w:cs="Arial"/>
                <w:color w:val="000000"/>
              </w:rPr>
              <w:t>590,139</w:t>
            </w:r>
          </w:p>
        </w:tc>
        <w:tc>
          <w:tcPr>
            <w:tcW w:w="1267" w:type="dxa"/>
            <w:tcBorders>
              <w:top w:val="nil"/>
              <w:left w:val="nil"/>
              <w:bottom w:val="nil"/>
              <w:right w:val="nil"/>
            </w:tcBorders>
            <w:shd w:val="clear" w:color="auto" w:fill="auto"/>
            <w:vAlign w:val="center"/>
            <w:hideMark/>
          </w:tcPr>
          <w:p w14:paraId="0D032CDC" w14:textId="77777777" w:rsidR="0097090C" w:rsidRPr="003731A3" w:rsidRDefault="0097090C" w:rsidP="0097090C">
            <w:pPr>
              <w:jc w:val="right"/>
              <w:rPr>
                <w:rFonts w:cs="Arial"/>
                <w:color w:val="000000"/>
              </w:rPr>
            </w:pPr>
            <w:r w:rsidRPr="003731A3">
              <w:rPr>
                <w:rFonts w:cs="Arial"/>
                <w:color w:val="000000"/>
              </w:rPr>
              <w:t>586,139</w:t>
            </w:r>
          </w:p>
        </w:tc>
      </w:tr>
      <w:tr w:rsidR="0097090C" w:rsidRPr="003731A3" w14:paraId="612332BD"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28619F73" w14:textId="77777777" w:rsidR="0097090C" w:rsidRPr="003731A3" w:rsidRDefault="0097090C" w:rsidP="0097090C">
            <w:pPr>
              <w:rPr>
                <w:rFonts w:cs="Arial"/>
                <w:b/>
                <w:bCs/>
                <w:color w:val="000000"/>
              </w:rPr>
            </w:pPr>
            <w:r w:rsidRPr="003731A3">
              <w:rPr>
                <w:rFonts w:cs="Arial"/>
                <w:b/>
                <w:bCs/>
                <w:color w:val="000000"/>
              </w:rPr>
              <w:t>Net Worth</w:t>
            </w:r>
          </w:p>
        </w:tc>
        <w:tc>
          <w:tcPr>
            <w:tcW w:w="731" w:type="dxa"/>
            <w:tcBorders>
              <w:top w:val="single" w:sz="4" w:space="0" w:color="auto"/>
              <w:left w:val="nil"/>
              <w:bottom w:val="single" w:sz="4" w:space="0" w:color="auto"/>
              <w:right w:val="nil"/>
            </w:tcBorders>
            <w:shd w:val="clear" w:color="auto" w:fill="auto"/>
            <w:vAlign w:val="center"/>
            <w:hideMark/>
          </w:tcPr>
          <w:p w14:paraId="442EB999" w14:textId="77777777" w:rsidR="0097090C" w:rsidRPr="003731A3" w:rsidRDefault="0097090C" w:rsidP="0097090C">
            <w:pPr>
              <w:rPr>
                <w:rFonts w:cs="Arial"/>
                <w:i/>
                <w:iCs/>
                <w:color w:val="000000"/>
              </w:rPr>
            </w:pPr>
            <w:r w:rsidRPr="003731A3">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4F92EC9C" w14:textId="77777777" w:rsidR="0097090C" w:rsidRPr="003731A3" w:rsidRDefault="0097090C" w:rsidP="0097090C">
            <w:pPr>
              <w:jc w:val="right"/>
              <w:rPr>
                <w:rFonts w:cs="Arial"/>
                <w:b/>
                <w:bCs/>
                <w:color w:val="000000"/>
              </w:rPr>
            </w:pPr>
            <w:r w:rsidRPr="003731A3">
              <w:rPr>
                <w:rFonts w:cs="Arial"/>
                <w:b/>
                <w:bCs/>
                <w:color w:val="000000"/>
              </w:rPr>
              <w:t>1,642,726</w:t>
            </w:r>
          </w:p>
        </w:tc>
        <w:tc>
          <w:tcPr>
            <w:tcW w:w="1267" w:type="dxa"/>
            <w:tcBorders>
              <w:top w:val="single" w:sz="4" w:space="0" w:color="auto"/>
              <w:left w:val="nil"/>
              <w:bottom w:val="single" w:sz="4" w:space="0" w:color="auto"/>
              <w:right w:val="nil"/>
            </w:tcBorders>
            <w:shd w:val="clear" w:color="auto" w:fill="auto"/>
            <w:vAlign w:val="center"/>
            <w:hideMark/>
          </w:tcPr>
          <w:p w14:paraId="528C0831" w14:textId="77777777" w:rsidR="0097090C" w:rsidRPr="003731A3" w:rsidRDefault="0097090C" w:rsidP="0097090C">
            <w:pPr>
              <w:jc w:val="right"/>
              <w:rPr>
                <w:rFonts w:cs="Arial"/>
                <w:b/>
                <w:bCs/>
                <w:color w:val="000000"/>
              </w:rPr>
            </w:pPr>
            <w:r w:rsidRPr="003731A3">
              <w:rPr>
                <w:rFonts w:cs="Arial"/>
                <w:b/>
                <w:bCs/>
                <w:color w:val="000000"/>
              </w:rPr>
              <w:t>1,006,605</w:t>
            </w:r>
          </w:p>
        </w:tc>
      </w:tr>
      <w:tr w:rsidR="0097090C" w:rsidRPr="003731A3" w14:paraId="60F8AF7D" w14:textId="77777777" w:rsidTr="0097090C">
        <w:trPr>
          <w:trHeight w:val="255"/>
        </w:trPr>
        <w:tc>
          <w:tcPr>
            <w:tcW w:w="6095" w:type="dxa"/>
            <w:tcBorders>
              <w:top w:val="nil"/>
              <w:left w:val="nil"/>
              <w:bottom w:val="nil"/>
              <w:right w:val="nil"/>
            </w:tcBorders>
            <w:shd w:val="clear" w:color="auto" w:fill="auto"/>
            <w:noWrap/>
            <w:vAlign w:val="center"/>
            <w:hideMark/>
          </w:tcPr>
          <w:p w14:paraId="1E5E6EEE" w14:textId="77777777" w:rsidR="0097090C" w:rsidRPr="003731A3" w:rsidRDefault="0097090C" w:rsidP="0097090C">
            <w:pPr>
              <w:rPr>
                <w:rFonts w:cs="Arial"/>
                <w:color w:val="000000"/>
              </w:rPr>
            </w:pPr>
          </w:p>
        </w:tc>
        <w:tc>
          <w:tcPr>
            <w:tcW w:w="731" w:type="dxa"/>
            <w:tcBorders>
              <w:top w:val="nil"/>
              <w:left w:val="nil"/>
              <w:bottom w:val="nil"/>
              <w:right w:val="nil"/>
            </w:tcBorders>
            <w:shd w:val="clear" w:color="auto" w:fill="auto"/>
            <w:noWrap/>
            <w:vAlign w:val="center"/>
            <w:hideMark/>
          </w:tcPr>
          <w:p w14:paraId="27D25403" w14:textId="77777777" w:rsidR="0097090C" w:rsidRPr="003731A3" w:rsidRDefault="0097090C" w:rsidP="0097090C">
            <w:pPr>
              <w:rPr>
                <w:rFonts w:cs="Arial"/>
                <w:color w:val="000000"/>
              </w:rPr>
            </w:pPr>
          </w:p>
        </w:tc>
        <w:tc>
          <w:tcPr>
            <w:tcW w:w="1267" w:type="dxa"/>
            <w:tcBorders>
              <w:top w:val="nil"/>
              <w:left w:val="nil"/>
              <w:bottom w:val="nil"/>
              <w:right w:val="nil"/>
            </w:tcBorders>
            <w:shd w:val="clear" w:color="auto" w:fill="auto"/>
            <w:noWrap/>
            <w:vAlign w:val="center"/>
            <w:hideMark/>
          </w:tcPr>
          <w:p w14:paraId="4AEDCFBB" w14:textId="77777777" w:rsidR="0097090C" w:rsidRPr="003731A3" w:rsidRDefault="0097090C" w:rsidP="0097090C">
            <w:pPr>
              <w:rPr>
                <w:rFonts w:cs="Arial"/>
                <w:color w:val="000000"/>
              </w:rPr>
            </w:pPr>
          </w:p>
        </w:tc>
        <w:tc>
          <w:tcPr>
            <w:tcW w:w="1267" w:type="dxa"/>
            <w:tcBorders>
              <w:top w:val="nil"/>
              <w:left w:val="nil"/>
              <w:bottom w:val="nil"/>
              <w:right w:val="nil"/>
            </w:tcBorders>
            <w:shd w:val="clear" w:color="auto" w:fill="auto"/>
            <w:noWrap/>
            <w:vAlign w:val="center"/>
            <w:hideMark/>
          </w:tcPr>
          <w:p w14:paraId="20470E34" w14:textId="77777777" w:rsidR="0097090C" w:rsidRPr="003731A3" w:rsidRDefault="0097090C" w:rsidP="0097090C">
            <w:pPr>
              <w:rPr>
                <w:rFonts w:cs="Arial"/>
                <w:color w:val="000000"/>
              </w:rPr>
            </w:pPr>
          </w:p>
        </w:tc>
      </w:tr>
      <w:tr w:rsidR="0097090C" w:rsidRPr="003731A3" w14:paraId="46F6B3E7" w14:textId="77777777" w:rsidTr="0097090C">
        <w:trPr>
          <w:trHeight w:val="255"/>
        </w:trPr>
        <w:tc>
          <w:tcPr>
            <w:tcW w:w="6095" w:type="dxa"/>
            <w:tcBorders>
              <w:top w:val="nil"/>
              <w:left w:val="nil"/>
              <w:bottom w:val="nil"/>
              <w:right w:val="nil"/>
            </w:tcBorders>
            <w:shd w:val="clear" w:color="auto" w:fill="auto"/>
            <w:noWrap/>
            <w:vAlign w:val="center"/>
            <w:hideMark/>
          </w:tcPr>
          <w:p w14:paraId="3F713D01" w14:textId="77777777" w:rsidR="0097090C" w:rsidRPr="003731A3" w:rsidRDefault="0097090C" w:rsidP="0097090C">
            <w:pPr>
              <w:rPr>
                <w:rFonts w:cs="Arial"/>
                <w:color w:val="000000"/>
              </w:rPr>
            </w:pPr>
            <w:r w:rsidRPr="003731A3">
              <w:rPr>
                <w:rFonts w:cs="Arial"/>
                <w:color w:val="000000"/>
              </w:rPr>
              <w:t>Contingent assets and contingent liabilities</w:t>
            </w:r>
          </w:p>
        </w:tc>
        <w:tc>
          <w:tcPr>
            <w:tcW w:w="731" w:type="dxa"/>
            <w:tcBorders>
              <w:top w:val="nil"/>
              <w:left w:val="nil"/>
              <w:bottom w:val="nil"/>
              <w:right w:val="nil"/>
            </w:tcBorders>
            <w:shd w:val="clear" w:color="auto" w:fill="auto"/>
            <w:noWrap/>
            <w:vAlign w:val="center"/>
            <w:hideMark/>
          </w:tcPr>
          <w:p w14:paraId="763E2D18" w14:textId="77777777" w:rsidR="0097090C" w:rsidRPr="003731A3" w:rsidRDefault="0097090C" w:rsidP="0097090C">
            <w:pPr>
              <w:jc w:val="center"/>
              <w:rPr>
                <w:rFonts w:cs="Arial"/>
                <w:color w:val="000000"/>
              </w:rPr>
            </w:pPr>
            <w:r w:rsidRPr="003731A3">
              <w:rPr>
                <w:rFonts w:cs="Arial"/>
                <w:color w:val="000000"/>
              </w:rPr>
              <w:t>14</w:t>
            </w:r>
          </w:p>
        </w:tc>
        <w:tc>
          <w:tcPr>
            <w:tcW w:w="1267" w:type="dxa"/>
            <w:tcBorders>
              <w:top w:val="nil"/>
              <w:left w:val="nil"/>
              <w:bottom w:val="nil"/>
              <w:right w:val="nil"/>
            </w:tcBorders>
            <w:shd w:val="clear" w:color="auto" w:fill="auto"/>
            <w:noWrap/>
            <w:vAlign w:val="center"/>
            <w:hideMark/>
          </w:tcPr>
          <w:p w14:paraId="4A54FAD6" w14:textId="77777777" w:rsidR="0097090C" w:rsidRPr="003731A3" w:rsidRDefault="0097090C" w:rsidP="0097090C">
            <w:pPr>
              <w:jc w:val="center"/>
              <w:rPr>
                <w:rFonts w:cs="Arial"/>
                <w:color w:val="000000"/>
              </w:rPr>
            </w:pPr>
            <w:r w:rsidRPr="003731A3">
              <w:rPr>
                <w:rFonts w:cs="Arial"/>
                <w:color w:val="000000"/>
              </w:rPr>
              <w:t>.</w:t>
            </w:r>
          </w:p>
        </w:tc>
        <w:tc>
          <w:tcPr>
            <w:tcW w:w="1267" w:type="dxa"/>
            <w:tcBorders>
              <w:top w:val="nil"/>
              <w:left w:val="nil"/>
              <w:bottom w:val="nil"/>
              <w:right w:val="nil"/>
            </w:tcBorders>
            <w:shd w:val="clear" w:color="auto" w:fill="auto"/>
            <w:noWrap/>
            <w:vAlign w:val="center"/>
            <w:hideMark/>
          </w:tcPr>
          <w:p w14:paraId="3927CD2B" w14:textId="77777777" w:rsidR="0097090C" w:rsidRPr="003731A3" w:rsidRDefault="0097090C" w:rsidP="0097090C">
            <w:pPr>
              <w:rPr>
                <w:rFonts w:cs="Arial"/>
                <w:color w:val="000000"/>
              </w:rPr>
            </w:pPr>
          </w:p>
        </w:tc>
      </w:tr>
      <w:tr w:rsidR="0097090C" w:rsidRPr="003731A3" w14:paraId="47C047E1" w14:textId="77777777" w:rsidTr="0097090C">
        <w:trPr>
          <w:trHeight w:val="255"/>
        </w:trPr>
        <w:tc>
          <w:tcPr>
            <w:tcW w:w="6095" w:type="dxa"/>
            <w:tcBorders>
              <w:top w:val="nil"/>
              <w:left w:val="nil"/>
              <w:bottom w:val="nil"/>
              <w:right w:val="nil"/>
            </w:tcBorders>
            <w:shd w:val="clear" w:color="auto" w:fill="auto"/>
            <w:noWrap/>
            <w:vAlign w:val="center"/>
            <w:hideMark/>
          </w:tcPr>
          <w:p w14:paraId="01607120" w14:textId="77777777" w:rsidR="0097090C" w:rsidRPr="003731A3" w:rsidRDefault="0097090C" w:rsidP="0097090C">
            <w:pPr>
              <w:rPr>
                <w:rFonts w:cs="Arial"/>
                <w:color w:val="000000"/>
              </w:rPr>
            </w:pPr>
            <w:r w:rsidRPr="003731A3">
              <w:rPr>
                <w:rFonts w:cs="Arial"/>
                <w:color w:val="000000"/>
              </w:rPr>
              <w:t xml:space="preserve">Commitments for expenditure </w:t>
            </w:r>
          </w:p>
        </w:tc>
        <w:tc>
          <w:tcPr>
            <w:tcW w:w="731" w:type="dxa"/>
            <w:tcBorders>
              <w:top w:val="nil"/>
              <w:left w:val="nil"/>
              <w:bottom w:val="nil"/>
              <w:right w:val="nil"/>
            </w:tcBorders>
            <w:shd w:val="clear" w:color="auto" w:fill="auto"/>
            <w:noWrap/>
            <w:vAlign w:val="center"/>
            <w:hideMark/>
          </w:tcPr>
          <w:p w14:paraId="6BE081AF" w14:textId="77777777" w:rsidR="0097090C" w:rsidRPr="003731A3" w:rsidRDefault="0097090C" w:rsidP="0097090C">
            <w:pPr>
              <w:jc w:val="center"/>
              <w:rPr>
                <w:rFonts w:cs="Arial"/>
                <w:color w:val="000000"/>
              </w:rPr>
            </w:pPr>
            <w:r w:rsidRPr="003731A3">
              <w:rPr>
                <w:rFonts w:cs="Arial"/>
                <w:color w:val="000000"/>
              </w:rPr>
              <w:t>18</w:t>
            </w:r>
          </w:p>
        </w:tc>
        <w:tc>
          <w:tcPr>
            <w:tcW w:w="1267" w:type="dxa"/>
            <w:tcBorders>
              <w:top w:val="nil"/>
              <w:left w:val="nil"/>
              <w:bottom w:val="nil"/>
              <w:right w:val="nil"/>
            </w:tcBorders>
            <w:shd w:val="clear" w:color="auto" w:fill="auto"/>
            <w:noWrap/>
            <w:vAlign w:val="center"/>
            <w:hideMark/>
          </w:tcPr>
          <w:p w14:paraId="1EDC0519" w14:textId="77777777" w:rsidR="0097090C" w:rsidRPr="003731A3" w:rsidRDefault="0097090C" w:rsidP="0097090C">
            <w:pPr>
              <w:jc w:val="center"/>
              <w:rPr>
                <w:rFonts w:cs="Arial"/>
                <w:color w:val="000000"/>
              </w:rPr>
            </w:pPr>
          </w:p>
        </w:tc>
        <w:tc>
          <w:tcPr>
            <w:tcW w:w="1267" w:type="dxa"/>
            <w:tcBorders>
              <w:top w:val="nil"/>
              <w:left w:val="nil"/>
              <w:bottom w:val="nil"/>
              <w:right w:val="nil"/>
            </w:tcBorders>
            <w:shd w:val="clear" w:color="auto" w:fill="auto"/>
            <w:noWrap/>
            <w:vAlign w:val="center"/>
            <w:hideMark/>
          </w:tcPr>
          <w:p w14:paraId="79BC4C19" w14:textId="77777777" w:rsidR="0097090C" w:rsidRPr="003731A3" w:rsidRDefault="0097090C" w:rsidP="0097090C">
            <w:pPr>
              <w:rPr>
                <w:rFonts w:cs="Arial"/>
                <w:color w:val="000000"/>
              </w:rPr>
            </w:pPr>
          </w:p>
        </w:tc>
      </w:tr>
    </w:tbl>
    <w:p w14:paraId="369252B0" w14:textId="77777777" w:rsidR="0097090C" w:rsidRDefault="0097090C" w:rsidP="0097090C">
      <w:pPr>
        <w:rPr>
          <w:b/>
          <w:lang w:val="en-GB"/>
        </w:rPr>
      </w:pPr>
    </w:p>
    <w:p w14:paraId="267AFC83" w14:textId="77777777" w:rsidR="0097090C" w:rsidRDefault="0097090C" w:rsidP="0097090C">
      <w:pPr>
        <w:rPr>
          <w:rFonts w:cs="Arial"/>
        </w:rPr>
      </w:pPr>
      <w:r>
        <w:rPr>
          <w:b/>
          <w:lang w:val="en-GB"/>
        </w:rPr>
        <w:t>The above Balance Sheet should be read in conjunction with the accompanying notes.</w:t>
      </w:r>
    </w:p>
    <w:p w14:paraId="5735E782" w14:textId="77777777" w:rsidR="0097090C" w:rsidRDefault="0097090C" w:rsidP="0097090C">
      <w:pPr>
        <w:rPr>
          <w:rFonts w:cs="Arial"/>
        </w:rPr>
      </w:pPr>
    </w:p>
    <w:p w14:paraId="49FF4FBA" w14:textId="77777777" w:rsidR="0097090C" w:rsidRDefault="0097090C" w:rsidP="0097090C">
      <w:pPr>
        <w:rPr>
          <w:rFonts w:cs="Arial"/>
        </w:rPr>
        <w:sectPr w:rsidR="0097090C" w:rsidSect="0097090C">
          <w:footerReference w:type="default" r:id="rId14"/>
          <w:pgSz w:w="11906" w:h="16838"/>
          <w:pgMar w:top="1440" w:right="1797" w:bottom="1440" w:left="1797" w:header="708" w:footer="708" w:gutter="0"/>
          <w:cols w:space="708"/>
          <w:docGrid w:linePitch="360"/>
        </w:sectPr>
      </w:pPr>
    </w:p>
    <w:p w14:paraId="62A262D1" w14:textId="77777777" w:rsidR="0097090C" w:rsidRDefault="0097090C" w:rsidP="0097090C">
      <w:pPr>
        <w:pStyle w:val="Heading3"/>
      </w:pPr>
      <w:r w:rsidRPr="00711CBE">
        <w:lastRenderedPageBreak/>
        <w:t>Statement of Changes in Equity for the financial year ended 30 June 2016</w:t>
      </w:r>
    </w:p>
    <w:tbl>
      <w:tblPr>
        <w:tblW w:w="11992" w:type="dxa"/>
        <w:tblInd w:w="108" w:type="dxa"/>
        <w:tblLook w:val="04A0" w:firstRow="1" w:lastRow="0" w:firstColumn="1" w:lastColumn="0" w:noHBand="0" w:noVBand="1"/>
      </w:tblPr>
      <w:tblGrid>
        <w:gridCol w:w="3728"/>
        <w:gridCol w:w="1048"/>
        <w:gridCol w:w="1598"/>
        <w:gridCol w:w="1463"/>
        <w:gridCol w:w="1248"/>
        <w:gridCol w:w="1268"/>
        <w:gridCol w:w="1658"/>
        <w:gridCol w:w="1256"/>
      </w:tblGrid>
      <w:tr w:rsidR="0097090C" w:rsidRPr="00B46ABB" w14:paraId="32285F18" w14:textId="77777777" w:rsidTr="0097090C">
        <w:trPr>
          <w:trHeight w:val="300"/>
        </w:trPr>
        <w:tc>
          <w:tcPr>
            <w:tcW w:w="3728" w:type="dxa"/>
            <w:tcBorders>
              <w:top w:val="nil"/>
              <w:left w:val="nil"/>
              <w:bottom w:val="nil"/>
              <w:right w:val="nil"/>
            </w:tcBorders>
            <w:shd w:val="clear" w:color="auto" w:fill="auto"/>
            <w:noWrap/>
            <w:vAlign w:val="bottom"/>
            <w:hideMark/>
          </w:tcPr>
          <w:p w14:paraId="0AB5DA60" w14:textId="77777777" w:rsidR="0097090C" w:rsidRPr="00B46ABB" w:rsidRDefault="0097090C" w:rsidP="0097090C">
            <w:pPr>
              <w:rPr>
                <w:rFonts w:ascii="Calibri" w:hAnsi="Calibri"/>
                <w:color w:val="000000"/>
                <w:szCs w:val="22"/>
              </w:rPr>
            </w:pPr>
          </w:p>
        </w:tc>
        <w:tc>
          <w:tcPr>
            <w:tcW w:w="768" w:type="dxa"/>
            <w:tcBorders>
              <w:top w:val="nil"/>
              <w:left w:val="nil"/>
              <w:bottom w:val="nil"/>
              <w:right w:val="nil"/>
            </w:tcBorders>
            <w:shd w:val="clear" w:color="auto" w:fill="auto"/>
            <w:noWrap/>
            <w:vAlign w:val="bottom"/>
            <w:hideMark/>
          </w:tcPr>
          <w:p w14:paraId="7D873E4F"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bottom"/>
            <w:hideMark/>
          </w:tcPr>
          <w:p w14:paraId="486E47B2"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bottom"/>
            <w:hideMark/>
          </w:tcPr>
          <w:p w14:paraId="49C16030"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bottom"/>
            <w:hideMark/>
          </w:tcPr>
          <w:p w14:paraId="1A93FA31"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bottom"/>
            <w:hideMark/>
          </w:tcPr>
          <w:p w14:paraId="39F1DABB"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bottom"/>
            <w:hideMark/>
          </w:tcPr>
          <w:p w14:paraId="0E6102DE" w14:textId="77777777" w:rsidR="0097090C" w:rsidRPr="00B46ABB" w:rsidRDefault="0097090C" w:rsidP="0097090C">
            <w:pPr>
              <w:rPr>
                <w:rFonts w:ascii="Calibri" w:hAnsi="Calibri"/>
                <w:color w:val="000000"/>
                <w:szCs w:val="22"/>
              </w:rPr>
            </w:pPr>
          </w:p>
        </w:tc>
        <w:tc>
          <w:tcPr>
            <w:tcW w:w="1256" w:type="dxa"/>
            <w:tcBorders>
              <w:top w:val="nil"/>
              <w:left w:val="nil"/>
              <w:bottom w:val="nil"/>
              <w:right w:val="nil"/>
            </w:tcBorders>
            <w:shd w:val="clear" w:color="auto" w:fill="auto"/>
            <w:noWrap/>
            <w:vAlign w:val="center"/>
            <w:hideMark/>
          </w:tcPr>
          <w:p w14:paraId="3AB7A457" w14:textId="77777777" w:rsidR="0097090C" w:rsidRPr="00B46ABB" w:rsidRDefault="0097090C" w:rsidP="0097090C">
            <w:pPr>
              <w:jc w:val="center"/>
              <w:rPr>
                <w:rFonts w:cs="Arial"/>
                <w:b/>
                <w:bCs/>
                <w:color w:val="000000"/>
              </w:rPr>
            </w:pPr>
            <w:r w:rsidRPr="00B46ABB">
              <w:rPr>
                <w:rFonts w:cs="Arial"/>
                <w:b/>
                <w:bCs/>
                <w:color w:val="000000"/>
              </w:rPr>
              <w:t>$'000</w:t>
            </w:r>
          </w:p>
        </w:tc>
      </w:tr>
      <w:tr w:rsidR="0097090C" w:rsidRPr="00B46ABB" w14:paraId="0E8E03BE" w14:textId="77777777" w:rsidTr="0097090C">
        <w:trPr>
          <w:trHeight w:val="1215"/>
        </w:trPr>
        <w:tc>
          <w:tcPr>
            <w:tcW w:w="3728" w:type="dxa"/>
            <w:tcBorders>
              <w:top w:val="single" w:sz="4" w:space="0" w:color="auto"/>
              <w:left w:val="nil"/>
              <w:bottom w:val="single" w:sz="4" w:space="0" w:color="auto"/>
              <w:right w:val="nil"/>
            </w:tcBorders>
            <w:shd w:val="clear" w:color="auto" w:fill="auto"/>
            <w:noWrap/>
            <w:vAlign w:val="center"/>
            <w:hideMark/>
          </w:tcPr>
          <w:p w14:paraId="51D4EC1E" w14:textId="77777777" w:rsidR="0097090C" w:rsidRPr="00B46ABB" w:rsidRDefault="0097090C" w:rsidP="0097090C">
            <w:pPr>
              <w:rPr>
                <w:rFonts w:cs="Arial"/>
                <w:b/>
                <w:bCs/>
                <w:color w:val="000000"/>
              </w:rPr>
            </w:pPr>
            <w:r w:rsidRPr="00B46ABB">
              <w:rPr>
                <w:rFonts w:cs="Arial"/>
                <w:b/>
                <w:bCs/>
                <w:color w:val="000000"/>
              </w:rPr>
              <w:t> </w:t>
            </w:r>
          </w:p>
        </w:tc>
        <w:tc>
          <w:tcPr>
            <w:tcW w:w="768" w:type="dxa"/>
            <w:tcBorders>
              <w:top w:val="single" w:sz="4" w:space="0" w:color="auto"/>
              <w:left w:val="nil"/>
              <w:bottom w:val="single" w:sz="4" w:space="0" w:color="auto"/>
              <w:right w:val="nil"/>
            </w:tcBorders>
            <w:shd w:val="clear" w:color="auto" w:fill="auto"/>
            <w:noWrap/>
            <w:vAlign w:val="center"/>
            <w:hideMark/>
          </w:tcPr>
          <w:p w14:paraId="707310EA" w14:textId="77777777" w:rsidR="0097090C" w:rsidRPr="006F48C9" w:rsidRDefault="0097090C" w:rsidP="0097090C">
            <w:pPr>
              <w:jc w:val="center"/>
              <w:rPr>
                <w:rFonts w:cs="Arial"/>
                <w:b/>
                <w:color w:val="000000"/>
              </w:rPr>
            </w:pPr>
            <w:r w:rsidRPr="006F48C9">
              <w:rPr>
                <w:rFonts w:cs="Arial"/>
                <w:b/>
                <w:color w:val="000000"/>
              </w:rPr>
              <w:t>Notes</w:t>
            </w:r>
          </w:p>
        </w:tc>
        <w:tc>
          <w:tcPr>
            <w:tcW w:w="1248" w:type="dxa"/>
            <w:tcBorders>
              <w:top w:val="single" w:sz="4" w:space="0" w:color="auto"/>
              <w:left w:val="nil"/>
              <w:bottom w:val="single" w:sz="4" w:space="0" w:color="auto"/>
              <w:right w:val="nil"/>
            </w:tcBorders>
            <w:shd w:val="clear" w:color="auto" w:fill="auto"/>
            <w:vAlign w:val="center"/>
            <w:hideMark/>
          </w:tcPr>
          <w:p w14:paraId="095CCEEE" w14:textId="77777777" w:rsidR="0097090C" w:rsidRPr="006F48C9" w:rsidRDefault="0097090C" w:rsidP="0097090C">
            <w:pPr>
              <w:jc w:val="right"/>
              <w:rPr>
                <w:rFonts w:cs="Arial"/>
                <w:b/>
                <w:color w:val="000000"/>
              </w:rPr>
            </w:pPr>
            <w:r w:rsidRPr="006F48C9">
              <w:rPr>
                <w:rFonts w:cs="Arial"/>
                <w:b/>
                <w:color w:val="000000"/>
              </w:rPr>
              <w:t>Accumulated Deficit</w:t>
            </w:r>
          </w:p>
        </w:tc>
        <w:tc>
          <w:tcPr>
            <w:tcW w:w="1248" w:type="dxa"/>
            <w:tcBorders>
              <w:top w:val="single" w:sz="4" w:space="0" w:color="auto"/>
              <w:left w:val="nil"/>
              <w:bottom w:val="single" w:sz="4" w:space="0" w:color="auto"/>
              <w:right w:val="nil"/>
            </w:tcBorders>
            <w:shd w:val="clear" w:color="auto" w:fill="auto"/>
            <w:vAlign w:val="center"/>
            <w:hideMark/>
          </w:tcPr>
          <w:p w14:paraId="487B45EB" w14:textId="77777777" w:rsidR="0097090C" w:rsidRPr="006F48C9" w:rsidRDefault="0097090C" w:rsidP="0097090C">
            <w:pPr>
              <w:jc w:val="right"/>
              <w:rPr>
                <w:rFonts w:cs="Arial"/>
                <w:b/>
                <w:color w:val="000000"/>
              </w:rPr>
            </w:pPr>
            <w:r w:rsidRPr="006F48C9">
              <w:rPr>
                <w:rFonts w:cs="Arial"/>
                <w:b/>
                <w:color w:val="000000"/>
              </w:rPr>
              <w:t>Physical Asset Revaluation Surplus</w:t>
            </w:r>
          </w:p>
        </w:tc>
        <w:tc>
          <w:tcPr>
            <w:tcW w:w="1248" w:type="dxa"/>
            <w:tcBorders>
              <w:top w:val="single" w:sz="4" w:space="0" w:color="auto"/>
              <w:left w:val="nil"/>
              <w:bottom w:val="single" w:sz="4" w:space="0" w:color="auto"/>
              <w:right w:val="nil"/>
            </w:tcBorders>
            <w:shd w:val="clear" w:color="auto" w:fill="auto"/>
            <w:vAlign w:val="center"/>
            <w:hideMark/>
          </w:tcPr>
          <w:p w14:paraId="3C3630D2" w14:textId="77777777" w:rsidR="0097090C" w:rsidRPr="006F48C9" w:rsidRDefault="0097090C" w:rsidP="0097090C">
            <w:pPr>
              <w:jc w:val="right"/>
              <w:rPr>
                <w:rFonts w:cs="Arial"/>
                <w:b/>
                <w:color w:val="000000"/>
              </w:rPr>
            </w:pPr>
            <w:r w:rsidRPr="006F48C9">
              <w:rPr>
                <w:rFonts w:cs="Arial"/>
                <w:b/>
                <w:color w:val="000000"/>
              </w:rPr>
              <w:t>Trust Funds</w:t>
            </w:r>
          </w:p>
        </w:tc>
        <w:tc>
          <w:tcPr>
            <w:tcW w:w="1248" w:type="dxa"/>
            <w:tcBorders>
              <w:top w:val="single" w:sz="4" w:space="0" w:color="auto"/>
              <w:left w:val="nil"/>
              <w:bottom w:val="single" w:sz="4" w:space="0" w:color="auto"/>
              <w:right w:val="nil"/>
            </w:tcBorders>
            <w:shd w:val="clear" w:color="auto" w:fill="auto"/>
            <w:vAlign w:val="center"/>
            <w:hideMark/>
          </w:tcPr>
          <w:p w14:paraId="05FBCA13" w14:textId="77777777" w:rsidR="0097090C" w:rsidRPr="006F48C9" w:rsidRDefault="0097090C" w:rsidP="0097090C">
            <w:pPr>
              <w:jc w:val="right"/>
              <w:rPr>
                <w:rFonts w:cs="Arial"/>
                <w:b/>
                <w:color w:val="000000"/>
              </w:rPr>
            </w:pPr>
            <w:r w:rsidRPr="006F48C9">
              <w:rPr>
                <w:rFonts w:cs="Arial"/>
                <w:b/>
                <w:color w:val="000000"/>
              </w:rPr>
              <w:t>Externally Funded Special  Projects</w:t>
            </w:r>
          </w:p>
        </w:tc>
        <w:tc>
          <w:tcPr>
            <w:tcW w:w="1248" w:type="dxa"/>
            <w:tcBorders>
              <w:top w:val="single" w:sz="4" w:space="0" w:color="auto"/>
              <w:left w:val="nil"/>
              <w:bottom w:val="single" w:sz="4" w:space="0" w:color="auto"/>
              <w:right w:val="nil"/>
            </w:tcBorders>
            <w:shd w:val="clear" w:color="auto" w:fill="auto"/>
            <w:vAlign w:val="center"/>
            <w:hideMark/>
          </w:tcPr>
          <w:p w14:paraId="2783EFF4" w14:textId="77777777" w:rsidR="0097090C" w:rsidRPr="006F48C9" w:rsidRDefault="0097090C" w:rsidP="0097090C">
            <w:pPr>
              <w:jc w:val="right"/>
              <w:rPr>
                <w:rFonts w:cs="Arial"/>
                <w:b/>
                <w:color w:val="000000"/>
              </w:rPr>
            </w:pPr>
            <w:r w:rsidRPr="006F48C9">
              <w:rPr>
                <w:rFonts w:cs="Arial"/>
                <w:b/>
                <w:color w:val="000000"/>
              </w:rPr>
              <w:t>Contributions by Owner</w:t>
            </w:r>
          </w:p>
        </w:tc>
        <w:tc>
          <w:tcPr>
            <w:tcW w:w="1256" w:type="dxa"/>
            <w:tcBorders>
              <w:top w:val="single" w:sz="4" w:space="0" w:color="auto"/>
              <w:left w:val="nil"/>
              <w:bottom w:val="single" w:sz="4" w:space="0" w:color="auto"/>
              <w:right w:val="nil"/>
            </w:tcBorders>
            <w:shd w:val="clear" w:color="000000" w:fill="D9D9D9"/>
            <w:vAlign w:val="center"/>
            <w:hideMark/>
          </w:tcPr>
          <w:p w14:paraId="0B992E33" w14:textId="77777777" w:rsidR="0097090C" w:rsidRPr="006F48C9" w:rsidRDefault="0097090C" w:rsidP="0097090C">
            <w:pPr>
              <w:jc w:val="right"/>
              <w:rPr>
                <w:rFonts w:cs="Arial"/>
                <w:b/>
                <w:color w:val="000000"/>
              </w:rPr>
            </w:pPr>
            <w:r w:rsidRPr="006F48C9">
              <w:rPr>
                <w:rFonts w:cs="Arial"/>
                <w:b/>
                <w:color w:val="000000"/>
              </w:rPr>
              <w:t>Total</w:t>
            </w:r>
          </w:p>
        </w:tc>
      </w:tr>
      <w:tr w:rsidR="0097090C" w:rsidRPr="00B46ABB" w14:paraId="558454F9" w14:textId="77777777" w:rsidTr="0097090C">
        <w:trPr>
          <w:trHeight w:val="300"/>
        </w:trPr>
        <w:tc>
          <w:tcPr>
            <w:tcW w:w="3728" w:type="dxa"/>
            <w:tcBorders>
              <w:top w:val="nil"/>
              <w:left w:val="nil"/>
              <w:bottom w:val="nil"/>
              <w:right w:val="nil"/>
            </w:tcBorders>
            <w:shd w:val="clear" w:color="auto" w:fill="auto"/>
            <w:noWrap/>
            <w:vAlign w:val="center"/>
            <w:hideMark/>
          </w:tcPr>
          <w:p w14:paraId="79323FC0" w14:textId="77777777" w:rsidR="0097090C" w:rsidRPr="00B46ABB" w:rsidRDefault="0097090C" w:rsidP="0097090C">
            <w:pPr>
              <w:rPr>
                <w:rFonts w:cs="Arial"/>
                <w:b/>
                <w:bCs/>
                <w:color w:val="000000"/>
              </w:rPr>
            </w:pPr>
            <w:r w:rsidRPr="00B46ABB">
              <w:rPr>
                <w:rFonts w:cs="Arial"/>
                <w:b/>
                <w:bCs/>
                <w:color w:val="000000"/>
              </w:rPr>
              <w:t>Balance at 1 July 2014</w:t>
            </w:r>
          </w:p>
        </w:tc>
        <w:tc>
          <w:tcPr>
            <w:tcW w:w="768" w:type="dxa"/>
            <w:tcBorders>
              <w:top w:val="nil"/>
              <w:left w:val="nil"/>
              <w:bottom w:val="nil"/>
              <w:right w:val="nil"/>
            </w:tcBorders>
            <w:shd w:val="clear" w:color="auto" w:fill="auto"/>
            <w:noWrap/>
            <w:vAlign w:val="center"/>
            <w:hideMark/>
          </w:tcPr>
          <w:p w14:paraId="17C49DA4"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center"/>
            <w:hideMark/>
          </w:tcPr>
          <w:p w14:paraId="6CE05DD7" w14:textId="77777777" w:rsidR="0097090C" w:rsidRPr="00B46ABB" w:rsidRDefault="0097090C" w:rsidP="0097090C">
            <w:pPr>
              <w:jc w:val="right"/>
              <w:rPr>
                <w:rFonts w:cs="Arial"/>
                <w:color w:val="000000"/>
              </w:rPr>
            </w:pPr>
            <w:r w:rsidRPr="00B46ABB">
              <w:rPr>
                <w:rFonts w:cs="Arial"/>
                <w:color w:val="000000"/>
              </w:rPr>
              <w:t>(130,927)</w:t>
            </w:r>
          </w:p>
        </w:tc>
        <w:tc>
          <w:tcPr>
            <w:tcW w:w="1248" w:type="dxa"/>
            <w:tcBorders>
              <w:top w:val="nil"/>
              <w:left w:val="nil"/>
              <w:bottom w:val="nil"/>
              <w:right w:val="nil"/>
            </w:tcBorders>
            <w:shd w:val="clear" w:color="auto" w:fill="auto"/>
            <w:noWrap/>
            <w:vAlign w:val="center"/>
            <w:hideMark/>
          </w:tcPr>
          <w:p w14:paraId="767CE2F5" w14:textId="77777777" w:rsidR="0097090C" w:rsidRPr="00B46ABB" w:rsidRDefault="0097090C" w:rsidP="0097090C">
            <w:pPr>
              <w:jc w:val="right"/>
              <w:rPr>
                <w:rFonts w:cs="Arial"/>
                <w:color w:val="000000"/>
              </w:rPr>
            </w:pPr>
            <w:r w:rsidRPr="00B46ABB">
              <w:rPr>
                <w:rFonts w:cs="Arial"/>
                <w:color w:val="000000"/>
              </w:rPr>
              <w:t>545,888</w:t>
            </w:r>
          </w:p>
        </w:tc>
        <w:tc>
          <w:tcPr>
            <w:tcW w:w="1248" w:type="dxa"/>
            <w:tcBorders>
              <w:top w:val="nil"/>
              <w:left w:val="nil"/>
              <w:bottom w:val="nil"/>
              <w:right w:val="nil"/>
            </w:tcBorders>
            <w:shd w:val="clear" w:color="auto" w:fill="auto"/>
            <w:noWrap/>
            <w:vAlign w:val="center"/>
            <w:hideMark/>
          </w:tcPr>
          <w:p w14:paraId="301BD9E6" w14:textId="77777777" w:rsidR="0097090C" w:rsidRPr="00B46ABB" w:rsidRDefault="0097090C" w:rsidP="0097090C">
            <w:pPr>
              <w:jc w:val="right"/>
              <w:rPr>
                <w:rFonts w:cs="Arial"/>
                <w:color w:val="000000"/>
              </w:rPr>
            </w:pPr>
            <w:r w:rsidRPr="00B46ABB">
              <w:rPr>
                <w:rFonts w:cs="Arial"/>
                <w:color w:val="000000"/>
              </w:rPr>
              <w:t>8,261</w:t>
            </w:r>
          </w:p>
        </w:tc>
        <w:tc>
          <w:tcPr>
            <w:tcW w:w="1248" w:type="dxa"/>
            <w:tcBorders>
              <w:top w:val="nil"/>
              <w:left w:val="nil"/>
              <w:bottom w:val="nil"/>
              <w:right w:val="nil"/>
            </w:tcBorders>
            <w:shd w:val="clear" w:color="auto" w:fill="auto"/>
            <w:noWrap/>
            <w:vAlign w:val="center"/>
            <w:hideMark/>
          </w:tcPr>
          <w:p w14:paraId="37832100" w14:textId="77777777" w:rsidR="0097090C" w:rsidRPr="00B46ABB" w:rsidRDefault="0097090C" w:rsidP="0097090C">
            <w:pPr>
              <w:jc w:val="right"/>
              <w:rPr>
                <w:rFonts w:cs="Arial"/>
                <w:color w:val="000000"/>
              </w:rPr>
            </w:pPr>
            <w:r w:rsidRPr="00B46ABB">
              <w:rPr>
                <w:rFonts w:cs="Arial"/>
                <w:color w:val="000000"/>
              </w:rPr>
              <w:t>10,754</w:t>
            </w:r>
          </w:p>
        </w:tc>
        <w:tc>
          <w:tcPr>
            <w:tcW w:w="1248" w:type="dxa"/>
            <w:tcBorders>
              <w:top w:val="nil"/>
              <w:left w:val="nil"/>
              <w:bottom w:val="nil"/>
              <w:right w:val="nil"/>
            </w:tcBorders>
            <w:shd w:val="clear" w:color="auto" w:fill="auto"/>
            <w:noWrap/>
            <w:vAlign w:val="center"/>
            <w:hideMark/>
          </w:tcPr>
          <w:p w14:paraId="3C95CBAD" w14:textId="77777777" w:rsidR="0097090C" w:rsidRPr="00B46ABB" w:rsidRDefault="0097090C" w:rsidP="0097090C">
            <w:pPr>
              <w:jc w:val="right"/>
              <w:rPr>
                <w:rFonts w:cs="Arial"/>
                <w:color w:val="000000"/>
              </w:rPr>
            </w:pPr>
            <w:r w:rsidRPr="00B46ABB">
              <w:rPr>
                <w:rFonts w:cs="Arial"/>
                <w:color w:val="000000"/>
              </w:rPr>
              <w:t>586,139</w:t>
            </w:r>
          </w:p>
        </w:tc>
        <w:tc>
          <w:tcPr>
            <w:tcW w:w="1256" w:type="dxa"/>
            <w:tcBorders>
              <w:top w:val="nil"/>
              <w:left w:val="nil"/>
              <w:bottom w:val="nil"/>
              <w:right w:val="nil"/>
            </w:tcBorders>
            <w:shd w:val="clear" w:color="000000" w:fill="D9D9D9"/>
            <w:noWrap/>
            <w:vAlign w:val="center"/>
            <w:hideMark/>
          </w:tcPr>
          <w:p w14:paraId="59B37B0C" w14:textId="77777777" w:rsidR="0097090C" w:rsidRPr="00B46ABB" w:rsidRDefault="0097090C" w:rsidP="0097090C">
            <w:pPr>
              <w:jc w:val="right"/>
              <w:rPr>
                <w:rFonts w:cs="Arial"/>
                <w:color w:val="000000"/>
              </w:rPr>
            </w:pPr>
            <w:r w:rsidRPr="00B46ABB">
              <w:rPr>
                <w:rFonts w:cs="Arial"/>
                <w:color w:val="000000"/>
              </w:rPr>
              <w:t>1,020,115</w:t>
            </w:r>
          </w:p>
        </w:tc>
      </w:tr>
      <w:tr w:rsidR="0097090C" w:rsidRPr="00B46ABB" w14:paraId="5039CB4C" w14:textId="77777777" w:rsidTr="0097090C">
        <w:trPr>
          <w:trHeight w:val="270"/>
        </w:trPr>
        <w:tc>
          <w:tcPr>
            <w:tcW w:w="3728" w:type="dxa"/>
            <w:tcBorders>
              <w:top w:val="nil"/>
              <w:left w:val="nil"/>
              <w:bottom w:val="nil"/>
              <w:right w:val="nil"/>
            </w:tcBorders>
            <w:shd w:val="clear" w:color="auto" w:fill="auto"/>
            <w:noWrap/>
            <w:vAlign w:val="center"/>
            <w:hideMark/>
          </w:tcPr>
          <w:p w14:paraId="50BCB796" w14:textId="77777777" w:rsidR="0097090C" w:rsidRPr="00B46ABB" w:rsidRDefault="0097090C" w:rsidP="0097090C">
            <w:pPr>
              <w:rPr>
                <w:rFonts w:cs="Arial"/>
                <w:color w:val="000000"/>
              </w:rPr>
            </w:pPr>
            <w:r w:rsidRPr="00B46ABB">
              <w:rPr>
                <w:rFonts w:cs="Arial"/>
                <w:color w:val="000000"/>
              </w:rPr>
              <w:t>Net result for the year</w:t>
            </w:r>
          </w:p>
        </w:tc>
        <w:tc>
          <w:tcPr>
            <w:tcW w:w="768" w:type="dxa"/>
            <w:tcBorders>
              <w:top w:val="nil"/>
              <w:left w:val="nil"/>
              <w:bottom w:val="nil"/>
              <w:right w:val="nil"/>
            </w:tcBorders>
            <w:shd w:val="clear" w:color="auto" w:fill="auto"/>
            <w:noWrap/>
            <w:vAlign w:val="center"/>
            <w:hideMark/>
          </w:tcPr>
          <w:p w14:paraId="72DBDB3E"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center"/>
            <w:hideMark/>
          </w:tcPr>
          <w:p w14:paraId="7776CCFC" w14:textId="77777777" w:rsidR="0097090C" w:rsidRPr="00B46ABB" w:rsidRDefault="0097090C" w:rsidP="0097090C">
            <w:pPr>
              <w:jc w:val="right"/>
              <w:rPr>
                <w:rFonts w:cs="Arial"/>
                <w:color w:val="000000"/>
              </w:rPr>
            </w:pPr>
            <w:r w:rsidRPr="00B46ABB">
              <w:rPr>
                <w:rFonts w:cs="Arial"/>
                <w:color w:val="000000"/>
              </w:rPr>
              <w:t>(13,510)</w:t>
            </w:r>
          </w:p>
        </w:tc>
        <w:tc>
          <w:tcPr>
            <w:tcW w:w="1248" w:type="dxa"/>
            <w:tcBorders>
              <w:top w:val="nil"/>
              <w:left w:val="nil"/>
              <w:bottom w:val="nil"/>
              <w:right w:val="nil"/>
            </w:tcBorders>
            <w:shd w:val="clear" w:color="auto" w:fill="auto"/>
            <w:noWrap/>
            <w:vAlign w:val="center"/>
            <w:hideMark/>
          </w:tcPr>
          <w:p w14:paraId="23A2DC4E"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39EA6072"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6F82D385"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08F99AEB" w14:textId="77777777" w:rsidR="0097090C" w:rsidRPr="00B46ABB" w:rsidRDefault="0097090C" w:rsidP="0097090C">
            <w:pPr>
              <w:jc w:val="right"/>
              <w:rPr>
                <w:rFonts w:cs="Arial"/>
                <w:color w:val="000000"/>
              </w:rPr>
            </w:pPr>
            <w:r w:rsidRPr="00B46ABB">
              <w:rPr>
                <w:rFonts w:cs="Arial"/>
                <w:color w:val="000000"/>
              </w:rPr>
              <w:t>0</w:t>
            </w:r>
          </w:p>
        </w:tc>
        <w:tc>
          <w:tcPr>
            <w:tcW w:w="1256" w:type="dxa"/>
            <w:tcBorders>
              <w:top w:val="nil"/>
              <w:left w:val="nil"/>
              <w:bottom w:val="nil"/>
              <w:right w:val="nil"/>
            </w:tcBorders>
            <w:shd w:val="clear" w:color="000000" w:fill="D9D9D9"/>
            <w:noWrap/>
            <w:vAlign w:val="center"/>
            <w:hideMark/>
          </w:tcPr>
          <w:p w14:paraId="6AB8D7C0" w14:textId="77777777" w:rsidR="0097090C" w:rsidRPr="00B46ABB" w:rsidRDefault="0097090C" w:rsidP="0097090C">
            <w:pPr>
              <w:jc w:val="right"/>
              <w:rPr>
                <w:rFonts w:cs="Arial"/>
                <w:color w:val="000000"/>
              </w:rPr>
            </w:pPr>
            <w:r w:rsidRPr="00B46ABB">
              <w:rPr>
                <w:rFonts w:cs="Arial"/>
                <w:color w:val="000000"/>
              </w:rPr>
              <w:t>(13,510)</w:t>
            </w:r>
          </w:p>
        </w:tc>
      </w:tr>
      <w:tr w:rsidR="0097090C" w:rsidRPr="00B46ABB" w14:paraId="724C366C" w14:textId="77777777" w:rsidTr="0097090C">
        <w:trPr>
          <w:trHeight w:val="270"/>
        </w:trPr>
        <w:tc>
          <w:tcPr>
            <w:tcW w:w="3728" w:type="dxa"/>
            <w:tcBorders>
              <w:top w:val="nil"/>
              <w:left w:val="nil"/>
              <w:bottom w:val="nil"/>
              <w:right w:val="nil"/>
            </w:tcBorders>
            <w:shd w:val="clear" w:color="auto" w:fill="auto"/>
            <w:noWrap/>
            <w:vAlign w:val="center"/>
            <w:hideMark/>
          </w:tcPr>
          <w:p w14:paraId="543907B0" w14:textId="77777777" w:rsidR="0097090C" w:rsidRPr="00B46ABB" w:rsidRDefault="0097090C" w:rsidP="0097090C">
            <w:pPr>
              <w:rPr>
                <w:rFonts w:cs="Arial"/>
                <w:color w:val="000000"/>
              </w:rPr>
            </w:pPr>
            <w:r w:rsidRPr="00B46ABB">
              <w:rPr>
                <w:rFonts w:cs="Arial"/>
                <w:color w:val="000000"/>
              </w:rPr>
              <w:t>Other Comprehensive income for the year</w:t>
            </w:r>
          </w:p>
        </w:tc>
        <w:tc>
          <w:tcPr>
            <w:tcW w:w="768" w:type="dxa"/>
            <w:tcBorders>
              <w:top w:val="nil"/>
              <w:left w:val="nil"/>
              <w:bottom w:val="nil"/>
              <w:right w:val="nil"/>
            </w:tcBorders>
            <w:shd w:val="clear" w:color="auto" w:fill="auto"/>
            <w:noWrap/>
            <w:vAlign w:val="center"/>
            <w:hideMark/>
          </w:tcPr>
          <w:p w14:paraId="2AE8C60D"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center"/>
            <w:hideMark/>
          </w:tcPr>
          <w:p w14:paraId="3F02B5C4"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66040042"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428ADEEF"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6497536F"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1C68B6A6" w14:textId="77777777" w:rsidR="0097090C" w:rsidRPr="00B46ABB" w:rsidRDefault="0097090C" w:rsidP="0097090C">
            <w:pPr>
              <w:jc w:val="right"/>
              <w:rPr>
                <w:rFonts w:cs="Arial"/>
                <w:color w:val="000000"/>
              </w:rPr>
            </w:pPr>
            <w:r w:rsidRPr="00B46ABB">
              <w:rPr>
                <w:rFonts w:cs="Arial"/>
                <w:color w:val="000000"/>
              </w:rPr>
              <w:t>0</w:t>
            </w:r>
          </w:p>
        </w:tc>
        <w:tc>
          <w:tcPr>
            <w:tcW w:w="1256" w:type="dxa"/>
            <w:tcBorders>
              <w:top w:val="nil"/>
              <w:left w:val="nil"/>
              <w:bottom w:val="nil"/>
              <w:right w:val="nil"/>
            </w:tcBorders>
            <w:shd w:val="clear" w:color="000000" w:fill="D9D9D9"/>
            <w:noWrap/>
            <w:vAlign w:val="center"/>
            <w:hideMark/>
          </w:tcPr>
          <w:p w14:paraId="7833B24D" w14:textId="77777777" w:rsidR="0097090C" w:rsidRPr="00B46ABB" w:rsidRDefault="0097090C" w:rsidP="0097090C">
            <w:pPr>
              <w:jc w:val="right"/>
              <w:rPr>
                <w:rFonts w:cs="Arial"/>
                <w:color w:val="000000"/>
              </w:rPr>
            </w:pPr>
            <w:r w:rsidRPr="00B46ABB">
              <w:rPr>
                <w:rFonts w:cs="Arial"/>
                <w:color w:val="000000"/>
              </w:rPr>
              <w:t>0</w:t>
            </w:r>
          </w:p>
        </w:tc>
      </w:tr>
      <w:tr w:rsidR="0097090C" w:rsidRPr="00B46ABB" w14:paraId="0FD08371" w14:textId="77777777" w:rsidTr="0097090C">
        <w:trPr>
          <w:trHeight w:val="270"/>
        </w:trPr>
        <w:tc>
          <w:tcPr>
            <w:tcW w:w="3728" w:type="dxa"/>
            <w:tcBorders>
              <w:top w:val="nil"/>
              <w:left w:val="nil"/>
              <w:bottom w:val="nil"/>
              <w:right w:val="nil"/>
            </w:tcBorders>
            <w:shd w:val="clear" w:color="auto" w:fill="auto"/>
            <w:noWrap/>
            <w:vAlign w:val="center"/>
            <w:hideMark/>
          </w:tcPr>
          <w:p w14:paraId="70D0B036" w14:textId="77777777" w:rsidR="0097090C" w:rsidRPr="00B46ABB" w:rsidRDefault="0097090C" w:rsidP="0097090C">
            <w:pPr>
              <w:rPr>
                <w:rFonts w:cs="Arial"/>
                <w:color w:val="000000"/>
              </w:rPr>
            </w:pPr>
            <w:r w:rsidRPr="00B46ABB">
              <w:rPr>
                <w:rFonts w:cs="Arial"/>
                <w:color w:val="000000"/>
              </w:rPr>
              <w:t>Transfer (to)/from Accumulated Deficit</w:t>
            </w:r>
          </w:p>
        </w:tc>
        <w:tc>
          <w:tcPr>
            <w:tcW w:w="768" w:type="dxa"/>
            <w:tcBorders>
              <w:top w:val="nil"/>
              <w:left w:val="nil"/>
              <w:bottom w:val="nil"/>
              <w:right w:val="nil"/>
            </w:tcBorders>
            <w:shd w:val="clear" w:color="auto" w:fill="auto"/>
            <w:noWrap/>
            <w:vAlign w:val="center"/>
            <w:hideMark/>
          </w:tcPr>
          <w:p w14:paraId="110505E0" w14:textId="77777777" w:rsidR="0097090C" w:rsidRPr="00B46ABB" w:rsidRDefault="0097090C" w:rsidP="0097090C">
            <w:pPr>
              <w:jc w:val="center"/>
              <w:rPr>
                <w:rFonts w:cs="Arial"/>
                <w:color w:val="000000"/>
              </w:rPr>
            </w:pPr>
            <w:r w:rsidRPr="00B46ABB">
              <w:rPr>
                <w:rFonts w:cs="Arial"/>
                <w:color w:val="000000"/>
              </w:rPr>
              <w:t>13(b),(c)</w:t>
            </w:r>
          </w:p>
        </w:tc>
        <w:tc>
          <w:tcPr>
            <w:tcW w:w="1248" w:type="dxa"/>
            <w:tcBorders>
              <w:top w:val="nil"/>
              <w:left w:val="nil"/>
              <w:bottom w:val="nil"/>
              <w:right w:val="nil"/>
            </w:tcBorders>
            <w:shd w:val="clear" w:color="auto" w:fill="auto"/>
            <w:noWrap/>
            <w:vAlign w:val="center"/>
            <w:hideMark/>
          </w:tcPr>
          <w:p w14:paraId="08BF1867" w14:textId="77777777" w:rsidR="0097090C" w:rsidRPr="00B46ABB" w:rsidRDefault="0097090C" w:rsidP="0097090C">
            <w:pPr>
              <w:jc w:val="right"/>
              <w:rPr>
                <w:rFonts w:cs="Arial"/>
                <w:color w:val="000000"/>
              </w:rPr>
            </w:pPr>
            <w:r w:rsidRPr="00B46ABB">
              <w:rPr>
                <w:rFonts w:cs="Arial"/>
                <w:color w:val="000000"/>
              </w:rPr>
              <w:t>2,599</w:t>
            </w:r>
          </w:p>
        </w:tc>
        <w:tc>
          <w:tcPr>
            <w:tcW w:w="1248" w:type="dxa"/>
            <w:tcBorders>
              <w:top w:val="nil"/>
              <w:left w:val="nil"/>
              <w:bottom w:val="nil"/>
              <w:right w:val="nil"/>
            </w:tcBorders>
            <w:shd w:val="clear" w:color="auto" w:fill="auto"/>
            <w:noWrap/>
            <w:vAlign w:val="center"/>
            <w:hideMark/>
          </w:tcPr>
          <w:p w14:paraId="2617D979"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7BFEB751" w14:textId="77777777" w:rsidR="0097090C" w:rsidRPr="00B46ABB" w:rsidRDefault="0097090C" w:rsidP="0097090C">
            <w:pPr>
              <w:jc w:val="right"/>
              <w:rPr>
                <w:rFonts w:cs="Arial"/>
                <w:color w:val="000000"/>
              </w:rPr>
            </w:pPr>
            <w:r w:rsidRPr="00B46ABB">
              <w:rPr>
                <w:rFonts w:cs="Arial"/>
                <w:color w:val="000000"/>
              </w:rPr>
              <w:t>(1,001)</w:t>
            </w:r>
          </w:p>
        </w:tc>
        <w:tc>
          <w:tcPr>
            <w:tcW w:w="1248" w:type="dxa"/>
            <w:tcBorders>
              <w:top w:val="nil"/>
              <w:left w:val="nil"/>
              <w:bottom w:val="nil"/>
              <w:right w:val="nil"/>
            </w:tcBorders>
            <w:shd w:val="clear" w:color="auto" w:fill="auto"/>
            <w:noWrap/>
            <w:vAlign w:val="center"/>
            <w:hideMark/>
          </w:tcPr>
          <w:p w14:paraId="75CB9FC0" w14:textId="77777777" w:rsidR="0097090C" w:rsidRPr="00B46ABB" w:rsidRDefault="0097090C" w:rsidP="0097090C">
            <w:pPr>
              <w:jc w:val="right"/>
              <w:rPr>
                <w:rFonts w:cs="Arial"/>
                <w:color w:val="000000"/>
              </w:rPr>
            </w:pPr>
            <w:r w:rsidRPr="00B46ABB">
              <w:rPr>
                <w:rFonts w:cs="Arial"/>
                <w:color w:val="000000"/>
              </w:rPr>
              <w:t>(1,598)</w:t>
            </w:r>
          </w:p>
        </w:tc>
        <w:tc>
          <w:tcPr>
            <w:tcW w:w="1248" w:type="dxa"/>
            <w:tcBorders>
              <w:top w:val="nil"/>
              <w:left w:val="nil"/>
              <w:bottom w:val="nil"/>
              <w:right w:val="nil"/>
            </w:tcBorders>
            <w:shd w:val="clear" w:color="auto" w:fill="auto"/>
            <w:noWrap/>
            <w:vAlign w:val="center"/>
            <w:hideMark/>
          </w:tcPr>
          <w:p w14:paraId="1FBC765F" w14:textId="77777777" w:rsidR="0097090C" w:rsidRPr="00B46ABB" w:rsidRDefault="0097090C" w:rsidP="0097090C">
            <w:pPr>
              <w:jc w:val="right"/>
              <w:rPr>
                <w:rFonts w:cs="Arial"/>
                <w:color w:val="000000"/>
              </w:rPr>
            </w:pPr>
            <w:r w:rsidRPr="00B46ABB">
              <w:rPr>
                <w:rFonts w:cs="Arial"/>
                <w:color w:val="000000"/>
              </w:rPr>
              <w:t>0</w:t>
            </w:r>
          </w:p>
        </w:tc>
        <w:tc>
          <w:tcPr>
            <w:tcW w:w="1256" w:type="dxa"/>
            <w:tcBorders>
              <w:top w:val="nil"/>
              <w:left w:val="nil"/>
              <w:bottom w:val="nil"/>
              <w:right w:val="nil"/>
            </w:tcBorders>
            <w:shd w:val="clear" w:color="000000" w:fill="D9D9D9"/>
            <w:noWrap/>
            <w:vAlign w:val="center"/>
            <w:hideMark/>
          </w:tcPr>
          <w:p w14:paraId="1C15EA76" w14:textId="77777777" w:rsidR="0097090C" w:rsidRPr="00B46ABB" w:rsidRDefault="0097090C" w:rsidP="0097090C">
            <w:pPr>
              <w:jc w:val="right"/>
              <w:rPr>
                <w:rFonts w:cs="Arial"/>
                <w:color w:val="000000"/>
              </w:rPr>
            </w:pPr>
            <w:r w:rsidRPr="00B46ABB">
              <w:rPr>
                <w:rFonts w:cs="Arial"/>
                <w:color w:val="000000"/>
              </w:rPr>
              <w:t>0</w:t>
            </w:r>
          </w:p>
        </w:tc>
      </w:tr>
      <w:tr w:rsidR="0097090C" w:rsidRPr="00B46ABB" w14:paraId="2438B9BD" w14:textId="77777777" w:rsidTr="0097090C">
        <w:trPr>
          <w:trHeight w:val="270"/>
        </w:trPr>
        <w:tc>
          <w:tcPr>
            <w:tcW w:w="3728" w:type="dxa"/>
            <w:tcBorders>
              <w:top w:val="nil"/>
              <w:left w:val="nil"/>
              <w:bottom w:val="nil"/>
              <w:right w:val="nil"/>
            </w:tcBorders>
            <w:shd w:val="clear" w:color="auto" w:fill="auto"/>
            <w:noWrap/>
            <w:vAlign w:val="center"/>
            <w:hideMark/>
          </w:tcPr>
          <w:p w14:paraId="4D4F3FF8" w14:textId="77777777" w:rsidR="0097090C" w:rsidRPr="00B46ABB" w:rsidRDefault="0097090C" w:rsidP="0097090C">
            <w:pPr>
              <w:rPr>
                <w:rFonts w:cs="Arial"/>
                <w:color w:val="000000"/>
              </w:rPr>
            </w:pPr>
            <w:r w:rsidRPr="00B46ABB">
              <w:rPr>
                <w:rFonts w:cs="Arial"/>
                <w:color w:val="000000"/>
              </w:rPr>
              <w:t xml:space="preserve">Capital </w:t>
            </w:r>
            <w:r>
              <w:rPr>
                <w:rFonts w:cs="Arial"/>
                <w:color w:val="000000"/>
              </w:rPr>
              <w:t>contributions</w:t>
            </w:r>
          </w:p>
        </w:tc>
        <w:tc>
          <w:tcPr>
            <w:tcW w:w="768" w:type="dxa"/>
            <w:tcBorders>
              <w:top w:val="nil"/>
              <w:left w:val="nil"/>
              <w:bottom w:val="nil"/>
              <w:right w:val="nil"/>
            </w:tcBorders>
            <w:shd w:val="clear" w:color="auto" w:fill="auto"/>
            <w:noWrap/>
            <w:vAlign w:val="center"/>
            <w:hideMark/>
          </w:tcPr>
          <w:p w14:paraId="7455F697"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center"/>
            <w:hideMark/>
          </w:tcPr>
          <w:p w14:paraId="20E1F578"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1792C4C1"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7492D084"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3F563ED4"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6AB533FD" w14:textId="77777777" w:rsidR="0097090C" w:rsidRPr="00B46ABB" w:rsidRDefault="0097090C" w:rsidP="0097090C">
            <w:pPr>
              <w:jc w:val="right"/>
              <w:rPr>
                <w:rFonts w:cs="Arial"/>
                <w:color w:val="000000"/>
              </w:rPr>
            </w:pPr>
            <w:r w:rsidRPr="00B46ABB">
              <w:rPr>
                <w:rFonts w:cs="Arial"/>
                <w:color w:val="000000"/>
              </w:rPr>
              <w:t>0</w:t>
            </w:r>
          </w:p>
        </w:tc>
        <w:tc>
          <w:tcPr>
            <w:tcW w:w="1256" w:type="dxa"/>
            <w:tcBorders>
              <w:top w:val="nil"/>
              <w:left w:val="nil"/>
              <w:bottom w:val="nil"/>
              <w:right w:val="nil"/>
            </w:tcBorders>
            <w:shd w:val="clear" w:color="000000" w:fill="D9D9D9"/>
            <w:noWrap/>
            <w:vAlign w:val="center"/>
            <w:hideMark/>
          </w:tcPr>
          <w:p w14:paraId="44985D1B" w14:textId="77777777" w:rsidR="0097090C" w:rsidRPr="00B46ABB" w:rsidRDefault="0097090C" w:rsidP="0097090C">
            <w:pPr>
              <w:jc w:val="right"/>
              <w:rPr>
                <w:rFonts w:cs="Arial"/>
                <w:color w:val="000000"/>
              </w:rPr>
            </w:pPr>
            <w:r w:rsidRPr="00B46ABB">
              <w:rPr>
                <w:rFonts w:cs="Arial"/>
                <w:color w:val="000000"/>
              </w:rPr>
              <w:t>0</w:t>
            </w:r>
          </w:p>
        </w:tc>
      </w:tr>
      <w:tr w:rsidR="0097090C" w:rsidRPr="00B46ABB" w14:paraId="3AD61955" w14:textId="77777777" w:rsidTr="0097090C">
        <w:trPr>
          <w:trHeight w:val="300"/>
        </w:trPr>
        <w:tc>
          <w:tcPr>
            <w:tcW w:w="3728" w:type="dxa"/>
            <w:tcBorders>
              <w:top w:val="single" w:sz="4" w:space="0" w:color="auto"/>
              <w:left w:val="nil"/>
              <w:bottom w:val="single" w:sz="4" w:space="0" w:color="auto"/>
              <w:right w:val="nil"/>
            </w:tcBorders>
            <w:shd w:val="clear" w:color="auto" w:fill="auto"/>
            <w:noWrap/>
            <w:vAlign w:val="center"/>
            <w:hideMark/>
          </w:tcPr>
          <w:p w14:paraId="2F3A54D6" w14:textId="77777777" w:rsidR="0097090C" w:rsidRPr="00B46ABB" w:rsidRDefault="0097090C" w:rsidP="0097090C">
            <w:pPr>
              <w:rPr>
                <w:rFonts w:cs="Arial"/>
                <w:b/>
                <w:bCs/>
                <w:color w:val="000000"/>
              </w:rPr>
            </w:pPr>
            <w:r w:rsidRPr="00B46ABB">
              <w:rPr>
                <w:rFonts w:cs="Arial"/>
                <w:b/>
                <w:bCs/>
                <w:color w:val="000000"/>
              </w:rPr>
              <w:t>Balance at 30 June 2015</w:t>
            </w:r>
          </w:p>
        </w:tc>
        <w:tc>
          <w:tcPr>
            <w:tcW w:w="768" w:type="dxa"/>
            <w:tcBorders>
              <w:top w:val="single" w:sz="4" w:space="0" w:color="auto"/>
              <w:left w:val="nil"/>
              <w:bottom w:val="single" w:sz="4" w:space="0" w:color="auto"/>
              <w:right w:val="nil"/>
            </w:tcBorders>
            <w:shd w:val="clear" w:color="auto" w:fill="auto"/>
            <w:noWrap/>
            <w:vAlign w:val="center"/>
            <w:hideMark/>
          </w:tcPr>
          <w:p w14:paraId="6BD57307" w14:textId="77777777" w:rsidR="0097090C" w:rsidRPr="00B46ABB" w:rsidRDefault="0097090C" w:rsidP="0097090C">
            <w:pPr>
              <w:rPr>
                <w:rFonts w:cs="Arial"/>
                <w:b/>
                <w:bCs/>
                <w:color w:val="000000"/>
              </w:rPr>
            </w:pPr>
            <w:r w:rsidRPr="00B46ABB">
              <w:rPr>
                <w:rFonts w:cs="Arial"/>
                <w:b/>
                <w:bCs/>
                <w:color w:val="000000"/>
              </w:rPr>
              <w:t> </w:t>
            </w:r>
          </w:p>
        </w:tc>
        <w:tc>
          <w:tcPr>
            <w:tcW w:w="1248" w:type="dxa"/>
            <w:tcBorders>
              <w:top w:val="single" w:sz="4" w:space="0" w:color="auto"/>
              <w:left w:val="nil"/>
              <w:bottom w:val="single" w:sz="4" w:space="0" w:color="auto"/>
              <w:right w:val="nil"/>
            </w:tcBorders>
            <w:shd w:val="clear" w:color="auto" w:fill="auto"/>
            <w:noWrap/>
            <w:vAlign w:val="center"/>
            <w:hideMark/>
          </w:tcPr>
          <w:p w14:paraId="76AAB2D9" w14:textId="77777777" w:rsidR="0097090C" w:rsidRPr="00B46ABB" w:rsidRDefault="0097090C" w:rsidP="0097090C">
            <w:pPr>
              <w:jc w:val="right"/>
              <w:rPr>
                <w:rFonts w:cs="Arial"/>
                <w:b/>
                <w:bCs/>
                <w:color w:val="000000"/>
              </w:rPr>
            </w:pPr>
            <w:r w:rsidRPr="00B46ABB">
              <w:rPr>
                <w:rFonts w:cs="Arial"/>
                <w:b/>
                <w:bCs/>
                <w:color w:val="000000"/>
              </w:rPr>
              <w:t>(141,838)</w:t>
            </w:r>
          </w:p>
        </w:tc>
        <w:tc>
          <w:tcPr>
            <w:tcW w:w="1248" w:type="dxa"/>
            <w:tcBorders>
              <w:top w:val="single" w:sz="4" w:space="0" w:color="auto"/>
              <w:left w:val="nil"/>
              <w:bottom w:val="single" w:sz="4" w:space="0" w:color="auto"/>
              <w:right w:val="nil"/>
            </w:tcBorders>
            <w:shd w:val="clear" w:color="auto" w:fill="auto"/>
            <w:noWrap/>
            <w:vAlign w:val="center"/>
            <w:hideMark/>
          </w:tcPr>
          <w:p w14:paraId="0D9C30D6" w14:textId="77777777" w:rsidR="0097090C" w:rsidRPr="00B46ABB" w:rsidRDefault="0097090C" w:rsidP="0097090C">
            <w:pPr>
              <w:jc w:val="right"/>
              <w:rPr>
                <w:rFonts w:cs="Arial"/>
                <w:b/>
                <w:bCs/>
                <w:color w:val="000000"/>
              </w:rPr>
            </w:pPr>
            <w:r w:rsidRPr="00B46ABB">
              <w:rPr>
                <w:rFonts w:cs="Arial"/>
                <w:b/>
                <w:bCs/>
                <w:color w:val="000000"/>
              </w:rPr>
              <w:t>545,888</w:t>
            </w:r>
          </w:p>
        </w:tc>
        <w:tc>
          <w:tcPr>
            <w:tcW w:w="1248" w:type="dxa"/>
            <w:tcBorders>
              <w:top w:val="single" w:sz="4" w:space="0" w:color="auto"/>
              <w:left w:val="nil"/>
              <w:bottom w:val="single" w:sz="4" w:space="0" w:color="auto"/>
              <w:right w:val="nil"/>
            </w:tcBorders>
            <w:shd w:val="clear" w:color="auto" w:fill="auto"/>
            <w:noWrap/>
            <w:vAlign w:val="center"/>
            <w:hideMark/>
          </w:tcPr>
          <w:p w14:paraId="3C0A3AEA" w14:textId="77777777" w:rsidR="0097090C" w:rsidRPr="00B46ABB" w:rsidRDefault="0097090C" w:rsidP="0097090C">
            <w:pPr>
              <w:jc w:val="right"/>
              <w:rPr>
                <w:rFonts w:cs="Arial"/>
                <w:b/>
                <w:bCs/>
                <w:color w:val="000000"/>
              </w:rPr>
            </w:pPr>
            <w:r w:rsidRPr="00B46ABB">
              <w:rPr>
                <w:rFonts w:cs="Arial"/>
                <w:b/>
                <w:bCs/>
                <w:color w:val="000000"/>
              </w:rPr>
              <w:t>7,260</w:t>
            </w:r>
          </w:p>
        </w:tc>
        <w:tc>
          <w:tcPr>
            <w:tcW w:w="1248" w:type="dxa"/>
            <w:tcBorders>
              <w:top w:val="single" w:sz="4" w:space="0" w:color="auto"/>
              <w:left w:val="nil"/>
              <w:bottom w:val="single" w:sz="4" w:space="0" w:color="auto"/>
              <w:right w:val="nil"/>
            </w:tcBorders>
            <w:shd w:val="clear" w:color="auto" w:fill="auto"/>
            <w:noWrap/>
            <w:vAlign w:val="center"/>
            <w:hideMark/>
          </w:tcPr>
          <w:p w14:paraId="6F82ED2F" w14:textId="77777777" w:rsidR="0097090C" w:rsidRPr="00B46ABB" w:rsidRDefault="0097090C" w:rsidP="0097090C">
            <w:pPr>
              <w:jc w:val="right"/>
              <w:rPr>
                <w:rFonts w:cs="Arial"/>
                <w:b/>
                <w:bCs/>
                <w:color w:val="000000"/>
              </w:rPr>
            </w:pPr>
            <w:r w:rsidRPr="00B46ABB">
              <w:rPr>
                <w:rFonts w:cs="Arial"/>
                <w:b/>
                <w:bCs/>
                <w:color w:val="000000"/>
              </w:rPr>
              <w:t>9,156</w:t>
            </w:r>
          </w:p>
        </w:tc>
        <w:tc>
          <w:tcPr>
            <w:tcW w:w="1248" w:type="dxa"/>
            <w:tcBorders>
              <w:top w:val="single" w:sz="4" w:space="0" w:color="auto"/>
              <w:left w:val="nil"/>
              <w:bottom w:val="single" w:sz="4" w:space="0" w:color="auto"/>
              <w:right w:val="nil"/>
            </w:tcBorders>
            <w:shd w:val="clear" w:color="auto" w:fill="auto"/>
            <w:noWrap/>
            <w:vAlign w:val="center"/>
            <w:hideMark/>
          </w:tcPr>
          <w:p w14:paraId="0CD21D89" w14:textId="77777777" w:rsidR="0097090C" w:rsidRPr="00B46ABB" w:rsidRDefault="0097090C" w:rsidP="0097090C">
            <w:pPr>
              <w:jc w:val="right"/>
              <w:rPr>
                <w:rFonts w:cs="Arial"/>
                <w:b/>
                <w:bCs/>
                <w:color w:val="000000"/>
              </w:rPr>
            </w:pPr>
            <w:r w:rsidRPr="00B46ABB">
              <w:rPr>
                <w:rFonts w:cs="Arial"/>
                <w:b/>
                <w:bCs/>
                <w:color w:val="000000"/>
              </w:rPr>
              <w:t>586,139</w:t>
            </w:r>
          </w:p>
        </w:tc>
        <w:tc>
          <w:tcPr>
            <w:tcW w:w="1256" w:type="dxa"/>
            <w:tcBorders>
              <w:top w:val="single" w:sz="4" w:space="0" w:color="auto"/>
              <w:left w:val="nil"/>
              <w:bottom w:val="single" w:sz="4" w:space="0" w:color="auto"/>
              <w:right w:val="nil"/>
            </w:tcBorders>
            <w:shd w:val="clear" w:color="000000" w:fill="D9D9D9"/>
            <w:noWrap/>
            <w:vAlign w:val="center"/>
            <w:hideMark/>
          </w:tcPr>
          <w:p w14:paraId="73C3D52D" w14:textId="77777777" w:rsidR="0097090C" w:rsidRPr="00B46ABB" w:rsidRDefault="0097090C" w:rsidP="0097090C">
            <w:pPr>
              <w:jc w:val="right"/>
              <w:rPr>
                <w:rFonts w:cs="Arial"/>
                <w:b/>
                <w:bCs/>
                <w:color w:val="000000"/>
              </w:rPr>
            </w:pPr>
            <w:r w:rsidRPr="00B46ABB">
              <w:rPr>
                <w:rFonts w:cs="Arial"/>
                <w:b/>
                <w:bCs/>
                <w:color w:val="000000"/>
              </w:rPr>
              <w:t>1,006,605</w:t>
            </w:r>
          </w:p>
        </w:tc>
      </w:tr>
      <w:tr w:rsidR="0097090C" w:rsidRPr="00B46ABB" w14:paraId="54F32910" w14:textId="77777777" w:rsidTr="0097090C">
        <w:trPr>
          <w:trHeight w:val="270"/>
        </w:trPr>
        <w:tc>
          <w:tcPr>
            <w:tcW w:w="3728" w:type="dxa"/>
            <w:tcBorders>
              <w:top w:val="nil"/>
              <w:left w:val="nil"/>
              <w:bottom w:val="nil"/>
              <w:right w:val="nil"/>
            </w:tcBorders>
            <w:shd w:val="clear" w:color="auto" w:fill="auto"/>
            <w:noWrap/>
            <w:vAlign w:val="center"/>
            <w:hideMark/>
          </w:tcPr>
          <w:p w14:paraId="4296A0A1" w14:textId="77777777" w:rsidR="0097090C" w:rsidRPr="00B46ABB" w:rsidRDefault="0097090C" w:rsidP="0097090C">
            <w:pPr>
              <w:rPr>
                <w:rFonts w:cs="Arial"/>
                <w:color w:val="000000"/>
              </w:rPr>
            </w:pPr>
            <w:r w:rsidRPr="00B46ABB">
              <w:rPr>
                <w:rFonts w:cs="Arial"/>
                <w:color w:val="000000"/>
              </w:rPr>
              <w:t>Net result for the year</w:t>
            </w:r>
          </w:p>
        </w:tc>
        <w:tc>
          <w:tcPr>
            <w:tcW w:w="768" w:type="dxa"/>
            <w:tcBorders>
              <w:top w:val="nil"/>
              <w:left w:val="nil"/>
              <w:bottom w:val="nil"/>
              <w:right w:val="nil"/>
            </w:tcBorders>
            <w:shd w:val="clear" w:color="auto" w:fill="auto"/>
            <w:noWrap/>
            <w:vAlign w:val="center"/>
            <w:hideMark/>
          </w:tcPr>
          <w:p w14:paraId="279D16A8"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center"/>
            <w:hideMark/>
          </w:tcPr>
          <w:p w14:paraId="507B0086" w14:textId="77777777" w:rsidR="0097090C" w:rsidRPr="00B46ABB" w:rsidRDefault="0097090C" w:rsidP="0097090C">
            <w:pPr>
              <w:jc w:val="right"/>
              <w:rPr>
                <w:rFonts w:cs="Arial"/>
                <w:color w:val="000000"/>
              </w:rPr>
            </w:pPr>
            <w:r w:rsidRPr="00B46ABB">
              <w:rPr>
                <w:rFonts w:cs="Arial"/>
                <w:color w:val="000000"/>
              </w:rPr>
              <w:t>(11,943)</w:t>
            </w:r>
          </w:p>
        </w:tc>
        <w:tc>
          <w:tcPr>
            <w:tcW w:w="1248" w:type="dxa"/>
            <w:tcBorders>
              <w:top w:val="nil"/>
              <w:left w:val="nil"/>
              <w:bottom w:val="nil"/>
              <w:right w:val="nil"/>
            </w:tcBorders>
            <w:shd w:val="clear" w:color="auto" w:fill="auto"/>
            <w:noWrap/>
            <w:vAlign w:val="center"/>
            <w:hideMark/>
          </w:tcPr>
          <w:p w14:paraId="19CFF830"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5A71054E"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3CE56032"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46A8365B" w14:textId="77777777" w:rsidR="0097090C" w:rsidRPr="00B46ABB" w:rsidRDefault="0097090C" w:rsidP="0097090C">
            <w:pPr>
              <w:jc w:val="right"/>
              <w:rPr>
                <w:rFonts w:cs="Arial"/>
                <w:color w:val="000000"/>
              </w:rPr>
            </w:pPr>
            <w:r w:rsidRPr="00B46ABB">
              <w:rPr>
                <w:rFonts w:cs="Arial"/>
                <w:color w:val="000000"/>
              </w:rPr>
              <w:t>0</w:t>
            </w:r>
          </w:p>
        </w:tc>
        <w:tc>
          <w:tcPr>
            <w:tcW w:w="1256" w:type="dxa"/>
            <w:tcBorders>
              <w:top w:val="nil"/>
              <w:left w:val="nil"/>
              <w:bottom w:val="nil"/>
              <w:right w:val="nil"/>
            </w:tcBorders>
            <w:shd w:val="clear" w:color="000000" w:fill="D9D9D9"/>
            <w:noWrap/>
            <w:vAlign w:val="center"/>
            <w:hideMark/>
          </w:tcPr>
          <w:p w14:paraId="3E3A12E1" w14:textId="77777777" w:rsidR="0097090C" w:rsidRPr="00B46ABB" w:rsidRDefault="0097090C" w:rsidP="0097090C">
            <w:pPr>
              <w:jc w:val="right"/>
              <w:rPr>
                <w:rFonts w:cs="Arial"/>
                <w:color w:val="000000"/>
              </w:rPr>
            </w:pPr>
            <w:r w:rsidRPr="00B46ABB">
              <w:rPr>
                <w:rFonts w:cs="Arial"/>
                <w:color w:val="000000"/>
              </w:rPr>
              <w:t>(11,943)</w:t>
            </w:r>
          </w:p>
        </w:tc>
      </w:tr>
      <w:tr w:rsidR="0097090C" w:rsidRPr="00B46ABB" w14:paraId="0A1A7185" w14:textId="77777777" w:rsidTr="0097090C">
        <w:trPr>
          <w:trHeight w:val="270"/>
        </w:trPr>
        <w:tc>
          <w:tcPr>
            <w:tcW w:w="3728" w:type="dxa"/>
            <w:tcBorders>
              <w:top w:val="nil"/>
              <w:left w:val="nil"/>
              <w:bottom w:val="nil"/>
              <w:right w:val="nil"/>
            </w:tcBorders>
            <w:shd w:val="clear" w:color="auto" w:fill="auto"/>
            <w:noWrap/>
            <w:vAlign w:val="center"/>
            <w:hideMark/>
          </w:tcPr>
          <w:p w14:paraId="0F7B3729" w14:textId="77777777" w:rsidR="0097090C" w:rsidRPr="00B46ABB" w:rsidRDefault="0097090C" w:rsidP="0097090C">
            <w:pPr>
              <w:rPr>
                <w:rFonts w:cs="Arial"/>
                <w:color w:val="000000"/>
              </w:rPr>
            </w:pPr>
            <w:r w:rsidRPr="00B46ABB">
              <w:rPr>
                <w:rFonts w:cs="Arial"/>
                <w:color w:val="000000"/>
              </w:rPr>
              <w:t>Other Comprehensive income for the year</w:t>
            </w:r>
          </w:p>
        </w:tc>
        <w:tc>
          <w:tcPr>
            <w:tcW w:w="768" w:type="dxa"/>
            <w:tcBorders>
              <w:top w:val="nil"/>
              <w:left w:val="nil"/>
              <w:bottom w:val="nil"/>
              <w:right w:val="nil"/>
            </w:tcBorders>
            <w:shd w:val="clear" w:color="auto" w:fill="auto"/>
            <w:noWrap/>
            <w:vAlign w:val="center"/>
            <w:hideMark/>
          </w:tcPr>
          <w:p w14:paraId="04FFEC66" w14:textId="77777777" w:rsidR="0097090C" w:rsidRPr="00B46ABB" w:rsidRDefault="0097090C" w:rsidP="0097090C">
            <w:pPr>
              <w:rPr>
                <w:rFonts w:ascii="Calibri" w:hAnsi="Calibri"/>
                <w:color w:val="000000"/>
                <w:szCs w:val="22"/>
              </w:rPr>
            </w:pPr>
          </w:p>
        </w:tc>
        <w:tc>
          <w:tcPr>
            <w:tcW w:w="1248" w:type="dxa"/>
            <w:tcBorders>
              <w:top w:val="nil"/>
              <w:left w:val="nil"/>
              <w:bottom w:val="nil"/>
              <w:right w:val="nil"/>
            </w:tcBorders>
            <w:shd w:val="clear" w:color="auto" w:fill="auto"/>
            <w:noWrap/>
            <w:vAlign w:val="center"/>
            <w:hideMark/>
          </w:tcPr>
          <w:p w14:paraId="691CC9FD"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107DCCF3" w14:textId="77777777" w:rsidR="0097090C" w:rsidRPr="00B46ABB" w:rsidRDefault="0097090C" w:rsidP="0097090C">
            <w:pPr>
              <w:jc w:val="right"/>
              <w:rPr>
                <w:rFonts w:cs="Arial"/>
                <w:color w:val="000000"/>
              </w:rPr>
            </w:pPr>
            <w:r>
              <w:rPr>
                <w:rFonts w:cs="Arial"/>
                <w:color w:val="000000"/>
              </w:rPr>
              <w:t>644,064</w:t>
            </w:r>
          </w:p>
        </w:tc>
        <w:tc>
          <w:tcPr>
            <w:tcW w:w="1248" w:type="dxa"/>
            <w:tcBorders>
              <w:top w:val="nil"/>
              <w:left w:val="nil"/>
              <w:bottom w:val="nil"/>
              <w:right w:val="nil"/>
            </w:tcBorders>
            <w:shd w:val="clear" w:color="auto" w:fill="auto"/>
            <w:noWrap/>
            <w:vAlign w:val="center"/>
            <w:hideMark/>
          </w:tcPr>
          <w:p w14:paraId="452C382E"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4C741580"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1C69B2B5" w14:textId="77777777" w:rsidR="0097090C" w:rsidRPr="00B46ABB" w:rsidRDefault="0097090C" w:rsidP="0097090C">
            <w:pPr>
              <w:jc w:val="right"/>
              <w:rPr>
                <w:rFonts w:cs="Arial"/>
                <w:color w:val="000000"/>
              </w:rPr>
            </w:pPr>
            <w:r w:rsidRPr="00B46ABB">
              <w:rPr>
                <w:rFonts w:cs="Arial"/>
                <w:color w:val="000000"/>
              </w:rPr>
              <w:t>0</w:t>
            </w:r>
          </w:p>
        </w:tc>
        <w:tc>
          <w:tcPr>
            <w:tcW w:w="1256" w:type="dxa"/>
            <w:tcBorders>
              <w:top w:val="nil"/>
              <w:left w:val="nil"/>
              <w:bottom w:val="nil"/>
              <w:right w:val="nil"/>
            </w:tcBorders>
            <w:shd w:val="clear" w:color="000000" w:fill="D9D9D9"/>
            <w:noWrap/>
            <w:vAlign w:val="center"/>
            <w:hideMark/>
          </w:tcPr>
          <w:p w14:paraId="1DF9901D" w14:textId="77777777" w:rsidR="0097090C" w:rsidRPr="00B46ABB" w:rsidRDefault="0097090C" w:rsidP="0097090C">
            <w:pPr>
              <w:jc w:val="right"/>
              <w:rPr>
                <w:rFonts w:cs="Arial"/>
                <w:color w:val="000000"/>
              </w:rPr>
            </w:pPr>
            <w:r>
              <w:rPr>
                <w:rFonts w:cs="Arial"/>
                <w:color w:val="000000"/>
              </w:rPr>
              <w:t>644,064</w:t>
            </w:r>
          </w:p>
        </w:tc>
      </w:tr>
      <w:tr w:rsidR="0097090C" w:rsidRPr="00B46ABB" w14:paraId="186A46BC" w14:textId="77777777" w:rsidTr="0097090C">
        <w:trPr>
          <w:trHeight w:val="270"/>
        </w:trPr>
        <w:tc>
          <w:tcPr>
            <w:tcW w:w="3728" w:type="dxa"/>
            <w:tcBorders>
              <w:top w:val="nil"/>
              <w:left w:val="nil"/>
              <w:bottom w:val="nil"/>
              <w:right w:val="nil"/>
            </w:tcBorders>
            <w:shd w:val="clear" w:color="auto" w:fill="auto"/>
            <w:noWrap/>
            <w:vAlign w:val="center"/>
            <w:hideMark/>
          </w:tcPr>
          <w:p w14:paraId="3381ABA5" w14:textId="77777777" w:rsidR="0097090C" w:rsidRPr="00B46ABB" w:rsidRDefault="0097090C" w:rsidP="0097090C">
            <w:pPr>
              <w:rPr>
                <w:rFonts w:cs="Arial"/>
                <w:color w:val="000000"/>
              </w:rPr>
            </w:pPr>
            <w:r w:rsidRPr="00B46ABB">
              <w:rPr>
                <w:rFonts w:cs="Arial"/>
                <w:color w:val="000000"/>
              </w:rPr>
              <w:t>Transfer (to)/from Accumulated Deficit</w:t>
            </w:r>
          </w:p>
        </w:tc>
        <w:tc>
          <w:tcPr>
            <w:tcW w:w="768" w:type="dxa"/>
            <w:tcBorders>
              <w:top w:val="nil"/>
              <w:left w:val="nil"/>
              <w:bottom w:val="nil"/>
              <w:right w:val="nil"/>
            </w:tcBorders>
            <w:shd w:val="clear" w:color="auto" w:fill="auto"/>
            <w:noWrap/>
            <w:vAlign w:val="center"/>
            <w:hideMark/>
          </w:tcPr>
          <w:p w14:paraId="10A2B8DA" w14:textId="77777777" w:rsidR="0097090C" w:rsidRPr="00B46ABB" w:rsidRDefault="0097090C" w:rsidP="0097090C">
            <w:pPr>
              <w:jc w:val="center"/>
              <w:rPr>
                <w:rFonts w:cs="Arial"/>
                <w:color w:val="000000"/>
              </w:rPr>
            </w:pPr>
            <w:r w:rsidRPr="00B46ABB">
              <w:rPr>
                <w:rFonts w:cs="Arial"/>
                <w:color w:val="000000"/>
              </w:rPr>
              <w:t>13(b),(c)</w:t>
            </w:r>
          </w:p>
        </w:tc>
        <w:tc>
          <w:tcPr>
            <w:tcW w:w="1248" w:type="dxa"/>
            <w:tcBorders>
              <w:top w:val="nil"/>
              <w:left w:val="nil"/>
              <w:bottom w:val="nil"/>
              <w:right w:val="nil"/>
            </w:tcBorders>
            <w:shd w:val="clear" w:color="auto" w:fill="auto"/>
            <w:noWrap/>
            <w:vAlign w:val="center"/>
            <w:hideMark/>
          </w:tcPr>
          <w:p w14:paraId="4D9A49DA" w14:textId="77777777" w:rsidR="0097090C" w:rsidRPr="00B46ABB" w:rsidRDefault="0097090C" w:rsidP="0097090C">
            <w:pPr>
              <w:jc w:val="right"/>
              <w:rPr>
                <w:rFonts w:cs="Arial"/>
                <w:color w:val="000000"/>
              </w:rPr>
            </w:pPr>
            <w:r w:rsidRPr="00B46ABB">
              <w:rPr>
                <w:rFonts w:cs="Arial"/>
                <w:color w:val="000000"/>
              </w:rPr>
              <w:t>3,153</w:t>
            </w:r>
          </w:p>
        </w:tc>
        <w:tc>
          <w:tcPr>
            <w:tcW w:w="1248" w:type="dxa"/>
            <w:tcBorders>
              <w:top w:val="nil"/>
              <w:left w:val="nil"/>
              <w:bottom w:val="nil"/>
              <w:right w:val="nil"/>
            </w:tcBorders>
            <w:shd w:val="clear" w:color="auto" w:fill="auto"/>
            <w:noWrap/>
            <w:vAlign w:val="center"/>
            <w:hideMark/>
          </w:tcPr>
          <w:p w14:paraId="3310150D"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0B0459EF" w14:textId="77777777" w:rsidR="0097090C" w:rsidRPr="00B46ABB" w:rsidRDefault="0097090C" w:rsidP="0097090C">
            <w:pPr>
              <w:jc w:val="right"/>
              <w:rPr>
                <w:rFonts w:cs="Arial"/>
                <w:color w:val="000000"/>
              </w:rPr>
            </w:pPr>
            <w:r w:rsidRPr="00B46ABB">
              <w:rPr>
                <w:rFonts w:cs="Arial"/>
                <w:color w:val="000000"/>
              </w:rPr>
              <w:t>85</w:t>
            </w:r>
          </w:p>
        </w:tc>
        <w:tc>
          <w:tcPr>
            <w:tcW w:w="1248" w:type="dxa"/>
            <w:tcBorders>
              <w:top w:val="nil"/>
              <w:left w:val="nil"/>
              <w:bottom w:val="nil"/>
              <w:right w:val="nil"/>
            </w:tcBorders>
            <w:shd w:val="clear" w:color="auto" w:fill="auto"/>
            <w:noWrap/>
            <w:vAlign w:val="center"/>
            <w:hideMark/>
          </w:tcPr>
          <w:p w14:paraId="40FAE0DE" w14:textId="77777777" w:rsidR="0097090C" w:rsidRPr="00B46ABB" w:rsidRDefault="0097090C" w:rsidP="0097090C">
            <w:pPr>
              <w:jc w:val="right"/>
              <w:rPr>
                <w:rFonts w:cs="Arial"/>
                <w:color w:val="000000"/>
              </w:rPr>
            </w:pPr>
            <w:r w:rsidRPr="00B46ABB">
              <w:rPr>
                <w:rFonts w:cs="Arial"/>
                <w:color w:val="000000"/>
              </w:rPr>
              <w:t>(3,238)</w:t>
            </w:r>
          </w:p>
        </w:tc>
        <w:tc>
          <w:tcPr>
            <w:tcW w:w="1248" w:type="dxa"/>
            <w:tcBorders>
              <w:top w:val="nil"/>
              <w:left w:val="nil"/>
              <w:bottom w:val="nil"/>
              <w:right w:val="nil"/>
            </w:tcBorders>
            <w:shd w:val="clear" w:color="auto" w:fill="auto"/>
            <w:noWrap/>
            <w:vAlign w:val="center"/>
            <w:hideMark/>
          </w:tcPr>
          <w:p w14:paraId="73918394" w14:textId="77777777" w:rsidR="0097090C" w:rsidRPr="00B46ABB" w:rsidRDefault="0097090C" w:rsidP="0097090C">
            <w:pPr>
              <w:jc w:val="right"/>
              <w:rPr>
                <w:rFonts w:cs="Arial"/>
                <w:color w:val="000000"/>
              </w:rPr>
            </w:pPr>
            <w:r w:rsidRPr="00B46ABB">
              <w:rPr>
                <w:rFonts w:cs="Arial"/>
                <w:color w:val="000000"/>
              </w:rPr>
              <w:t>0</w:t>
            </w:r>
          </w:p>
        </w:tc>
        <w:tc>
          <w:tcPr>
            <w:tcW w:w="1256" w:type="dxa"/>
            <w:tcBorders>
              <w:top w:val="nil"/>
              <w:left w:val="nil"/>
              <w:bottom w:val="nil"/>
              <w:right w:val="nil"/>
            </w:tcBorders>
            <w:shd w:val="clear" w:color="000000" w:fill="D9D9D9"/>
            <w:noWrap/>
            <w:vAlign w:val="center"/>
            <w:hideMark/>
          </w:tcPr>
          <w:p w14:paraId="3071CA4A" w14:textId="77777777" w:rsidR="0097090C" w:rsidRPr="00B46ABB" w:rsidRDefault="0097090C" w:rsidP="0097090C">
            <w:pPr>
              <w:jc w:val="right"/>
              <w:rPr>
                <w:rFonts w:cs="Arial"/>
                <w:color w:val="000000"/>
              </w:rPr>
            </w:pPr>
            <w:r w:rsidRPr="00B46ABB">
              <w:rPr>
                <w:rFonts w:cs="Arial"/>
                <w:color w:val="000000"/>
              </w:rPr>
              <w:t>0</w:t>
            </w:r>
          </w:p>
        </w:tc>
      </w:tr>
      <w:tr w:rsidR="0097090C" w:rsidRPr="00B46ABB" w14:paraId="09C02ED6" w14:textId="77777777" w:rsidTr="0097090C">
        <w:trPr>
          <w:trHeight w:val="270"/>
        </w:trPr>
        <w:tc>
          <w:tcPr>
            <w:tcW w:w="3728" w:type="dxa"/>
            <w:tcBorders>
              <w:top w:val="nil"/>
              <w:left w:val="nil"/>
              <w:bottom w:val="nil"/>
              <w:right w:val="nil"/>
            </w:tcBorders>
            <w:shd w:val="clear" w:color="auto" w:fill="auto"/>
            <w:noWrap/>
            <w:vAlign w:val="center"/>
            <w:hideMark/>
          </w:tcPr>
          <w:p w14:paraId="40286992" w14:textId="77777777" w:rsidR="0097090C" w:rsidRPr="00B46ABB" w:rsidRDefault="0097090C" w:rsidP="0097090C">
            <w:pPr>
              <w:rPr>
                <w:rFonts w:cs="Arial"/>
                <w:color w:val="000000"/>
              </w:rPr>
            </w:pPr>
            <w:r w:rsidRPr="00B46ABB">
              <w:rPr>
                <w:rFonts w:cs="Arial"/>
                <w:color w:val="000000"/>
              </w:rPr>
              <w:t xml:space="preserve">Capital </w:t>
            </w:r>
            <w:r>
              <w:rPr>
                <w:rFonts w:cs="Arial"/>
                <w:color w:val="000000"/>
              </w:rPr>
              <w:t>contributions</w:t>
            </w:r>
          </w:p>
        </w:tc>
        <w:tc>
          <w:tcPr>
            <w:tcW w:w="768" w:type="dxa"/>
            <w:tcBorders>
              <w:top w:val="nil"/>
              <w:left w:val="nil"/>
              <w:bottom w:val="nil"/>
              <w:right w:val="nil"/>
            </w:tcBorders>
            <w:shd w:val="clear" w:color="auto" w:fill="auto"/>
            <w:noWrap/>
            <w:vAlign w:val="center"/>
            <w:hideMark/>
          </w:tcPr>
          <w:p w14:paraId="6966E69F" w14:textId="77777777" w:rsidR="0097090C" w:rsidRPr="00B46ABB" w:rsidRDefault="0097090C" w:rsidP="0097090C">
            <w:pPr>
              <w:jc w:val="center"/>
              <w:rPr>
                <w:rFonts w:cs="Arial"/>
                <w:color w:val="000000"/>
              </w:rPr>
            </w:pPr>
            <w:r w:rsidRPr="00B46ABB">
              <w:rPr>
                <w:rFonts w:cs="Arial"/>
                <w:color w:val="000000"/>
              </w:rPr>
              <w:t>13(a)</w:t>
            </w:r>
          </w:p>
        </w:tc>
        <w:tc>
          <w:tcPr>
            <w:tcW w:w="1248" w:type="dxa"/>
            <w:tcBorders>
              <w:top w:val="nil"/>
              <w:left w:val="nil"/>
              <w:bottom w:val="nil"/>
              <w:right w:val="nil"/>
            </w:tcBorders>
            <w:shd w:val="clear" w:color="auto" w:fill="auto"/>
            <w:noWrap/>
            <w:vAlign w:val="center"/>
            <w:hideMark/>
          </w:tcPr>
          <w:p w14:paraId="2BAA40C6"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3D83ABB2"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7F5E953D"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6A905399" w14:textId="77777777" w:rsidR="0097090C" w:rsidRPr="00B46ABB" w:rsidRDefault="0097090C" w:rsidP="0097090C">
            <w:pPr>
              <w:jc w:val="right"/>
              <w:rPr>
                <w:rFonts w:cs="Arial"/>
                <w:color w:val="000000"/>
              </w:rPr>
            </w:pPr>
            <w:r w:rsidRPr="00B46ABB">
              <w:rPr>
                <w:rFonts w:cs="Arial"/>
                <w:color w:val="000000"/>
              </w:rPr>
              <w:t>0</w:t>
            </w:r>
          </w:p>
        </w:tc>
        <w:tc>
          <w:tcPr>
            <w:tcW w:w="1248" w:type="dxa"/>
            <w:tcBorders>
              <w:top w:val="nil"/>
              <w:left w:val="nil"/>
              <w:bottom w:val="nil"/>
              <w:right w:val="nil"/>
            </w:tcBorders>
            <w:shd w:val="clear" w:color="auto" w:fill="auto"/>
            <w:noWrap/>
            <w:vAlign w:val="center"/>
            <w:hideMark/>
          </w:tcPr>
          <w:p w14:paraId="3DE3F9F6" w14:textId="77777777" w:rsidR="0097090C" w:rsidRPr="00B46ABB" w:rsidRDefault="0097090C" w:rsidP="0097090C">
            <w:pPr>
              <w:jc w:val="right"/>
              <w:rPr>
                <w:rFonts w:cs="Arial"/>
                <w:color w:val="000000"/>
              </w:rPr>
            </w:pPr>
            <w:r w:rsidRPr="00B46ABB">
              <w:rPr>
                <w:rFonts w:cs="Arial"/>
                <w:color w:val="000000"/>
              </w:rPr>
              <w:t>4,000</w:t>
            </w:r>
          </w:p>
        </w:tc>
        <w:tc>
          <w:tcPr>
            <w:tcW w:w="1256" w:type="dxa"/>
            <w:tcBorders>
              <w:top w:val="nil"/>
              <w:left w:val="nil"/>
              <w:bottom w:val="nil"/>
              <w:right w:val="nil"/>
            </w:tcBorders>
            <w:shd w:val="clear" w:color="000000" w:fill="D9D9D9"/>
            <w:noWrap/>
            <w:vAlign w:val="center"/>
            <w:hideMark/>
          </w:tcPr>
          <w:p w14:paraId="6DF922FD" w14:textId="77777777" w:rsidR="0097090C" w:rsidRPr="00B46ABB" w:rsidRDefault="0097090C" w:rsidP="0097090C">
            <w:pPr>
              <w:jc w:val="right"/>
              <w:rPr>
                <w:rFonts w:cs="Arial"/>
                <w:color w:val="000000"/>
              </w:rPr>
            </w:pPr>
            <w:r w:rsidRPr="00B46ABB">
              <w:rPr>
                <w:rFonts w:cs="Arial"/>
                <w:color w:val="000000"/>
              </w:rPr>
              <w:t>4,000</w:t>
            </w:r>
          </w:p>
        </w:tc>
      </w:tr>
      <w:tr w:rsidR="0097090C" w:rsidRPr="00B46ABB" w14:paraId="22F81B03" w14:textId="77777777" w:rsidTr="0097090C">
        <w:trPr>
          <w:trHeight w:val="300"/>
        </w:trPr>
        <w:tc>
          <w:tcPr>
            <w:tcW w:w="3728" w:type="dxa"/>
            <w:tcBorders>
              <w:top w:val="single" w:sz="4" w:space="0" w:color="auto"/>
              <w:left w:val="nil"/>
              <w:bottom w:val="single" w:sz="4" w:space="0" w:color="auto"/>
              <w:right w:val="nil"/>
            </w:tcBorders>
            <w:shd w:val="clear" w:color="auto" w:fill="auto"/>
            <w:noWrap/>
            <w:vAlign w:val="center"/>
            <w:hideMark/>
          </w:tcPr>
          <w:p w14:paraId="2CD18303" w14:textId="77777777" w:rsidR="0097090C" w:rsidRPr="00B46ABB" w:rsidRDefault="0097090C" w:rsidP="0097090C">
            <w:pPr>
              <w:rPr>
                <w:rFonts w:cs="Arial"/>
                <w:b/>
                <w:bCs/>
                <w:color w:val="000000"/>
              </w:rPr>
            </w:pPr>
            <w:r w:rsidRPr="00B46ABB">
              <w:rPr>
                <w:rFonts w:cs="Arial"/>
                <w:b/>
                <w:bCs/>
                <w:color w:val="000000"/>
              </w:rPr>
              <w:t>Balance at 30 June 2016</w:t>
            </w:r>
          </w:p>
        </w:tc>
        <w:tc>
          <w:tcPr>
            <w:tcW w:w="768" w:type="dxa"/>
            <w:tcBorders>
              <w:top w:val="single" w:sz="4" w:space="0" w:color="auto"/>
              <w:left w:val="nil"/>
              <w:bottom w:val="single" w:sz="4" w:space="0" w:color="auto"/>
              <w:right w:val="nil"/>
            </w:tcBorders>
            <w:shd w:val="clear" w:color="auto" w:fill="auto"/>
            <w:noWrap/>
            <w:vAlign w:val="center"/>
            <w:hideMark/>
          </w:tcPr>
          <w:p w14:paraId="7C9BD790" w14:textId="77777777" w:rsidR="0097090C" w:rsidRPr="00B46ABB" w:rsidRDefault="0097090C" w:rsidP="0097090C">
            <w:pPr>
              <w:rPr>
                <w:rFonts w:cs="Arial"/>
                <w:b/>
                <w:bCs/>
                <w:color w:val="000000"/>
              </w:rPr>
            </w:pPr>
            <w:r w:rsidRPr="00B46ABB">
              <w:rPr>
                <w:rFonts w:cs="Arial"/>
                <w:b/>
                <w:bCs/>
                <w:color w:val="000000"/>
              </w:rPr>
              <w:t> </w:t>
            </w:r>
          </w:p>
        </w:tc>
        <w:tc>
          <w:tcPr>
            <w:tcW w:w="1248" w:type="dxa"/>
            <w:tcBorders>
              <w:top w:val="single" w:sz="4" w:space="0" w:color="auto"/>
              <w:left w:val="nil"/>
              <w:bottom w:val="single" w:sz="4" w:space="0" w:color="auto"/>
              <w:right w:val="nil"/>
            </w:tcBorders>
            <w:shd w:val="clear" w:color="auto" w:fill="auto"/>
            <w:noWrap/>
            <w:vAlign w:val="center"/>
            <w:hideMark/>
          </w:tcPr>
          <w:p w14:paraId="01A9A87A" w14:textId="77777777" w:rsidR="0097090C" w:rsidRPr="00B46ABB" w:rsidRDefault="0097090C" w:rsidP="0097090C">
            <w:pPr>
              <w:jc w:val="right"/>
              <w:rPr>
                <w:rFonts w:cs="Arial"/>
                <w:b/>
                <w:bCs/>
                <w:color w:val="000000"/>
              </w:rPr>
            </w:pPr>
            <w:r w:rsidRPr="00B46ABB">
              <w:rPr>
                <w:rFonts w:cs="Arial"/>
                <w:b/>
                <w:bCs/>
                <w:color w:val="000000"/>
              </w:rPr>
              <w:t>(150,628)</w:t>
            </w:r>
          </w:p>
        </w:tc>
        <w:tc>
          <w:tcPr>
            <w:tcW w:w="1248" w:type="dxa"/>
            <w:tcBorders>
              <w:top w:val="single" w:sz="4" w:space="0" w:color="auto"/>
              <w:left w:val="nil"/>
              <w:bottom w:val="single" w:sz="4" w:space="0" w:color="auto"/>
              <w:right w:val="nil"/>
            </w:tcBorders>
            <w:shd w:val="clear" w:color="auto" w:fill="auto"/>
            <w:noWrap/>
            <w:vAlign w:val="center"/>
            <w:hideMark/>
          </w:tcPr>
          <w:p w14:paraId="64B0F8DB" w14:textId="77777777" w:rsidR="0097090C" w:rsidRPr="00B46ABB" w:rsidRDefault="0097090C" w:rsidP="0097090C">
            <w:pPr>
              <w:jc w:val="right"/>
              <w:rPr>
                <w:rFonts w:cs="Arial"/>
                <w:b/>
                <w:bCs/>
                <w:color w:val="000000"/>
              </w:rPr>
            </w:pPr>
            <w:r>
              <w:rPr>
                <w:rFonts w:cs="Arial"/>
                <w:b/>
                <w:bCs/>
                <w:color w:val="000000"/>
              </w:rPr>
              <w:t>1,189,952</w:t>
            </w:r>
          </w:p>
        </w:tc>
        <w:tc>
          <w:tcPr>
            <w:tcW w:w="1248" w:type="dxa"/>
            <w:tcBorders>
              <w:top w:val="single" w:sz="4" w:space="0" w:color="auto"/>
              <w:left w:val="nil"/>
              <w:bottom w:val="single" w:sz="4" w:space="0" w:color="auto"/>
              <w:right w:val="nil"/>
            </w:tcBorders>
            <w:shd w:val="clear" w:color="auto" w:fill="auto"/>
            <w:noWrap/>
            <w:vAlign w:val="center"/>
            <w:hideMark/>
          </w:tcPr>
          <w:p w14:paraId="7447CDA9" w14:textId="77777777" w:rsidR="0097090C" w:rsidRPr="00B46ABB" w:rsidRDefault="0097090C" w:rsidP="0097090C">
            <w:pPr>
              <w:jc w:val="right"/>
              <w:rPr>
                <w:rFonts w:cs="Arial"/>
                <w:b/>
                <w:bCs/>
                <w:color w:val="000000"/>
              </w:rPr>
            </w:pPr>
            <w:r w:rsidRPr="00B46ABB">
              <w:rPr>
                <w:rFonts w:cs="Arial"/>
                <w:b/>
                <w:bCs/>
                <w:color w:val="000000"/>
              </w:rPr>
              <w:t>7,345</w:t>
            </w:r>
          </w:p>
        </w:tc>
        <w:tc>
          <w:tcPr>
            <w:tcW w:w="1248" w:type="dxa"/>
            <w:tcBorders>
              <w:top w:val="single" w:sz="4" w:space="0" w:color="auto"/>
              <w:left w:val="nil"/>
              <w:bottom w:val="single" w:sz="4" w:space="0" w:color="auto"/>
              <w:right w:val="nil"/>
            </w:tcBorders>
            <w:shd w:val="clear" w:color="auto" w:fill="auto"/>
            <w:noWrap/>
            <w:vAlign w:val="center"/>
            <w:hideMark/>
          </w:tcPr>
          <w:p w14:paraId="01A9CB7A" w14:textId="77777777" w:rsidR="0097090C" w:rsidRPr="00B46ABB" w:rsidRDefault="0097090C" w:rsidP="0097090C">
            <w:pPr>
              <w:jc w:val="right"/>
              <w:rPr>
                <w:rFonts w:cs="Arial"/>
                <w:b/>
                <w:bCs/>
                <w:color w:val="000000"/>
              </w:rPr>
            </w:pPr>
            <w:r w:rsidRPr="00B46ABB">
              <w:rPr>
                <w:rFonts w:cs="Arial"/>
                <w:b/>
                <w:bCs/>
                <w:color w:val="000000"/>
              </w:rPr>
              <w:t>5,918</w:t>
            </w:r>
          </w:p>
        </w:tc>
        <w:tc>
          <w:tcPr>
            <w:tcW w:w="1248" w:type="dxa"/>
            <w:tcBorders>
              <w:top w:val="single" w:sz="4" w:space="0" w:color="auto"/>
              <w:left w:val="nil"/>
              <w:bottom w:val="single" w:sz="4" w:space="0" w:color="auto"/>
              <w:right w:val="nil"/>
            </w:tcBorders>
            <w:shd w:val="clear" w:color="auto" w:fill="auto"/>
            <w:noWrap/>
            <w:vAlign w:val="center"/>
            <w:hideMark/>
          </w:tcPr>
          <w:p w14:paraId="69EFBD31" w14:textId="77777777" w:rsidR="0097090C" w:rsidRPr="00B46ABB" w:rsidRDefault="0097090C" w:rsidP="0097090C">
            <w:pPr>
              <w:jc w:val="right"/>
              <w:rPr>
                <w:rFonts w:cs="Arial"/>
                <w:b/>
                <w:bCs/>
                <w:color w:val="000000"/>
              </w:rPr>
            </w:pPr>
            <w:r w:rsidRPr="00B46ABB">
              <w:rPr>
                <w:rFonts w:cs="Arial"/>
                <w:b/>
                <w:bCs/>
                <w:color w:val="000000"/>
              </w:rPr>
              <w:t>590,139</w:t>
            </w:r>
          </w:p>
        </w:tc>
        <w:tc>
          <w:tcPr>
            <w:tcW w:w="1256" w:type="dxa"/>
            <w:tcBorders>
              <w:top w:val="single" w:sz="4" w:space="0" w:color="auto"/>
              <w:left w:val="nil"/>
              <w:bottom w:val="single" w:sz="4" w:space="0" w:color="auto"/>
              <w:right w:val="nil"/>
            </w:tcBorders>
            <w:shd w:val="clear" w:color="000000" w:fill="D9D9D9"/>
            <w:noWrap/>
            <w:vAlign w:val="center"/>
            <w:hideMark/>
          </w:tcPr>
          <w:p w14:paraId="2D39F1A5" w14:textId="77777777" w:rsidR="0097090C" w:rsidRPr="00B46ABB" w:rsidRDefault="0097090C" w:rsidP="0097090C">
            <w:pPr>
              <w:jc w:val="right"/>
              <w:rPr>
                <w:rFonts w:cs="Arial"/>
                <w:b/>
                <w:bCs/>
                <w:color w:val="000000"/>
              </w:rPr>
            </w:pPr>
            <w:r>
              <w:rPr>
                <w:rFonts w:cs="Arial"/>
                <w:b/>
                <w:bCs/>
                <w:color w:val="000000"/>
              </w:rPr>
              <w:t>1,642,726</w:t>
            </w:r>
          </w:p>
        </w:tc>
      </w:tr>
    </w:tbl>
    <w:p w14:paraId="2331144A" w14:textId="77777777" w:rsidR="0097090C" w:rsidRDefault="0097090C" w:rsidP="0097090C">
      <w:pPr>
        <w:rPr>
          <w:rFonts w:cs="Arial"/>
        </w:rPr>
      </w:pPr>
    </w:p>
    <w:p w14:paraId="2CE41853" w14:textId="77777777" w:rsidR="0097090C" w:rsidRDefault="0097090C" w:rsidP="0097090C">
      <w:pPr>
        <w:spacing w:after="60"/>
        <w:rPr>
          <w:rFonts w:cs="Arial"/>
        </w:rPr>
      </w:pPr>
      <w:r>
        <w:rPr>
          <w:rFonts w:cs="Arial"/>
          <w:b/>
          <w:bCs/>
          <w:lang w:val="en-GB"/>
        </w:rPr>
        <w:t xml:space="preserve">The above </w:t>
      </w:r>
      <w:r w:rsidRPr="001D641D">
        <w:rPr>
          <w:rFonts w:cs="Arial"/>
          <w:b/>
          <w:bCs/>
          <w:lang w:val="en-GB"/>
        </w:rPr>
        <w:t>Statement of Changes in Equity should be read in conjunction with the accompanying notes.</w:t>
      </w:r>
    </w:p>
    <w:p w14:paraId="4585FFE5" w14:textId="77777777" w:rsidR="0097090C" w:rsidRDefault="0097090C" w:rsidP="0097090C">
      <w:pPr>
        <w:rPr>
          <w:rFonts w:cs="Arial"/>
        </w:rPr>
      </w:pPr>
    </w:p>
    <w:p w14:paraId="40B6C291" w14:textId="77777777" w:rsidR="0097090C" w:rsidRDefault="0097090C" w:rsidP="0097090C">
      <w:pPr>
        <w:rPr>
          <w:rFonts w:cs="Arial"/>
        </w:rPr>
        <w:sectPr w:rsidR="0097090C" w:rsidSect="0097090C">
          <w:headerReference w:type="default" r:id="rId15"/>
          <w:pgSz w:w="16838" w:h="11906" w:orient="landscape"/>
          <w:pgMar w:top="1440" w:right="1440" w:bottom="1440" w:left="1440" w:header="709" w:footer="709" w:gutter="0"/>
          <w:cols w:space="708"/>
          <w:docGrid w:linePitch="360"/>
        </w:sectPr>
      </w:pPr>
    </w:p>
    <w:p w14:paraId="3E530E5E" w14:textId="77777777" w:rsidR="0097090C" w:rsidRPr="00254CC1" w:rsidRDefault="0097090C" w:rsidP="0097090C">
      <w:pPr>
        <w:pStyle w:val="Heading3"/>
      </w:pPr>
      <w:r w:rsidRPr="00254CC1">
        <w:lastRenderedPageBreak/>
        <w:t>Cash flow statement for the f</w:t>
      </w:r>
      <w:r>
        <w:t>inancial year ended 30 June 2016</w:t>
      </w:r>
    </w:p>
    <w:tbl>
      <w:tblPr>
        <w:tblW w:w="9479" w:type="dxa"/>
        <w:tblInd w:w="108" w:type="dxa"/>
        <w:tblLook w:val="04A0" w:firstRow="1" w:lastRow="0" w:firstColumn="1" w:lastColumn="0" w:noHBand="0" w:noVBand="1"/>
      </w:tblPr>
      <w:tblGrid>
        <w:gridCol w:w="6095"/>
        <w:gridCol w:w="914"/>
        <w:gridCol w:w="1267"/>
        <w:gridCol w:w="1267"/>
      </w:tblGrid>
      <w:tr w:rsidR="0097090C" w:rsidRPr="004C475C" w14:paraId="5FD4CF65" w14:textId="77777777" w:rsidTr="0097090C">
        <w:trPr>
          <w:trHeight w:val="255"/>
        </w:trPr>
        <w:tc>
          <w:tcPr>
            <w:tcW w:w="6095" w:type="dxa"/>
            <w:tcBorders>
              <w:top w:val="single" w:sz="4" w:space="0" w:color="auto"/>
              <w:left w:val="nil"/>
              <w:bottom w:val="single" w:sz="4" w:space="0" w:color="auto"/>
              <w:right w:val="nil"/>
            </w:tcBorders>
            <w:shd w:val="clear" w:color="auto" w:fill="auto"/>
            <w:noWrap/>
            <w:vAlign w:val="center"/>
            <w:hideMark/>
          </w:tcPr>
          <w:p w14:paraId="135AEFE3" w14:textId="77777777" w:rsidR="0097090C" w:rsidRPr="004C475C" w:rsidRDefault="0097090C" w:rsidP="0097090C">
            <w:pPr>
              <w:rPr>
                <w:rFonts w:cs="Arial"/>
                <w:color w:val="000000"/>
              </w:rPr>
            </w:pPr>
            <w:r w:rsidRPr="004C475C">
              <w:rPr>
                <w:rFonts w:cs="Arial"/>
                <w:color w:val="000000"/>
              </w:rPr>
              <w:t> </w:t>
            </w:r>
          </w:p>
        </w:tc>
        <w:tc>
          <w:tcPr>
            <w:tcW w:w="850" w:type="dxa"/>
            <w:tcBorders>
              <w:top w:val="single" w:sz="4" w:space="0" w:color="auto"/>
              <w:left w:val="nil"/>
              <w:bottom w:val="single" w:sz="4" w:space="0" w:color="auto"/>
              <w:right w:val="nil"/>
            </w:tcBorders>
            <w:shd w:val="clear" w:color="auto" w:fill="auto"/>
            <w:noWrap/>
            <w:vAlign w:val="center"/>
            <w:hideMark/>
          </w:tcPr>
          <w:p w14:paraId="22B192BC" w14:textId="77777777" w:rsidR="0097090C" w:rsidRPr="00E432BC" w:rsidRDefault="0097090C" w:rsidP="0097090C">
            <w:pPr>
              <w:jc w:val="center"/>
              <w:rPr>
                <w:rFonts w:cs="Arial"/>
                <w:b/>
                <w:color w:val="000000"/>
              </w:rPr>
            </w:pPr>
            <w:r w:rsidRPr="00E432BC">
              <w:rPr>
                <w:rFonts w:cs="Arial"/>
                <w:b/>
                <w:color w:val="000000"/>
              </w:rPr>
              <w:t>Notes</w:t>
            </w:r>
          </w:p>
        </w:tc>
        <w:tc>
          <w:tcPr>
            <w:tcW w:w="1267" w:type="dxa"/>
            <w:tcBorders>
              <w:top w:val="single" w:sz="4" w:space="0" w:color="auto"/>
              <w:left w:val="nil"/>
              <w:bottom w:val="single" w:sz="4" w:space="0" w:color="auto"/>
              <w:right w:val="nil"/>
            </w:tcBorders>
            <w:shd w:val="clear" w:color="000000" w:fill="D9D9D9"/>
            <w:noWrap/>
            <w:vAlign w:val="center"/>
            <w:hideMark/>
          </w:tcPr>
          <w:p w14:paraId="115703C7" w14:textId="77777777" w:rsidR="0097090C" w:rsidRPr="00E432BC" w:rsidRDefault="0097090C" w:rsidP="0097090C">
            <w:pPr>
              <w:jc w:val="right"/>
              <w:rPr>
                <w:rFonts w:cs="Arial"/>
                <w:b/>
                <w:color w:val="000000"/>
              </w:rPr>
            </w:pPr>
            <w:r w:rsidRPr="00E432BC">
              <w:rPr>
                <w:rFonts w:cs="Arial"/>
                <w:b/>
                <w:color w:val="000000"/>
              </w:rPr>
              <w:t>2016</w:t>
            </w:r>
          </w:p>
        </w:tc>
        <w:tc>
          <w:tcPr>
            <w:tcW w:w="1267" w:type="dxa"/>
            <w:tcBorders>
              <w:top w:val="single" w:sz="4" w:space="0" w:color="auto"/>
              <w:left w:val="nil"/>
              <w:bottom w:val="single" w:sz="4" w:space="0" w:color="auto"/>
              <w:right w:val="nil"/>
            </w:tcBorders>
            <w:shd w:val="clear" w:color="auto" w:fill="auto"/>
            <w:noWrap/>
            <w:vAlign w:val="center"/>
            <w:hideMark/>
          </w:tcPr>
          <w:p w14:paraId="523895BA" w14:textId="77777777" w:rsidR="0097090C" w:rsidRPr="00E432BC" w:rsidRDefault="0097090C" w:rsidP="0097090C">
            <w:pPr>
              <w:jc w:val="right"/>
              <w:rPr>
                <w:rFonts w:cs="Arial"/>
                <w:b/>
                <w:color w:val="000000"/>
              </w:rPr>
            </w:pPr>
            <w:r w:rsidRPr="00E432BC">
              <w:rPr>
                <w:rFonts w:cs="Arial"/>
                <w:b/>
                <w:color w:val="000000"/>
              </w:rPr>
              <w:t>2015</w:t>
            </w:r>
          </w:p>
        </w:tc>
      </w:tr>
      <w:tr w:rsidR="0097090C" w:rsidRPr="004C475C" w14:paraId="72E75142" w14:textId="77777777" w:rsidTr="0097090C">
        <w:trPr>
          <w:trHeight w:val="255"/>
        </w:trPr>
        <w:tc>
          <w:tcPr>
            <w:tcW w:w="6095" w:type="dxa"/>
            <w:tcBorders>
              <w:top w:val="nil"/>
              <w:left w:val="nil"/>
              <w:bottom w:val="single" w:sz="4" w:space="0" w:color="auto"/>
              <w:right w:val="nil"/>
            </w:tcBorders>
            <w:shd w:val="clear" w:color="auto" w:fill="auto"/>
            <w:noWrap/>
            <w:vAlign w:val="center"/>
            <w:hideMark/>
          </w:tcPr>
          <w:p w14:paraId="022532D5" w14:textId="77777777" w:rsidR="0097090C" w:rsidRPr="004C475C" w:rsidRDefault="0097090C" w:rsidP="0097090C">
            <w:pPr>
              <w:rPr>
                <w:rFonts w:cs="Arial"/>
                <w:color w:val="000000"/>
              </w:rPr>
            </w:pPr>
            <w:r w:rsidRPr="004C475C">
              <w:rPr>
                <w:rFonts w:cs="Arial"/>
                <w:color w:val="000000"/>
              </w:rPr>
              <w:t> </w:t>
            </w:r>
          </w:p>
        </w:tc>
        <w:tc>
          <w:tcPr>
            <w:tcW w:w="850" w:type="dxa"/>
            <w:tcBorders>
              <w:top w:val="nil"/>
              <w:left w:val="nil"/>
              <w:bottom w:val="single" w:sz="4" w:space="0" w:color="auto"/>
              <w:right w:val="nil"/>
            </w:tcBorders>
            <w:shd w:val="clear" w:color="auto" w:fill="auto"/>
            <w:noWrap/>
            <w:vAlign w:val="center"/>
            <w:hideMark/>
          </w:tcPr>
          <w:p w14:paraId="681BC063" w14:textId="77777777" w:rsidR="0097090C" w:rsidRPr="00E432BC" w:rsidRDefault="0097090C" w:rsidP="0097090C">
            <w:pPr>
              <w:rPr>
                <w:rFonts w:cs="Arial"/>
                <w:b/>
                <w:color w:val="000000"/>
              </w:rPr>
            </w:pPr>
            <w:r w:rsidRPr="00E432BC">
              <w:rPr>
                <w:rFonts w:cs="Arial"/>
                <w:b/>
                <w:color w:val="000000"/>
              </w:rPr>
              <w:t> </w:t>
            </w:r>
          </w:p>
        </w:tc>
        <w:tc>
          <w:tcPr>
            <w:tcW w:w="1267" w:type="dxa"/>
            <w:tcBorders>
              <w:top w:val="nil"/>
              <w:left w:val="nil"/>
              <w:bottom w:val="single" w:sz="4" w:space="0" w:color="auto"/>
              <w:right w:val="nil"/>
            </w:tcBorders>
            <w:shd w:val="clear" w:color="000000" w:fill="D9D9D9"/>
            <w:noWrap/>
            <w:vAlign w:val="center"/>
            <w:hideMark/>
          </w:tcPr>
          <w:p w14:paraId="0BB079DA" w14:textId="77777777" w:rsidR="0097090C" w:rsidRPr="00E432BC" w:rsidRDefault="0097090C" w:rsidP="0097090C">
            <w:pPr>
              <w:jc w:val="right"/>
              <w:rPr>
                <w:rFonts w:cs="Arial"/>
                <w:b/>
                <w:color w:val="000000"/>
              </w:rPr>
            </w:pPr>
            <w:r w:rsidRPr="00E432BC">
              <w:rPr>
                <w:rFonts w:cs="Arial"/>
                <w:b/>
                <w:color w:val="000000"/>
              </w:rPr>
              <w:t>$'000</w:t>
            </w:r>
          </w:p>
        </w:tc>
        <w:tc>
          <w:tcPr>
            <w:tcW w:w="1267" w:type="dxa"/>
            <w:tcBorders>
              <w:top w:val="nil"/>
              <w:left w:val="nil"/>
              <w:bottom w:val="single" w:sz="4" w:space="0" w:color="auto"/>
              <w:right w:val="nil"/>
            </w:tcBorders>
            <w:shd w:val="clear" w:color="auto" w:fill="auto"/>
            <w:noWrap/>
            <w:vAlign w:val="center"/>
            <w:hideMark/>
          </w:tcPr>
          <w:p w14:paraId="0C3F492F" w14:textId="77777777" w:rsidR="0097090C" w:rsidRPr="00E432BC" w:rsidRDefault="0097090C" w:rsidP="0097090C">
            <w:pPr>
              <w:jc w:val="right"/>
              <w:rPr>
                <w:rFonts w:cs="Arial"/>
                <w:b/>
                <w:color w:val="000000"/>
              </w:rPr>
            </w:pPr>
            <w:r w:rsidRPr="00E432BC">
              <w:rPr>
                <w:rFonts w:cs="Arial"/>
                <w:b/>
                <w:color w:val="000000"/>
              </w:rPr>
              <w:t>$'000</w:t>
            </w:r>
          </w:p>
        </w:tc>
      </w:tr>
      <w:tr w:rsidR="0097090C" w:rsidRPr="004C475C" w14:paraId="0E4D2EA0" w14:textId="77777777" w:rsidTr="0097090C">
        <w:trPr>
          <w:trHeight w:val="255"/>
        </w:trPr>
        <w:tc>
          <w:tcPr>
            <w:tcW w:w="6095" w:type="dxa"/>
            <w:tcBorders>
              <w:top w:val="nil"/>
              <w:left w:val="nil"/>
              <w:bottom w:val="nil"/>
              <w:right w:val="nil"/>
            </w:tcBorders>
            <w:shd w:val="clear" w:color="auto" w:fill="auto"/>
            <w:noWrap/>
            <w:vAlign w:val="center"/>
            <w:hideMark/>
          </w:tcPr>
          <w:p w14:paraId="2F25523B" w14:textId="77777777" w:rsidR="0097090C" w:rsidRPr="004C475C" w:rsidRDefault="0097090C" w:rsidP="0097090C">
            <w:pPr>
              <w:rPr>
                <w:rFonts w:cs="Arial"/>
                <w:b/>
                <w:bCs/>
                <w:color w:val="000000"/>
              </w:rPr>
            </w:pPr>
            <w:r w:rsidRPr="004C475C">
              <w:rPr>
                <w:rFonts w:cs="Arial"/>
                <w:b/>
                <w:bCs/>
                <w:color w:val="000000"/>
              </w:rPr>
              <w:t>Cash Flows from Operating Activities</w:t>
            </w:r>
          </w:p>
        </w:tc>
        <w:tc>
          <w:tcPr>
            <w:tcW w:w="850" w:type="dxa"/>
            <w:tcBorders>
              <w:top w:val="nil"/>
              <w:left w:val="nil"/>
              <w:bottom w:val="nil"/>
              <w:right w:val="nil"/>
            </w:tcBorders>
            <w:shd w:val="clear" w:color="auto" w:fill="auto"/>
            <w:noWrap/>
            <w:vAlign w:val="center"/>
            <w:hideMark/>
          </w:tcPr>
          <w:p w14:paraId="45D061A6" w14:textId="77777777" w:rsidR="0097090C" w:rsidRPr="004C475C"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663EEA54" w14:textId="77777777" w:rsidR="0097090C" w:rsidRPr="004C475C" w:rsidRDefault="0097090C" w:rsidP="0097090C">
            <w:pPr>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noWrap/>
            <w:vAlign w:val="center"/>
            <w:hideMark/>
          </w:tcPr>
          <w:p w14:paraId="16B08E3B" w14:textId="77777777" w:rsidR="0097090C" w:rsidRPr="004C475C" w:rsidRDefault="0097090C" w:rsidP="0097090C">
            <w:pPr>
              <w:rPr>
                <w:rFonts w:cs="Arial"/>
                <w:color w:val="000000"/>
              </w:rPr>
            </w:pPr>
          </w:p>
        </w:tc>
      </w:tr>
      <w:tr w:rsidR="0097090C" w:rsidRPr="004C475C" w14:paraId="07693C77" w14:textId="77777777" w:rsidTr="0097090C">
        <w:trPr>
          <w:trHeight w:val="255"/>
        </w:trPr>
        <w:tc>
          <w:tcPr>
            <w:tcW w:w="6095" w:type="dxa"/>
            <w:tcBorders>
              <w:top w:val="nil"/>
              <w:left w:val="nil"/>
              <w:bottom w:val="nil"/>
              <w:right w:val="nil"/>
            </w:tcBorders>
            <w:shd w:val="clear" w:color="auto" w:fill="auto"/>
            <w:noWrap/>
            <w:vAlign w:val="center"/>
            <w:hideMark/>
          </w:tcPr>
          <w:p w14:paraId="420264A6" w14:textId="77777777" w:rsidR="0097090C" w:rsidRPr="004C475C" w:rsidRDefault="0097090C" w:rsidP="0097090C">
            <w:pPr>
              <w:rPr>
                <w:rFonts w:cs="Arial"/>
                <w:b/>
                <w:bCs/>
                <w:color w:val="000000"/>
              </w:rPr>
            </w:pPr>
            <w:r w:rsidRPr="004C475C">
              <w:rPr>
                <w:rFonts w:cs="Arial"/>
                <w:b/>
                <w:bCs/>
                <w:color w:val="000000"/>
              </w:rPr>
              <w:t xml:space="preserve">Receipts </w:t>
            </w:r>
          </w:p>
        </w:tc>
        <w:tc>
          <w:tcPr>
            <w:tcW w:w="850" w:type="dxa"/>
            <w:tcBorders>
              <w:top w:val="nil"/>
              <w:left w:val="nil"/>
              <w:bottom w:val="nil"/>
              <w:right w:val="nil"/>
            </w:tcBorders>
            <w:shd w:val="clear" w:color="auto" w:fill="auto"/>
            <w:noWrap/>
            <w:vAlign w:val="center"/>
            <w:hideMark/>
          </w:tcPr>
          <w:p w14:paraId="70DC1ACE" w14:textId="77777777" w:rsidR="0097090C" w:rsidRPr="004C475C"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46FD3D42" w14:textId="77777777" w:rsidR="0097090C" w:rsidRPr="004C475C" w:rsidRDefault="0097090C" w:rsidP="0097090C">
            <w:pPr>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noWrap/>
            <w:vAlign w:val="center"/>
            <w:hideMark/>
          </w:tcPr>
          <w:p w14:paraId="7C23E085" w14:textId="77777777" w:rsidR="0097090C" w:rsidRPr="004C475C" w:rsidRDefault="0097090C" w:rsidP="0097090C">
            <w:pPr>
              <w:rPr>
                <w:rFonts w:cs="Arial"/>
                <w:color w:val="000000"/>
              </w:rPr>
            </w:pPr>
          </w:p>
        </w:tc>
      </w:tr>
      <w:tr w:rsidR="0097090C" w:rsidRPr="004C475C" w14:paraId="7472D859" w14:textId="77777777" w:rsidTr="0097090C">
        <w:trPr>
          <w:trHeight w:val="255"/>
        </w:trPr>
        <w:tc>
          <w:tcPr>
            <w:tcW w:w="6095" w:type="dxa"/>
            <w:tcBorders>
              <w:top w:val="nil"/>
              <w:left w:val="nil"/>
              <w:bottom w:val="nil"/>
              <w:right w:val="nil"/>
            </w:tcBorders>
            <w:shd w:val="clear" w:color="auto" w:fill="auto"/>
            <w:vAlign w:val="center"/>
            <w:hideMark/>
          </w:tcPr>
          <w:p w14:paraId="6B41554E" w14:textId="77777777" w:rsidR="0097090C" w:rsidRPr="004C475C" w:rsidRDefault="0097090C" w:rsidP="0097090C">
            <w:pPr>
              <w:rPr>
                <w:rFonts w:cs="Arial"/>
                <w:color w:val="000000"/>
              </w:rPr>
            </w:pPr>
            <w:r w:rsidRPr="004C475C">
              <w:rPr>
                <w:rFonts w:cs="Arial"/>
                <w:color w:val="000000"/>
              </w:rPr>
              <w:t>Government Grants: Recurrent</w:t>
            </w:r>
          </w:p>
        </w:tc>
        <w:tc>
          <w:tcPr>
            <w:tcW w:w="850" w:type="dxa"/>
            <w:tcBorders>
              <w:top w:val="nil"/>
              <w:left w:val="nil"/>
              <w:bottom w:val="nil"/>
              <w:right w:val="nil"/>
            </w:tcBorders>
            <w:shd w:val="clear" w:color="auto" w:fill="auto"/>
            <w:vAlign w:val="center"/>
            <w:hideMark/>
          </w:tcPr>
          <w:p w14:paraId="44727464"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5E7FF42" w14:textId="77777777" w:rsidR="0097090C" w:rsidRPr="004C475C" w:rsidRDefault="0097090C" w:rsidP="0097090C">
            <w:pPr>
              <w:jc w:val="right"/>
              <w:rPr>
                <w:rFonts w:cs="Arial"/>
                <w:color w:val="000000"/>
              </w:rPr>
            </w:pPr>
            <w:r w:rsidRPr="004C475C">
              <w:rPr>
                <w:rFonts w:cs="Arial"/>
                <w:color w:val="000000"/>
              </w:rPr>
              <w:t>46,030</w:t>
            </w:r>
          </w:p>
        </w:tc>
        <w:tc>
          <w:tcPr>
            <w:tcW w:w="1267" w:type="dxa"/>
            <w:tcBorders>
              <w:top w:val="nil"/>
              <w:left w:val="nil"/>
              <w:bottom w:val="nil"/>
              <w:right w:val="nil"/>
            </w:tcBorders>
            <w:shd w:val="clear" w:color="auto" w:fill="auto"/>
            <w:vAlign w:val="center"/>
            <w:hideMark/>
          </w:tcPr>
          <w:p w14:paraId="60388C7F" w14:textId="77777777" w:rsidR="0097090C" w:rsidRPr="004C475C" w:rsidRDefault="0097090C" w:rsidP="0097090C">
            <w:pPr>
              <w:jc w:val="right"/>
              <w:rPr>
                <w:rFonts w:cs="Arial"/>
                <w:color w:val="000000"/>
              </w:rPr>
            </w:pPr>
            <w:r w:rsidRPr="004C475C">
              <w:rPr>
                <w:rFonts w:cs="Arial"/>
                <w:color w:val="000000"/>
              </w:rPr>
              <w:t>46,243</w:t>
            </w:r>
          </w:p>
        </w:tc>
      </w:tr>
      <w:tr w:rsidR="0097090C" w:rsidRPr="004C475C" w14:paraId="0A8076D1" w14:textId="77777777" w:rsidTr="0097090C">
        <w:trPr>
          <w:trHeight w:val="255"/>
        </w:trPr>
        <w:tc>
          <w:tcPr>
            <w:tcW w:w="6095" w:type="dxa"/>
            <w:tcBorders>
              <w:top w:val="nil"/>
              <w:left w:val="nil"/>
              <w:bottom w:val="nil"/>
              <w:right w:val="nil"/>
            </w:tcBorders>
            <w:shd w:val="clear" w:color="auto" w:fill="auto"/>
            <w:vAlign w:val="center"/>
            <w:hideMark/>
          </w:tcPr>
          <w:p w14:paraId="74E2C3F7" w14:textId="77777777" w:rsidR="0097090C" w:rsidRPr="004C475C" w:rsidRDefault="0097090C" w:rsidP="0097090C">
            <w:pPr>
              <w:rPr>
                <w:rFonts w:cs="Arial"/>
                <w:color w:val="000000"/>
              </w:rPr>
            </w:pPr>
            <w:r w:rsidRPr="004C475C">
              <w:rPr>
                <w:rFonts w:cs="Arial"/>
                <w:color w:val="000000"/>
              </w:rPr>
              <w:t xml:space="preserve">Grants and Donations </w:t>
            </w:r>
          </w:p>
        </w:tc>
        <w:tc>
          <w:tcPr>
            <w:tcW w:w="850" w:type="dxa"/>
            <w:tcBorders>
              <w:top w:val="nil"/>
              <w:left w:val="nil"/>
              <w:bottom w:val="nil"/>
              <w:right w:val="nil"/>
            </w:tcBorders>
            <w:shd w:val="clear" w:color="auto" w:fill="auto"/>
            <w:vAlign w:val="center"/>
            <w:hideMark/>
          </w:tcPr>
          <w:p w14:paraId="3A84E1D4"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6D848AD" w14:textId="77777777" w:rsidR="0097090C" w:rsidRPr="004C475C" w:rsidRDefault="0097090C" w:rsidP="0097090C">
            <w:pPr>
              <w:jc w:val="right"/>
              <w:rPr>
                <w:rFonts w:cs="Arial"/>
                <w:color w:val="000000"/>
              </w:rPr>
            </w:pPr>
            <w:r w:rsidRPr="004C475C">
              <w:rPr>
                <w:rFonts w:cs="Arial"/>
                <w:color w:val="000000"/>
              </w:rPr>
              <w:t>4,940</w:t>
            </w:r>
          </w:p>
        </w:tc>
        <w:tc>
          <w:tcPr>
            <w:tcW w:w="1267" w:type="dxa"/>
            <w:tcBorders>
              <w:top w:val="nil"/>
              <w:left w:val="nil"/>
              <w:bottom w:val="nil"/>
              <w:right w:val="nil"/>
            </w:tcBorders>
            <w:shd w:val="clear" w:color="auto" w:fill="auto"/>
            <w:vAlign w:val="center"/>
            <w:hideMark/>
          </w:tcPr>
          <w:p w14:paraId="0268D358" w14:textId="77777777" w:rsidR="0097090C" w:rsidRPr="004C475C" w:rsidRDefault="0097090C" w:rsidP="0097090C">
            <w:pPr>
              <w:jc w:val="right"/>
              <w:rPr>
                <w:rFonts w:cs="Arial"/>
                <w:color w:val="000000"/>
              </w:rPr>
            </w:pPr>
            <w:r w:rsidRPr="004C475C">
              <w:rPr>
                <w:rFonts w:cs="Arial"/>
                <w:color w:val="000000"/>
              </w:rPr>
              <w:t>4,120</w:t>
            </w:r>
          </w:p>
        </w:tc>
      </w:tr>
      <w:tr w:rsidR="0097090C" w:rsidRPr="004C475C" w14:paraId="46286F5A" w14:textId="77777777" w:rsidTr="0097090C">
        <w:trPr>
          <w:trHeight w:val="255"/>
        </w:trPr>
        <w:tc>
          <w:tcPr>
            <w:tcW w:w="6095" w:type="dxa"/>
            <w:tcBorders>
              <w:top w:val="nil"/>
              <w:left w:val="nil"/>
              <w:bottom w:val="nil"/>
              <w:right w:val="nil"/>
            </w:tcBorders>
            <w:shd w:val="clear" w:color="auto" w:fill="auto"/>
            <w:vAlign w:val="center"/>
            <w:hideMark/>
          </w:tcPr>
          <w:p w14:paraId="7D5AEAF8" w14:textId="77777777" w:rsidR="0097090C" w:rsidRPr="004C475C" w:rsidRDefault="0097090C" w:rsidP="0097090C">
            <w:pPr>
              <w:rPr>
                <w:rFonts w:cs="Arial"/>
                <w:color w:val="000000"/>
              </w:rPr>
            </w:pPr>
            <w:r w:rsidRPr="004C475C">
              <w:rPr>
                <w:rFonts w:cs="Arial"/>
                <w:color w:val="000000"/>
              </w:rPr>
              <w:t>Interest</w:t>
            </w:r>
          </w:p>
        </w:tc>
        <w:tc>
          <w:tcPr>
            <w:tcW w:w="850" w:type="dxa"/>
            <w:tcBorders>
              <w:top w:val="nil"/>
              <w:left w:val="nil"/>
              <w:bottom w:val="nil"/>
              <w:right w:val="nil"/>
            </w:tcBorders>
            <w:shd w:val="clear" w:color="auto" w:fill="auto"/>
            <w:vAlign w:val="center"/>
            <w:hideMark/>
          </w:tcPr>
          <w:p w14:paraId="23F52206"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E270724" w14:textId="77777777" w:rsidR="0097090C" w:rsidRPr="004C475C" w:rsidRDefault="0097090C" w:rsidP="0097090C">
            <w:pPr>
              <w:jc w:val="right"/>
              <w:rPr>
                <w:rFonts w:cs="Arial"/>
                <w:color w:val="000000"/>
              </w:rPr>
            </w:pPr>
            <w:r w:rsidRPr="004C475C">
              <w:rPr>
                <w:rFonts w:cs="Arial"/>
                <w:color w:val="000000"/>
              </w:rPr>
              <w:t>886</w:t>
            </w:r>
          </w:p>
        </w:tc>
        <w:tc>
          <w:tcPr>
            <w:tcW w:w="1267" w:type="dxa"/>
            <w:tcBorders>
              <w:top w:val="nil"/>
              <w:left w:val="nil"/>
              <w:bottom w:val="nil"/>
              <w:right w:val="nil"/>
            </w:tcBorders>
            <w:shd w:val="clear" w:color="auto" w:fill="auto"/>
            <w:vAlign w:val="center"/>
            <w:hideMark/>
          </w:tcPr>
          <w:p w14:paraId="0A49A415" w14:textId="77777777" w:rsidR="0097090C" w:rsidRPr="004C475C" w:rsidRDefault="0097090C" w:rsidP="0097090C">
            <w:pPr>
              <w:jc w:val="right"/>
              <w:rPr>
                <w:rFonts w:cs="Arial"/>
                <w:color w:val="000000"/>
              </w:rPr>
            </w:pPr>
            <w:r w:rsidRPr="004C475C">
              <w:rPr>
                <w:rFonts w:cs="Arial"/>
                <w:color w:val="000000"/>
              </w:rPr>
              <w:t>1,167</w:t>
            </w:r>
          </w:p>
        </w:tc>
      </w:tr>
      <w:tr w:rsidR="0097090C" w:rsidRPr="004C475C" w14:paraId="003EA233" w14:textId="77777777" w:rsidTr="0097090C">
        <w:trPr>
          <w:trHeight w:val="255"/>
        </w:trPr>
        <w:tc>
          <w:tcPr>
            <w:tcW w:w="6095" w:type="dxa"/>
            <w:tcBorders>
              <w:top w:val="nil"/>
              <w:left w:val="nil"/>
              <w:bottom w:val="nil"/>
              <w:right w:val="nil"/>
            </w:tcBorders>
            <w:shd w:val="clear" w:color="auto" w:fill="auto"/>
            <w:vAlign w:val="center"/>
            <w:hideMark/>
          </w:tcPr>
          <w:p w14:paraId="1844B29A" w14:textId="77777777" w:rsidR="0097090C" w:rsidRPr="004C475C" w:rsidRDefault="0097090C" w:rsidP="0097090C">
            <w:pPr>
              <w:rPr>
                <w:rFonts w:cs="Arial"/>
                <w:color w:val="000000"/>
              </w:rPr>
            </w:pPr>
            <w:r w:rsidRPr="004C475C">
              <w:rPr>
                <w:rFonts w:cs="Arial"/>
                <w:color w:val="000000"/>
              </w:rPr>
              <w:t>Fees and Charges</w:t>
            </w:r>
          </w:p>
        </w:tc>
        <w:tc>
          <w:tcPr>
            <w:tcW w:w="850" w:type="dxa"/>
            <w:tcBorders>
              <w:top w:val="nil"/>
              <w:left w:val="nil"/>
              <w:bottom w:val="nil"/>
              <w:right w:val="nil"/>
            </w:tcBorders>
            <w:shd w:val="clear" w:color="auto" w:fill="auto"/>
            <w:vAlign w:val="center"/>
            <w:hideMark/>
          </w:tcPr>
          <w:p w14:paraId="1E848ECC"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E66DB35" w14:textId="77777777" w:rsidR="0097090C" w:rsidRPr="004C475C" w:rsidRDefault="0097090C" w:rsidP="0097090C">
            <w:pPr>
              <w:jc w:val="right"/>
              <w:rPr>
                <w:rFonts w:cs="Arial"/>
                <w:color w:val="000000"/>
              </w:rPr>
            </w:pPr>
            <w:r w:rsidRPr="004C475C">
              <w:rPr>
                <w:rFonts w:cs="Arial"/>
                <w:color w:val="000000"/>
              </w:rPr>
              <w:t>21,452</w:t>
            </w:r>
          </w:p>
        </w:tc>
        <w:tc>
          <w:tcPr>
            <w:tcW w:w="1267" w:type="dxa"/>
            <w:tcBorders>
              <w:top w:val="nil"/>
              <w:left w:val="nil"/>
              <w:bottom w:val="nil"/>
              <w:right w:val="nil"/>
            </w:tcBorders>
            <w:shd w:val="clear" w:color="auto" w:fill="auto"/>
            <w:vAlign w:val="center"/>
            <w:hideMark/>
          </w:tcPr>
          <w:p w14:paraId="2AF47BD0" w14:textId="77777777" w:rsidR="0097090C" w:rsidRPr="004C475C" w:rsidRDefault="0097090C" w:rsidP="0097090C">
            <w:pPr>
              <w:jc w:val="right"/>
              <w:rPr>
                <w:rFonts w:cs="Arial"/>
                <w:color w:val="000000"/>
              </w:rPr>
            </w:pPr>
            <w:r w:rsidRPr="004C475C">
              <w:rPr>
                <w:rFonts w:cs="Arial"/>
                <w:color w:val="000000"/>
              </w:rPr>
              <w:t>14,522</w:t>
            </w:r>
          </w:p>
        </w:tc>
      </w:tr>
      <w:tr w:rsidR="0097090C" w:rsidRPr="004C475C" w14:paraId="64A4851A" w14:textId="77777777" w:rsidTr="0097090C">
        <w:trPr>
          <w:trHeight w:val="255"/>
        </w:trPr>
        <w:tc>
          <w:tcPr>
            <w:tcW w:w="6095" w:type="dxa"/>
            <w:tcBorders>
              <w:top w:val="nil"/>
              <w:left w:val="nil"/>
              <w:bottom w:val="nil"/>
              <w:right w:val="nil"/>
            </w:tcBorders>
            <w:shd w:val="clear" w:color="auto" w:fill="auto"/>
            <w:vAlign w:val="center"/>
            <w:hideMark/>
          </w:tcPr>
          <w:p w14:paraId="7DE12483" w14:textId="77777777" w:rsidR="0097090C" w:rsidRPr="004C475C" w:rsidRDefault="0097090C" w:rsidP="0097090C">
            <w:pPr>
              <w:rPr>
                <w:rFonts w:cs="Arial"/>
                <w:color w:val="000000"/>
              </w:rPr>
            </w:pPr>
            <w:r w:rsidRPr="004C475C">
              <w:rPr>
                <w:rFonts w:cs="Arial"/>
                <w:color w:val="000000"/>
              </w:rPr>
              <w:t>Sales – Commercial Operations</w:t>
            </w:r>
          </w:p>
        </w:tc>
        <w:tc>
          <w:tcPr>
            <w:tcW w:w="850" w:type="dxa"/>
            <w:tcBorders>
              <w:top w:val="nil"/>
              <w:left w:val="nil"/>
              <w:bottom w:val="nil"/>
              <w:right w:val="nil"/>
            </w:tcBorders>
            <w:shd w:val="clear" w:color="auto" w:fill="auto"/>
            <w:vAlign w:val="center"/>
            <w:hideMark/>
          </w:tcPr>
          <w:p w14:paraId="4142B951"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7CC26BA" w14:textId="77777777" w:rsidR="0097090C" w:rsidRPr="004C475C" w:rsidRDefault="0097090C" w:rsidP="0097090C">
            <w:pPr>
              <w:jc w:val="right"/>
              <w:rPr>
                <w:rFonts w:cs="Arial"/>
                <w:color w:val="000000"/>
              </w:rPr>
            </w:pPr>
            <w:r w:rsidRPr="004C475C">
              <w:rPr>
                <w:rFonts w:cs="Arial"/>
                <w:color w:val="000000"/>
              </w:rPr>
              <w:t>3,374</w:t>
            </w:r>
          </w:p>
        </w:tc>
        <w:tc>
          <w:tcPr>
            <w:tcW w:w="1267" w:type="dxa"/>
            <w:tcBorders>
              <w:top w:val="nil"/>
              <w:left w:val="nil"/>
              <w:bottom w:val="nil"/>
              <w:right w:val="nil"/>
            </w:tcBorders>
            <w:shd w:val="clear" w:color="auto" w:fill="auto"/>
            <w:vAlign w:val="center"/>
            <w:hideMark/>
          </w:tcPr>
          <w:p w14:paraId="2DF6804B" w14:textId="77777777" w:rsidR="0097090C" w:rsidRPr="004C475C" w:rsidRDefault="0097090C" w:rsidP="0097090C">
            <w:pPr>
              <w:jc w:val="right"/>
              <w:rPr>
                <w:rFonts w:cs="Arial"/>
                <w:color w:val="000000"/>
              </w:rPr>
            </w:pPr>
            <w:r w:rsidRPr="004C475C">
              <w:rPr>
                <w:rFonts w:cs="Arial"/>
                <w:color w:val="000000"/>
              </w:rPr>
              <w:t>3,254</w:t>
            </w:r>
          </w:p>
        </w:tc>
      </w:tr>
      <w:tr w:rsidR="0097090C" w:rsidRPr="004C475C" w14:paraId="4FC542D3" w14:textId="77777777" w:rsidTr="0097090C">
        <w:trPr>
          <w:trHeight w:val="255"/>
        </w:trPr>
        <w:tc>
          <w:tcPr>
            <w:tcW w:w="6095" w:type="dxa"/>
            <w:tcBorders>
              <w:top w:val="nil"/>
              <w:left w:val="nil"/>
              <w:bottom w:val="nil"/>
              <w:right w:val="nil"/>
            </w:tcBorders>
            <w:shd w:val="clear" w:color="auto" w:fill="auto"/>
            <w:vAlign w:val="center"/>
            <w:hideMark/>
          </w:tcPr>
          <w:p w14:paraId="169317B5" w14:textId="77777777" w:rsidR="0097090C" w:rsidRPr="004C475C" w:rsidRDefault="0097090C" w:rsidP="0097090C">
            <w:pPr>
              <w:rPr>
                <w:rFonts w:cs="Arial"/>
                <w:color w:val="000000"/>
              </w:rPr>
            </w:pPr>
            <w:r w:rsidRPr="004C475C">
              <w:rPr>
                <w:rFonts w:cs="Arial"/>
                <w:color w:val="000000"/>
              </w:rPr>
              <w:t>Other</w:t>
            </w:r>
          </w:p>
        </w:tc>
        <w:tc>
          <w:tcPr>
            <w:tcW w:w="850" w:type="dxa"/>
            <w:tcBorders>
              <w:top w:val="nil"/>
              <w:left w:val="nil"/>
              <w:bottom w:val="nil"/>
              <w:right w:val="nil"/>
            </w:tcBorders>
            <w:shd w:val="clear" w:color="auto" w:fill="auto"/>
            <w:vAlign w:val="center"/>
            <w:hideMark/>
          </w:tcPr>
          <w:p w14:paraId="24012564"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B042E5D" w14:textId="77777777" w:rsidR="0097090C" w:rsidRPr="004C475C" w:rsidRDefault="0097090C" w:rsidP="0097090C">
            <w:pPr>
              <w:jc w:val="right"/>
              <w:rPr>
                <w:rFonts w:cs="Arial"/>
                <w:color w:val="000000"/>
              </w:rPr>
            </w:pPr>
            <w:r w:rsidRPr="004C475C">
              <w:rPr>
                <w:rFonts w:cs="Arial"/>
                <w:color w:val="000000"/>
              </w:rPr>
              <w:t>9,275</w:t>
            </w:r>
          </w:p>
        </w:tc>
        <w:tc>
          <w:tcPr>
            <w:tcW w:w="1267" w:type="dxa"/>
            <w:tcBorders>
              <w:top w:val="nil"/>
              <w:left w:val="nil"/>
              <w:bottom w:val="nil"/>
              <w:right w:val="nil"/>
            </w:tcBorders>
            <w:shd w:val="clear" w:color="auto" w:fill="auto"/>
            <w:vAlign w:val="center"/>
            <w:hideMark/>
          </w:tcPr>
          <w:p w14:paraId="4A739919" w14:textId="77777777" w:rsidR="0097090C" w:rsidRPr="004C475C" w:rsidRDefault="0097090C" w:rsidP="0097090C">
            <w:pPr>
              <w:jc w:val="right"/>
              <w:rPr>
                <w:rFonts w:cs="Arial"/>
                <w:color w:val="000000"/>
              </w:rPr>
            </w:pPr>
            <w:r w:rsidRPr="004C475C">
              <w:rPr>
                <w:rFonts w:cs="Arial"/>
                <w:color w:val="000000"/>
              </w:rPr>
              <w:t>7,702</w:t>
            </w:r>
          </w:p>
        </w:tc>
      </w:tr>
      <w:tr w:rsidR="0097090C" w:rsidRPr="004C475C" w14:paraId="0E7BB38A" w14:textId="77777777" w:rsidTr="0097090C">
        <w:trPr>
          <w:trHeight w:val="255"/>
        </w:trPr>
        <w:tc>
          <w:tcPr>
            <w:tcW w:w="6095" w:type="dxa"/>
            <w:tcBorders>
              <w:top w:val="nil"/>
              <w:left w:val="nil"/>
              <w:bottom w:val="nil"/>
              <w:right w:val="nil"/>
            </w:tcBorders>
            <w:shd w:val="clear" w:color="auto" w:fill="auto"/>
            <w:vAlign w:val="center"/>
            <w:hideMark/>
          </w:tcPr>
          <w:p w14:paraId="5DA18453" w14:textId="77777777" w:rsidR="0097090C" w:rsidRPr="004C475C" w:rsidRDefault="0097090C" w:rsidP="0097090C">
            <w:pPr>
              <w:rPr>
                <w:rFonts w:cs="Arial"/>
                <w:color w:val="000000"/>
              </w:rPr>
            </w:pPr>
            <w:r w:rsidRPr="004C475C">
              <w:rPr>
                <w:rFonts w:cs="Arial"/>
                <w:color w:val="000000"/>
              </w:rPr>
              <w:t>Goods and Services Tax on Receipts</w:t>
            </w:r>
          </w:p>
        </w:tc>
        <w:tc>
          <w:tcPr>
            <w:tcW w:w="850" w:type="dxa"/>
            <w:tcBorders>
              <w:top w:val="nil"/>
              <w:left w:val="nil"/>
              <w:bottom w:val="nil"/>
              <w:right w:val="nil"/>
            </w:tcBorders>
            <w:shd w:val="clear" w:color="auto" w:fill="auto"/>
            <w:vAlign w:val="center"/>
            <w:hideMark/>
          </w:tcPr>
          <w:p w14:paraId="185E3EAB"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296E9C7" w14:textId="77777777" w:rsidR="0097090C" w:rsidRPr="004C475C" w:rsidRDefault="0097090C" w:rsidP="0097090C">
            <w:pPr>
              <w:jc w:val="right"/>
              <w:rPr>
                <w:rFonts w:cs="Arial"/>
                <w:color w:val="000000"/>
              </w:rPr>
            </w:pPr>
            <w:r w:rsidRPr="004C475C">
              <w:rPr>
                <w:rFonts w:cs="Arial"/>
                <w:color w:val="000000"/>
              </w:rPr>
              <w:t>2,559</w:t>
            </w:r>
          </w:p>
        </w:tc>
        <w:tc>
          <w:tcPr>
            <w:tcW w:w="1267" w:type="dxa"/>
            <w:tcBorders>
              <w:top w:val="nil"/>
              <w:left w:val="nil"/>
              <w:bottom w:val="nil"/>
              <w:right w:val="nil"/>
            </w:tcBorders>
            <w:shd w:val="clear" w:color="auto" w:fill="auto"/>
            <w:vAlign w:val="center"/>
            <w:hideMark/>
          </w:tcPr>
          <w:p w14:paraId="22937852" w14:textId="77777777" w:rsidR="0097090C" w:rsidRPr="004C475C" w:rsidRDefault="0097090C" w:rsidP="0097090C">
            <w:pPr>
              <w:jc w:val="right"/>
              <w:rPr>
                <w:rFonts w:cs="Arial"/>
                <w:color w:val="000000"/>
              </w:rPr>
            </w:pPr>
            <w:r w:rsidRPr="004C475C">
              <w:rPr>
                <w:rFonts w:cs="Arial"/>
                <w:color w:val="000000"/>
              </w:rPr>
              <w:t>2,179</w:t>
            </w:r>
          </w:p>
        </w:tc>
      </w:tr>
      <w:tr w:rsidR="0097090C" w:rsidRPr="004C475C" w14:paraId="00FCAB2A" w14:textId="77777777" w:rsidTr="0097090C">
        <w:trPr>
          <w:trHeight w:val="255"/>
        </w:trPr>
        <w:tc>
          <w:tcPr>
            <w:tcW w:w="6095" w:type="dxa"/>
            <w:tcBorders>
              <w:top w:val="nil"/>
              <w:left w:val="nil"/>
              <w:bottom w:val="nil"/>
              <w:right w:val="nil"/>
            </w:tcBorders>
            <w:shd w:val="clear" w:color="auto" w:fill="auto"/>
            <w:vAlign w:val="center"/>
            <w:hideMark/>
          </w:tcPr>
          <w:p w14:paraId="3AA36F21" w14:textId="77777777" w:rsidR="0097090C" w:rsidRPr="004C475C" w:rsidRDefault="0097090C" w:rsidP="0097090C">
            <w:pPr>
              <w:rPr>
                <w:rFonts w:cs="Arial"/>
                <w:color w:val="000000"/>
              </w:rPr>
            </w:pPr>
            <w:r w:rsidRPr="004C475C">
              <w:rPr>
                <w:rFonts w:cs="Arial"/>
                <w:color w:val="000000"/>
              </w:rPr>
              <w:t>Goods and Services Tax Recovered from the ATO</w:t>
            </w:r>
          </w:p>
        </w:tc>
        <w:tc>
          <w:tcPr>
            <w:tcW w:w="850" w:type="dxa"/>
            <w:tcBorders>
              <w:top w:val="nil"/>
              <w:left w:val="nil"/>
              <w:bottom w:val="nil"/>
              <w:right w:val="nil"/>
            </w:tcBorders>
            <w:shd w:val="clear" w:color="auto" w:fill="auto"/>
            <w:vAlign w:val="center"/>
            <w:hideMark/>
          </w:tcPr>
          <w:p w14:paraId="2AEB0F18"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6AED7D9" w14:textId="77777777" w:rsidR="0097090C" w:rsidRPr="004C475C" w:rsidRDefault="0097090C" w:rsidP="0097090C">
            <w:pPr>
              <w:jc w:val="right"/>
              <w:rPr>
                <w:rFonts w:cs="Arial"/>
                <w:color w:val="000000"/>
              </w:rPr>
            </w:pPr>
            <w:r w:rsidRPr="004C475C">
              <w:rPr>
                <w:rFonts w:cs="Arial"/>
                <w:color w:val="000000"/>
              </w:rPr>
              <w:t>1,297</w:t>
            </w:r>
          </w:p>
        </w:tc>
        <w:tc>
          <w:tcPr>
            <w:tcW w:w="1267" w:type="dxa"/>
            <w:tcBorders>
              <w:top w:val="nil"/>
              <w:left w:val="nil"/>
              <w:bottom w:val="nil"/>
              <w:right w:val="nil"/>
            </w:tcBorders>
            <w:shd w:val="clear" w:color="auto" w:fill="auto"/>
            <w:vAlign w:val="center"/>
            <w:hideMark/>
          </w:tcPr>
          <w:p w14:paraId="4C9B684A" w14:textId="77777777" w:rsidR="0097090C" w:rsidRPr="004C475C" w:rsidRDefault="0097090C" w:rsidP="0097090C">
            <w:pPr>
              <w:jc w:val="right"/>
              <w:rPr>
                <w:rFonts w:cs="Arial"/>
                <w:color w:val="000000"/>
              </w:rPr>
            </w:pPr>
            <w:r w:rsidRPr="004C475C">
              <w:rPr>
                <w:rFonts w:cs="Arial"/>
                <w:color w:val="000000"/>
              </w:rPr>
              <w:t>1,184</w:t>
            </w:r>
          </w:p>
        </w:tc>
      </w:tr>
      <w:tr w:rsidR="0097090C" w:rsidRPr="004C475C" w14:paraId="0BC73960"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783F1A49" w14:textId="77777777" w:rsidR="0097090C" w:rsidRPr="004C475C" w:rsidRDefault="0097090C" w:rsidP="0097090C">
            <w:pPr>
              <w:rPr>
                <w:rFonts w:cs="Arial"/>
                <w:b/>
                <w:bCs/>
                <w:color w:val="000000"/>
              </w:rPr>
            </w:pPr>
            <w:r w:rsidRPr="004C475C">
              <w:rPr>
                <w:rFonts w:cs="Arial"/>
                <w:b/>
                <w:bCs/>
                <w:color w:val="000000"/>
              </w:rPr>
              <w:t>Total Receipts</w:t>
            </w:r>
          </w:p>
        </w:tc>
        <w:tc>
          <w:tcPr>
            <w:tcW w:w="850" w:type="dxa"/>
            <w:tcBorders>
              <w:top w:val="single" w:sz="4" w:space="0" w:color="auto"/>
              <w:left w:val="nil"/>
              <w:bottom w:val="single" w:sz="4" w:space="0" w:color="auto"/>
              <w:right w:val="nil"/>
            </w:tcBorders>
            <w:shd w:val="clear" w:color="auto" w:fill="auto"/>
            <w:vAlign w:val="center"/>
            <w:hideMark/>
          </w:tcPr>
          <w:p w14:paraId="27E04CEC" w14:textId="77777777" w:rsidR="0097090C" w:rsidRPr="004C475C" w:rsidRDefault="0097090C" w:rsidP="0097090C">
            <w:pPr>
              <w:rPr>
                <w:rFonts w:cs="Arial"/>
                <w:i/>
                <w:iCs/>
                <w:color w:val="000000"/>
              </w:rPr>
            </w:pPr>
            <w:r w:rsidRPr="004C475C">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62F3B60D" w14:textId="77777777" w:rsidR="0097090C" w:rsidRPr="004C475C" w:rsidRDefault="0097090C" w:rsidP="0097090C">
            <w:pPr>
              <w:jc w:val="right"/>
              <w:rPr>
                <w:rFonts w:cs="Arial"/>
                <w:b/>
                <w:bCs/>
                <w:color w:val="000000"/>
              </w:rPr>
            </w:pPr>
            <w:r w:rsidRPr="004C475C">
              <w:rPr>
                <w:rFonts w:cs="Arial"/>
                <w:b/>
                <w:bCs/>
                <w:color w:val="000000"/>
              </w:rPr>
              <w:t>89,813</w:t>
            </w:r>
          </w:p>
        </w:tc>
        <w:tc>
          <w:tcPr>
            <w:tcW w:w="1267" w:type="dxa"/>
            <w:tcBorders>
              <w:top w:val="single" w:sz="4" w:space="0" w:color="auto"/>
              <w:left w:val="nil"/>
              <w:bottom w:val="single" w:sz="4" w:space="0" w:color="auto"/>
              <w:right w:val="nil"/>
            </w:tcBorders>
            <w:shd w:val="clear" w:color="auto" w:fill="auto"/>
            <w:vAlign w:val="center"/>
            <w:hideMark/>
          </w:tcPr>
          <w:p w14:paraId="3A9BF307" w14:textId="77777777" w:rsidR="0097090C" w:rsidRPr="004C475C" w:rsidRDefault="0097090C" w:rsidP="0097090C">
            <w:pPr>
              <w:jc w:val="right"/>
              <w:rPr>
                <w:rFonts w:cs="Arial"/>
                <w:b/>
                <w:bCs/>
                <w:color w:val="000000"/>
              </w:rPr>
            </w:pPr>
            <w:r w:rsidRPr="004C475C">
              <w:rPr>
                <w:rFonts w:cs="Arial"/>
                <w:b/>
                <w:bCs/>
                <w:color w:val="000000"/>
              </w:rPr>
              <w:t>80,371</w:t>
            </w:r>
          </w:p>
        </w:tc>
      </w:tr>
      <w:tr w:rsidR="0097090C" w:rsidRPr="004C475C" w14:paraId="72E12BA6" w14:textId="77777777" w:rsidTr="0097090C">
        <w:trPr>
          <w:trHeight w:val="255"/>
        </w:trPr>
        <w:tc>
          <w:tcPr>
            <w:tcW w:w="6095" w:type="dxa"/>
            <w:tcBorders>
              <w:top w:val="nil"/>
              <w:left w:val="nil"/>
              <w:bottom w:val="nil"/>
              <w:right w:val="nil"/>
            </w:tcBorders>
            <w:shd w:val="clear" w:color="auto" w:fill="auto"/>
            <w:vAlign w:val="center"/>
            <w:hideMark/>
          </w:tcPr>
          <w:p w14:paraId="74F0C594" w14:textId="77777777" w:rsidR="0097090C" w:rsidRPr="004C475C" w:rsidRDefault="0097090C" w:rsidP="0097090C">
            <w:pPr>
              <w:rPr>
                <w:rFonts w:cs="Arial"/>
                <w:b/>
                <w:bCs/>
                <w:color w:val="000000"/>
              </w:rPr>
            </w:pPr>
            <w:r w:rsidRPr="004C475C">
              <w:rPr>
                <w:rFonts w:cs="Arial"/>
                <w:b/>
                <w:bCs/>
                <w:color w:val="000000"/>
              </w:rPr>
              <w:t>Payments</w:t>
            </w:r>
          </w:p>
        </w:tc>
        <w:tc>
          <w:tcPr>
            <w:tcW w:w="850" w:type="dxa"/>
            <w:tcBorders>
              <w:top w:val="nil"/>
              <w:left w:val="nil"/>
              <w:bottom w:val="nil"/>
              <w:right w:val="nil"/>
            </w:tcBorders>
            <w:shd w:val="clear" w:color="auto" w:fill="auto"/>
            <w:vAlign w:val="center"/>
            <w:hideMark/>
          </w:tcPr>
          <w:p w14:paraId="53D8B753"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BFDCF08" w14:textId="77777777" w:rsidR="0097090C" w:rsidRPr="004C475C" w:rsidRDefault="0097090C" w:rsidP="0097090C">
            <w:pPr>
              <w:jc w:val="right"/>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vAlign w:val="center"/>
            <w:hideMark/>
          </w:tcPr>
          <w:p w14:paraId="12FC449E" w14:textId="77777777" w:rsidR="0097090C" w:rsidRPr="004C475C" w:rsidRDefault="0097090C" w:rsidP="0097090C">
            <w:pPr>
              <w:jc w:val="right"/>
              <w:rPr>
                <w:rFonts w:cs="Arial"/>
                <w:color w:val="000000"/>
              </w:rPr>
            </w:pPr>
          </w:p>
        </w:tc>
      </w:tr>
      <w:tr w:rsidR="0097090C" w:rsidRPr="004C475C" w14:paraId="1358DC59" w14:textId="77777777" w:rsidTr="0097090C">
        <w:trPr>
          <w:trHeight w:val="255"/>
        </w:trPr>
        <w:tc>
          <w:tcPr>
            <w:tcW w:w="6095" w:type="dxa"/>
            <w:tcBorders>
              <w:top w:val="nil"/>
              <w:left w:val="nil"/>
              <w:bottom w:val="nil"/>
              <w:right w:val="nil"/>
            </w:tcBorders>
            <w:shd w:val="clear" w:color="auto" w:fill="auto"/>
            <w:vAlign w:val="center"/>
            <w:hideMark/>
          </w:tcPr>
          <w:p w14:paraId="43547FBB" w14:textId="77777777" w:rsidR="0097090C" w:rsidRPr="004C475C" w:rsidRDefault="0097090C" w:rsidP="0097090C">
            <w:pPr>
              <w:rPr>
                <w:rFonts w:cs="Arial"/>
                <w:color w:val="000000"/>
              </w:rPr>
            </w:pPr>
            <w:r w:rsidRPr="004C475C">
              <w:rPr>
                <w:rFonts w:cs="Arial"/>
                <w:color w:val="000000"/>
              </w:rPr>
              <w:t>Salaries and Associated Costs</w:t>
            </w:r>
          </w:p>
        </w:tc>
        <w:tc>
          <w:tcPr>
            <w:tcW w:w="850" w:type="dxa"/>
            <w:tcBorders>
              <w:top w:val="nil"/>
              <w:left w:val="nil"/>
              <w:bottom w:val="nil"/>
              <w:right w:val="nil"/>
            </w:tcBorders>
            <w:shd w:val="clear" w:color="auto" w:fill="auto"/>
            <w:vAlign w:val="center"/>
            <w:hideMark/>
          </w:tcPr>
          <w:p w14:paraId="1BB50FAA"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C26A15C" w14:textId="77777777" w:rsidR="0097090C" w:rsidRPr="004C475C" w:rsidRDefault="0097090C" w:rsidP="0097090C">
            <w:pPr>
              <w:jc w:val="right"/>
              <w:rPr>
                <w:rFonts w:cs="Arial"/>
                <w:color w:val="000000"/>
              </w:rPr>
            </w:pPr>
            <w:r w:rsidRPr="004C475C">
              <w:rPr>
                <w:rFonts w:cs="Arial"/>
                <w:color w:val="000000"/>
              </w:rPr>
              <w:t>(41,766)</w:t>
            </w:r>
          </w:p>
        </w:tc>
        <w:tc>
          <w:tcPr>
            <w:tcW w:w="1267" w:type="dxa"/>
            <w:tcBorders>
              <w:top w:val="nil"/>
              <w:left w:val="nil"/>
              <w:bottom w:val="nil"/>
              <w:right w:val="nil"/>
            </w:tcBorders>
            <w:shd w:val="clear" w:color="auto" w:fill="auto"/>
            <w:vAlign w:val="center"/>
            <w:hideMark/>
          </w:tcPr>
          <w:p w14:paraId="41090D87" w14:textId="77777777" w:rsidR="0097090C" w:rsidRPr="004C475C" w:rsidRDefault="0097090C" w:rsidP="0097090C">
            <w:pPr>
              <w:jc w:val="right"/>
              <w:rPr>
                <w:rFonts w:cs="Arial"/>
                <w:color w:val="000000"/>
              </w:rPr>
            </w:pPr>
            <w:r w:rsidRPr="004C475C">
              <w:rPr>
                <w:rFonts w:cs="Arial"/>
                <w:color w:val="000000"/>
              </w:rPr>
              <w:t>(40,318)</w:t>
            </w:r>
          </w:p>
        </w:tc>
      </w:tr>
      <w:tr w:rsidR="0097090C" w:rsidRPr="004C475C" w14:paraId="6478F82C" w14:textId="77777777" w:rsidTr="0097090C">
        <w:trPr>
          <w:trHeight w:val="255"/>
        </w:trPr>
        <w:tc>
          <w:tcPr>
            <w:tcW w:w="6095" w:type="dxa"/>
            <w:tcBorders>
              <w:top w:val="nil"/>
              <w:left w:val="nil"/>
              <w:bottom w:val="nil"/>
              <w:right w:val="nil"/>
            </w:tcBorders>
            <w:shd w:val="clear" w:color="auto" w:fill="auto"/>
            <w:vAlign w:val="center"/>
            <w:hideMark/>
          </w:tcPr>
          <w:p w14:paraId="5309EFD0" w14:textId="77777777" w:rsidR="0097090C" w:rsidRPr="004C475C" w:rsidRDefault="0097090C" w:rsidP="0097090C">
            <w:pPr>
              <w:rPr>
                <w:rFonts w:cs="Arial"/>
                <w:color w:val="000000"/>
              </w:rPr>
            </w:pPr>
            <w:r w:rsidRPr="004C475C">
              <w:rPr>
                <w:rFonts w:cs="Arial"/>
                <w:color w:val="000000"/>
              </w:rPr>
              <w:t>Operating Expenses</w:t>
            </w:r>
          </w:p>
        </w:tc>
        <w:tc>
          <w:tcPr>
            <w:tcW w:w="850" w:type="dxa"/>
            <w:tcBorders>
              <w:top w:val="nil"/>
              <w:left w:val="nil"/>
              <w:bottom w:val="nil"/>
              <w:right w:val="nil"/>
            </w:tcBorders>
            <w:shd w:val="clear" w:color="auto" w:fill="auto"/>
            <w:vAlign w:val="center"/>
            <w:hideMark/>
          </w:tcPr>
          <w:p w14:paraId="3F41E238"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D904826" w14:textId="77777777" w:rsidR="0097090C" w:rsidRPr="004C475C" w:rsidRDefault="0097090C" w:rsidP="0097090C">
            <w:pPr>
              <w:jc w:val="right"/>
              <w:rPr>
                <w:rFonts w:cs="Arial"/>
                <w:color w:val="000000"/>
              </w:rPr>
            </w:pPr>
            <w:r w:rsidRPr="004C475C">
              <w:rPr>
                <w:rFonts w:cs="Arial"/>
                <w:color w:val="000000"/>
              </w:rPr>
              <w:t>(12,954)</w:t>
            </w:r>
          </w:p>
        </w:tc>
        <w:tc>
          <w:tcPr>
            <w:tcW w:w="1267" w:type="dxa"/>
            <w:tcBorders>
              <w:top w:val="nil"/>
              <w:left w:val="nil"/>
              <w:bottom w:val="nil"/>
              <w:right w:val="nil"/>
            </w:tcBorders>
            <w:shd w:val="clear" w:color="auto" w:fill="auto"/>
            <w:vAlign w:val="center"/>
            <w:hideMark/>
          </w:tcPr>
          <w:p w14:paraId="032CB06D" w14:textId="77777777" w:rsidR="0097090C" w:rsidRPr="004C475C" w:rsidRDefault="0097090C" w:rsidP="0097090C">
            <w:pPr>
              <w:jc w:val="right"/>
              <w:rPr>
                <w:rFonts w:cs="Arial"/>
                <w:color w:val="000000"/>
              </w:rPr>
            </w:pPr>
            <w:r w:rsidRPr="004C475C">
              <w:rPr>
                <w:rFonts w:cs="Arial"/>
                <w:color w:val="000000"/>
              </w:rPr>
              <w:t>(16,270)</w:t>
            </w:r>
          </w:p>
        </w:tc>
      </w:tr>
      <w:tr w:rsidR="0097090C" w:rsidRPr="004C475C" w14:paraId="65E78AF7" w14:textId="77777777" w:rsidTr="0097090C">
        <w:trPr>
          <w:trHeight w:val="255"/>
        </w:trPr>
        <w:tc>
          <w:tcPr>
            <w:tcW w:w="6095" w:type="dxa"/>
            <w:tcBorders>
              <w:top w:val="nil"/>
              <w:left w:val="nil"/>
              <w:bottom w:val="nil"/>
              <w:right w:val="nil"/>
            </w:tcBorders>
            <w:shd w:val="clear" w:color="auto" w:fill="auto"/>
            <w:vAlign w:val="center"/>
            <w:hideMark/>
          </w:tcPr>
          <w:p w14:paraId="0FD5A122" w14:textId="77777777" w:rsidR="0097090C" w:rsidRPr="004C475C" w:rsidRDefault="0097090C" w:rsidP="0097090C">
            <w:pPr>
              <w:rPr>
                <w:rFonts w:cs="Arial"/>
                <w:color w:val="000000"/>
              </w:rPr>
            </w:pPr>
            <w:r w:rsidRPr="004C475C">
              <w:rPr>
                <w:rFonts w:cs="Arial"/>
                <w:color w:val="000000"/>
              </w:rPr>
              <w:t>Building and Facilities</w:t>
            </w:r>
          </w:p>
        </w:tc>
        <w:tc>
          <w:tcPr>
            <w:tcW w:w="850" w:type="dxa"/>
            <w:tcBorders>
              <w:top w:val="nil"/>
              <w:left w:val="nil"/>
              <w:bottom w:val="nil"/>
              <w:right w:val="nil"/>
            </w:tcBorders>
            <w:shd w:val="clear" w:color="auto" w:fill="auto"/>
            <w:vAlign w:val="center"/>
            <w:hideMark/>
          </w:tcPr>
          <w:p w14:paraId="1193441C"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9A8A6D5" w14:textId="77777777" w:rsidR="0097090C" w:rsidRPr="004C475C" w:rsidRDefault="0097090C" w:rsidP="0097090C">
            <w:pPr>
              <w:jc w:val="right"/>
              <w:rPr>
                <w:rFonts w:cs="Arial"/>
                <w:color w:val="000000"/>
              </w:rPr>
            </w:pPr>
            <w:r w:rsidRPr="004C475C">
              <w:rPr>
                <w:rFonts w:cs="Arial"/>
                <w:color w:val="000000"/>
              </w:rPr>
              <w:t>(13,339)</w:t>
            </w:r>
          </w:p>
        </w:tc>
        <w:tc>
          <w:tcPr>
            <w:tcW w:w="1267" w:type="dxa"/>
            <w:tcBorders>
              <w:top w:val="nil"/>
              <w:left w:val="nil"/>
              <w:bottom w:val="nil"/>
              <w:right w:val="nil"/>
            </w:tcBorders>
            <w:shd w:val="clear" w:color="auto" w:fill="auto"/>
            <w:vAlign w:val="center"/>
            <w:hideMark/>
          </w:tcPr>
          <w:p w14:paraId="36153037" w14:textId="77777777" w:rsidR="0097090C" w:rsidRPr="004C475C" w:rsidRDefault="0097090C" w:rsidP="0097090C">
            <w:pPr>
              <w:jc w:val="right"/>
              <w:rPr>
                <w:rFonts w:cs="Arial"/>
                <w:color w:val="000000"/>
              </w:rPr>
            </w:pPr>
            <w:r w:rsidRPr="004C475C">
              <w:rPr>
                <w:rFonts w:cs="Arial"/>
                <w:color w:val="000000"/>
              </w:rPr>
              <w:t>(12,446)</w:t>
            </w:r>
          </w:p>
        </w:tc>
      </w:tr>
      <w:tr w:rsidR="0097090C" w:rsidRPr="004C475C" w14:paraId="2E3C4E62" w14:textId="77777777" w:rsidTr="0097090C">
        <w:trPr>
          <w:trHeight w:val="255"/>
        </w:trPr>
        <w:tc>
          <w:tcPr>
            <w:tcW w:w="6095" w:type="dxa"/>
            <w:tcBorders>
              <w:top w:val="nil"/>
              <w:left w:val="nil"/>
              <w:bottom w:val="nil"/>
              <w:right w:val="nil"/>
            </w:tcBorders>
            <w:shd w:val="clear" w:color="auto" w:fill="auto"/>
            <w:vAlign w:val="center"/>
            <w:hideMark/>
          </w:tcPr>
          <w:p w14:paraId="7ECB0F87" w14:textId="77777777" w:rsidR="0097090C" w:rsidRPr="004C475C" w:rsidRDefault="0097090C" w:rsidP="0097090C">
            <w:pPr>
              <w:rPr>
                <w:rFonts w:cs="Arial"/>
                <w:color w:val="000000"/>
              </w:rPr>
            </w:pPr>
            <w:r w:rsidRPr="004C475C">
              <w:rPr>
                <w:rFonts w:cs="Arial"/>
                <w:color w:val="000000"/>
              </w:rPr>
              <w:t>Cost of Goods for Resale</w:t>
            </w:r>
          </w:p>
        </w:tc>
        <w:tc>
          <w:tcPr>
            <w:tcW w:w="850" w:type="dxa"/>
            <w:tcBorders>
              <w:top w:val="nil"/>
              <w:left w:val="nil"/>
              <w:bottom w:val="nil"/>
              <w:right w:val="nil"/>
            </w:tcBorders>
            <w:shd w:val="clear" w:color="auto" w:fill="auto"/>
            <w:vAlign w:val="center"/>
            <w:hideMark/>
          </w:tcPr>
          <w:p w14:paraId="4F1F9A2A"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A6A1B4C" w14:textId="77777777" w:rsidR="0097090C" w:rsidRPr="004C475C" w:rsidRDefault="0097090C" w:rsidP="0097090C">
            <w:pPr>
              <w:jc w:val="right"/>
              <w:rPr>
                <w:rFonts w:cs="Arial"/>
                <w:color w:val="000000"/>
              </w:rPr>
            </w:pPr>
            <w:r w:rsidRPr="004C475C">
              <w:rPr>
                <w:rFonts w:cs="Arial"/>
                <w:color w:val="000000"/>
              </w:rPr>
              <w:t>(1,516)</w:t>
            </w:r>
          </w:p>
        </w:tc>
        <w:tc>
          <w:tcPr>
            <w:tcW w:w="1267" w:type="dxa"/>
            <w:tcBorders>
              <w:top w:val="nil"/>
              <w:left w:val="nil"/>
              <w:bottom w:val="nil"/>
              <w:right w:val="nil"/>
            </w:tcBorders>
            <w:shd w:val="clear" w:color="auto" w:fill="auto"/>
            <w:vAlign w:val="center"/>
            <w:hideMark/>
          </w:tcPr>
          <w:p w14:paraId="23A5E484" w14:textId="77777777" w:rsidR="0097090C" w:rsidRPr="004C475C" w:rsidRDefault="0097090C" w:rsidP="0097090C">
            <w:pPr>
              <w:jc w:val="right"/>
              <w:rPr>
                <w:rFonts w:cs="Arial"/>
                <w:color w:val="000000"/>
              </w:rPr>
            </w:pPr>
            <w:r w:rsidRPr="004C475C">
              <w:rPr>
                <w:rFonts w:cs="Arial"/>
                <w:color w:val="000000"/>
              </w:rPr>
              <w:t>(1,383)</w:t>
            </w:r>
          </w:p>
        </w:tc>
      </w:tr>
      <w:tr w:rsidR="0097090C" w:rsidRPr="004C475C" w14:paraId="6AB29D26" w14:textId="77777777" w:rsidTr="0097090C">
        <w:trPr>
          <w:trHeight w:val="255"/>
        </w:trPr>
        <w:tc>
          <w:tcPr>
            <w:tcW w:w="6095" w:type="dxa"/>
            <w:tcBorders>
              <w:top w:val="nil"/>
              <w:left w:val="nil"/>
              <w:bottom w:val="nil"/>
              <w:right w:val="nil"/>
            </w:tcBorders>
            <w:shd w:val="clear" w:color="auto" w:fill="auto"/>
            <w:vAlign w:val="center"/>
            <w:hideMark/>
          </w:tcPr>
          <w:p w14:paraId="5A97C271" w14:textId="77777777" w:rsidR="0097090C" w:rsidRPr="004C475C" w:rsidRDefault="0097090C" w:rsidP="0097090C">
            <w:pPr>
              <w:rPr>
                <w:rFonts w:cs="Arial"/>
                <w:color w:val="000000"/>
              </w:rPr>
            </w:pPr>
            <w:r w:rsidRPr="004C475C">
              <w:rPr>
                <w:rFonts w:cs="Arial"/>
                <w:color w:val="000000"/>
              </w:rPr>
              <w:t>Finance Costs</w:t>
            </w:r>
          </w:p>
        </w:tc>
        <w:tc>
          <w:tcPr>
            <w:tcW w:w="850" w:type="dxa"/>
            <w:tcBorders>
              <w:top w:val="nil"/>
              <w:left w:val="nil"/>
              <w:bottom w:val="nil"/>
              <w:right w:val="nil"/>
            </w:tcBorders>
            <w:shd w:val="clear" w:color="auto" w:fill="auto"/>
            <w:vAlign w:val="center"/>
            <w:hideMark/>
          </w:tcPr>
          <w:p w14:paraId="0B0B55C6"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4CE655E9" w14:textId="77777777" w:rsidR="0097090C" w:rsidRPr="004C475C" w:rsidRDefault="0097090C" w:rsidP="0097090C">
            <w:pPr>
              <w:jc w:val="right"/>
              <w:rPr>
                <w:rFonts w:cs="Arial"/>
                <w:color w:val="000000"/>
              </w:rPr>
            </w:pPr>
            <w:r w:rsidRPr="004C475C">
              <w:rPr>
                <w:rFonts w:cs="Arial"/>
                <w:color w:val="000000"/>
              </w:rPr>
              <w:t>(19)</w:t>
            </w:r>
          </w:p>
        </w:tc>
        <w:tc>
          <w:tcPr>
            <w:tcW w:w="1267" w:type="dxa"/>
            <w:tcBorders>
              <w:top w:val="nil"/>
              <w:left w:val="nil"/>
              <w:bottom w:val="nil"/>
              <w:right w:val="nil"/>
            </w:tcBorders>
            <w:shd w:val="clear" w:color="auto" w:fill="auto"/>
            <w:vAlign w:val="center"/>
            <w:hideMark/>
          </w:tcPr>
          <w:p w14:paraId="3B7AA256" w14:textId="77777777" w:rsidR="0097090C" w:rsidRPr="004C475C" w:rsidRDefault="0097090C" w:rsidP="0097090C">
            <w:pPr>
              <w:jc w:val="right"/>
              <w:rPr>
                <w:rFonts w:cs="Arial"/>
                <w:color w:val="000000"/>
              </w:rPr>
            </w:pPr>
            <w:r w:rsidRPr="004C475C">
              <w:rPr>
                <w:rFonts w:cs="Arial"/>
                <w:color w:val="000000"/>
              </w:rPr>
              <w:t>(19)</w:t>
            </w:r>
          </w:p>
        </w:tc>
      </w:tr>
      <w:tr w:rsidR="0097090C" w:rsidRPr="004C475C" w14:paraId="39494AD0" w14:textId="77777777" w:rsidTr="0097090C">
        <w:trPr>
          <w:trHeight w:val="255"/>
        </w:trPr>
        <w:tc>
          <w:tcPr>
            <w:tcW w:w="6095" w:type="dxa"/>
            <w:tcBorders>
              <w:top w:val="nil"/>
              <w:left w:val="nil"/>
              <w:bottom w:val="nil"/>
              <w:right w:val="nil"/>
            </w:tcBorders>
            <w:shd w:val="clear" w:color="auto" w:fill="auto"/>
            <w:vAlign w:val="center"/>
            <w:hideMark/>
          </w:tcPr>
          <w:p w14:paraId="6143A7D3" w14:textId="77777777" w:rsidR="0097090C" w:rsidRPr="004C475C" w:rsidRDefault="0097090C" w:rsidP="0097090C">
            <w:pPr>
              <w:rPr>
                <w:rFonts w:cs="Arial"/>
                <w:color w:val="000000"/>
              </w:rPr>
            </w:pPr>
            <w:r w:rsidRPr="004C475C">
              <w:rPr>
                <w:rFonts w:cs="Arial"/>
                <w:color w:val="000000"/>
              </w:rPr>
              <w:t>Goods and Services Tax on Expenditure</w:t>
            </w:r>
          </w:p>
        </w:tc>
        <w:tc>
          <w:tcPr>
            <w:tcW w:w="850" w:type="dxa"/>
            <w:tcBorders>
              <w:top w:val="nil"/>
              <w:left w:val="nil"/>
              <w:bottom w:val="nil"/>
              <w:right w:val="nil"/>
            </w:tcBorders>
            <w:shd w:val="clear" w:color="auto" w:fill="auto"/>
            <w:vAlign w:val="center"/>
            <w:hideMark/>
          </w:tcPr>
          <w:p w14:paraId="7B8A2E81"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F26F76E" w14:textId="77777777" w:rsidR="0097090C" w:rsidRPr="004C475C" w:rsidRDefault="0097090C" w:rsidP="0097090C">
            <w:pPr>
              <w:jc w:val="right"/>
              <w:rPr>
                <w:rFonts w:cs="Arial"/>
                <w:color w:val="000000"/>
              </w:rPr>
            </w:pPr>
            <w:r w:rsidRPr="004C475C">
              <w:rPr>
                <w:rFonts w:cs="Arial"/>
                <w:color w:val="000000"/>
              </w:rPr>
              <w:t>(3,856)</w:t>
            </w:r>
          </w:p>
        </w:tc>
        <w:tc>
          <w:tcPr>
            <w:tcW w:w="1267" w:type="dxa"/>
            <w:tcBorders>
              <w:top w:val="nil"/>
              <w:left w:val="nil"/>
              <w:bottom w:val="nil"/>
              <w:right w:val="nil"/>
            </w:tcBorders>
            <w:shd w:val="clear" w:color="auto" w:fill="auto"/>
            <w:vAlign w:val="center"/>
            <w:hideMark/>
          </w:tcPr>
          <w:p w14:paraId="14EF3ECF" w14:textId="77777777" w:rsidR="0097090C" w:rsidRPr="004C475C" w:rsidRDefault="0097090C" w:rsidP="0097090C">
            <w:pPr>
              <w:jc w:val="right"/>
              <w:rPr>
                <w:rFonts w:cs="Arial"/>
                <w:color w:val="000000"/>
              </w:rPr>
            </w:pPr>
            <w:r w:rsidRPr="004C475C">
              <w:rPr>
                <w:rFonts w:cs="Arial"/>
                <w:color w:val="000000"/>
              </w:rPr>
              <w:t>(3,363)</w:t>
            </w:r>
          </w:p>
        </w:tc>
      </w:tr>
      <w:tr w:rsidR="0097090C" w:rsidRPr="004C475C" w14:paraId="077E5E03"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4BC7EF91" w14:textId="77777777" w:rsidR="0097090C" w:rsidRPr="004C475C" w:rsidRDefault="0097090C" w:rsidP="0097090C">
            <w:pPr>
              <w:rPr>
                <w:rFonts w:cs="Arial"/>
                <w:b/>
                <w:bCs/>
                <w:color w:val="000000"/>
              </w:rPr>
            </w:pPr>
            <w:r w:rsidRPr="004C475C">
              <w:rPr>
                <w:rFonts w:cs="Arial"/>
                <w:b/>
                <w:bCs/>
                <w:color w:val="000000"/>
              </w:rPr>
              <w:t>Total Payments</w:t>
            </w:r>
          </w:p>
        </w:tc>
        <w:tc>
          <w:tcPr>
            <w:tcW w:w="850" w:type="dxa"/>
            <w:tcBorders>
              <w:top w:val="single" w:sz="4" w:space="0" w:color="auto"/>
              <w:left w:val="nil"/>
              <w:bottom w:val="single" w:sz="4" w:space="0" w:color="auto"/>
              <w:right w:val="nil"/>
            </w:tcBorders>
            <w:shd w:val="clear" w:color="auto" w:fill="auto"/>
            <w:vAlign w:val="center"/>
            <w:hideMark/>
          </w:tcPr>
          <w:p w14:paraId="503E7DFE" w14:textId="77777777" w:rsidR="0097090C" w:rsidRPr="004C475C" w:rsidRDefault="0097090C" w:rsidP="0097090C">
            <w:pPr>
              <w:rPr>
                <w:rFonts w:cs="Arial"/>
                <w:i/>
                <w:iCs/>
                <w:color w:val="000000"/>
              </w:rPr>
            </w:pPr>
            <w:r w:rsidRPr="004C475C">
              <w:rPr>
                <w:rFonts w:cs="Arial"/>
                <w:i/>
                <w:i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08745DD5" w14:textId="77777777" w:rsidR="0097090C" w:rsidRPr="004C475C" w:rsidRDefault="0097090C" w:rsidP="0097090C">
            <w:pPr>
              <w:jc w:val="right"/>
              <w:rPr>
                <w:rFonts w:cs="Arial"/>
                <w:b/>
                <w:bCs/>
                <w:color w:val="000000"/>
              </w:rPr>
            </w:pPr>
            <w:r w:rsidRPr="004C475C">
              <w:rPr>
                <w:rFonts w:cs="Arial"/>
                <w:b/>
                <w:bCs/>
                <w:color w:val="000000"/>
              </w:rPr>
              <w:t>(73,450)</w:t>
            </w:r>
          </w:p>
        </w:tc>
        <w:tc>
          <w:tcPr>
            <w:tcW w:w="1267" w:type="dxa"/>
            <w:tcBorders>
              <w:top w:val="single" w:sz="4" w:space="0" w:color="auto"/>
              <w:left w:val="nil"/>
              <w:bottom w:val="single" w:sz="4" w:space="0" w:color="auto"/>
              <w:right w:val="nil"/>
            </w:tcBorders>
            <w:shd w:val="clear" w:color="auto" w:fill="auto"/>
            <w:vAlign w:val="center"/>
            <w:hideMark/>
          </w:tcPr>
          <w:p w14:paraId="73405EB6" w14:textId="77777777" w:rsidR="0097090C" w:rsidRPr="004C475C" w:rsidRDefault="0097090C" w:rsidP="0097090C">
            <w:pPr>
              <w:jc w:val="right"/>
              <w:rPr>
                <w:rFonts w:cs="Arial"/>
                <w:b/>
                <w:bCs/>
                <w:color w:val="000000"/>
              </w:rPr>
            </w:pPr>
            <w:r w:rsidRPr="004C475C">
              <w:rPr>
                <w:rFonts w:cs="Arial"/>
                <w:b/>
                <w:bCs/>
                <w:color w:val="000000"/>
              </w:rPr>
              <w:t>(73,799)</w:t>
            </w:r>
          </w:p>
        </w:tc>
      </w:tr>
      <w:tr w:rsidR="0097090C" w:rsidRPr="004C475C" w14:paraId="126289CB" w14:textId="77777777" w:rsidTr="0097090C">
        <w:trPr>
          <w:trHeight w:val="285"/>
        </w:trPr>
        <w:tc>
          <w:tcPr>
            <w:tcW w:w="6095" w:type="dxa"/>
            <w:tcBorders>
              <w:top w:val="nil"/>
              <w:left w:val="nil"/>
              <w:bottom w:val="single" w:sz="4" w:space="0" w:color="auto"/>
              <w:right w:val="nil"/>
            </w:tcBorders>
            <w:shd w:val="clear" w:color="auto" w:fill="auto"/>
            <w:vAlign w:val="center"/>
            <w:hideMark/>
          </w:tcPr>
          <w:p w14:paraId="15E9502A" w14:textId="77777777" w:rsidR="0097090C" w:rsidRPr="004C475C" w:rsidRDefault="0097090C" w:rsidP="0097090C">
            <w:pPr>
              <w:rPr>
                <w:rFonts w:cs="Arial"/>
                <w:b/>
                <w:bCs/>
                <w:color w:val="000000"/>
              </w:rPr>
            </w:pPr>
            <w:r w:rsidRPr="004C475C">
              <w:rPr>
                <w:rFonts w:cs="Arial"/>
                <w:b/>
                <w:bCs/>
                <w:color w:val="000000"/>
              </w:rPr>
              <w:t>Net Cash Flows Provided by Operating Activities</w:t>
            </w:r>
          </w:p>
        </w:tc>
        <w:tc>
          <w:tcPr>
            <w:tcW w:w="850" w:type="dxa"/>
            <w:tcBorders>
              <w:top w:val="nil"/>
              <w:left w:val="nil"/>
              <w:bottom w:val="single" w:sz="4" w:space="0" w:color="auto"/>
              <w:right w:val="nil"/>
            </w:tcBorders>
            <w:shd w:val="clear" w:color="auto" w:fill="auto"/>
            <w:vAlign w:val="center"/>
            <w:hideMark/>
          </w:tcPr>
          <w:p w14:paraId="32B52224" w14:textId="77777777" w:rsidR="0097090C" w:rsidRPr="004C475C" w:rsidRDefault="0097090C" w:rsidP="0097090C">
            <w:pPr>
              <w:jc w:val="center"/>
              <w:rPr>
                <w:rFonts w:cs="Arial"/>
                <w:color w:val="000000"/>
              </w:rPr>
            </w:pPr>
            <w:r w:rsidRPr="004C475C">
              <w:rPr>
                <w:rFonts w:cs="Arial"/>
                <w:color w:val="000000"/>
              </w:rPr>
              <w:t>15(b)</w:t>
            </w:r>
          </w:p>
        </w:tc>
        <w:tc>
          <w:tcPr>
            <w:tcW w:w="1267" w:type="dxa"/>
            <w:tcBorders>
              <w:top w:val="nil"/>
              <w:left w:val="nil"/>
              <w:bottom w:val="single" w:sz="4" w:space="0" w:color="auto"/>
              <w:right w:val="nil"/>
            </w:tcBorders>
            <w:shd w:val="clear" w:color="000000" w:fill="D9D9D9"/>
            <w:vAlign w:val="center"/>
            <w:hideMark/>
          </w:tcPr>
          <w:p w14:paraId="69EB9279" w14:textId="77777777" w:rsidR="0097090C" w:rsidRPr="004C475C" w:rsidRDefault="0097090C" w:rsidP="0097090C">
            <w:pPr>
              <w:jc w:val="right"/>
              <w:rPr>
                <w:rFonts w:cs="Arial"/>
                <w:b/>
                <w:bCs/>
                <w:color w:val="000000"/>
              </w:rPr>
            </w:pPr>
            <w:r w:rsidRPr="004C475C">
              <w:rPr>
                <w:rFonts w:cs="Arial"/>
                <w:b/>
                <w:bCs/>
                <w:color w:val="000000"/>
              </w:rPr>
              <w:t>16,363</w:t>
            </w:r>
          </w:p>
        </w:tc>
        <w:tc>
          <w:tcPr>
            <w:tcW w:w="1267" w:type="dxa"/>
            <w:tcBorders>
              <w:top w:val="nil"/>
              <w:left w:val="nil"/>
              <w:bottom w:val="single" w:sz="4" w:space="0" w:color="auto"/>
              <w:right w:val="nil"/>
            </w:tcBorders>
            <w:shd w:val="clear" w:color="auto" w:fill="auto"/>
            <w:vAlign w:val="center"/>
            <w:hideMark/>
          </w:tcPr>
          <w:p w14:paraId="0D5F0C2B" w14:textId="77777777" w:rsidR="0097090C" w:rsidRPr="004C475C" w:rsidRDefault="0097090C" w:rsidP="0097090C">
            <w:pPr>
              <w:jc w:val="right"/>
              <w:rPr>
                <w:rFonts w:cs="Arial"/>
                <w:b/>
                <w:bCs/>
                <w:color w:val="000000"/>
              </w:rPr>
            </w:pPr>
            <w:r w:rsidRPr="004C475C">
              <w:rPr>
                <w:rFonts w:cs="Arial"/>
                <w:b/>
                <w:bCs/>
                <w:color w:val="000000"/>
              </w:rPr>
              <w:t>6,572</w:t>
            </w:r>
          </w:p>
        </w:tc>
      </w:tr>
      <w:tr w:rsidR="0097090C" w:rsidRPr="004C475C" w14:paraId="1FB0264C" w14:textId="77777777" w:rsidTr="0097090C">
        <w:trPr>
          <w:trHeight w:val="255"/>
        </w:trPr>
        <w:tc>
          <w:tcPr>
            <w:tcW w:w="6095" w:type="dxa"/>
            <w:tcBorders>
              <w:top w:val="nil"/>
              <w:left w:val="nil"/>
              <w:bottom w:val="nil"/>
              <w:right w:val="nil"/>
            </w:tcBorders>
            <w:shd w:val="clear" w:color="auto" w:fill="auto"/>
            <w:vAlign w:val="center"/>
            <w:hideMark/>
          </w:tcPr>
          <w:p w14:paraId="694CDEC0" w14:textId="77777777" w:rsidR="0097090C" w:rsidRPr="004C475C" w:rsidRDefault="0097090C" w:rsidP="0097090C">
            <w:pPr>
              <w:rPr>
                <w:rFonts w:cs="Arial"/>
                <w:color w:val="000000"/>
              </w:rPr>
            </w:pPr>
          </w:p>
        </w:tc>
        <w:tc>
          <w:tcPr>
            <w:tcW w:w="850" w:type="dxa"/>
            <w:tcBorders>
              <w:top w:val="nil"/>
              <w:left w:val="nil"/>
              <w:bottom w:val="nil"/>
              <w:right w:val="nil"/>
            </w:tcBorders>
            <w:shd w:val="clear" w:color="auto" w:fill="auto"/>
            <w:vAlign w:val="center"/>
            <w:hideMark/>
          </w:tcPr>
          <w:p w14:paraId="450A59D2"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924A09C" w14:textId="77777777" w:rsidR="0097090C" w:rsidRPr="004C475C" w:rsidRDefault="0097090C" w:rsidP="0097090C">
            <w:pPr>
              <w:jc w:val="right"/>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vAlign w:val="center"/>
            <w:hideMark/>
          </w:tcPr>
          <w:p w14:paraId="4D3259E9" w14:textId="77777777" w:rsidR="0097090C" w:rsidRPr="004C475C" w:rsidRDefault="0097090C" w:rsidP="0097090C">
            <w:pPr>
              <w:jc w:val="right"/>
              <w:rPr>
                <w:rFonts w:cs="Arial"/>
                <w:color w:val="000000"/>
              </w:rPr>
            </w:pPr>
          </w:p>
        </w:tc>
      </w:tr>
      <w:tr w:rsidR="0097090C" w:rsidRPr="004C475C" w14:paraId="30B14DCE" w14:textId="77777777" w:rsidTr="0097090C">
        <w:trPr>
          <w:trHeight w:val="255"/>
        </w:trPr>
        <w:tc>
          <w:tcPr>
            <w:tcW w:w="6095" w:type="dxa"/>
            <w:tcBorders>
              <w:top w:val="nil"/>
              <w:left w:val="nil"/>
              <w:bottom w:val="nil"/>
              <w:right w:val="nil"/>
            </w:tcBorders>
            <w:shd w:val="clear" w:color="auto" w:fill="auto"/>
            <w:vAlign w:val="center"/>
            <w:hideMark/>
          </w:tcPr>
          <w:p w14:paraId="43BA059B" w14:textId="77777777" w:rsidR="0097090C" w:rsidRPr="004C475C" w:rsidRDefault="0097090C" w:rsidP="0097090C">
            <w:pPr>
              <w:rPr>
                <w:rFonts w:cs="Arial"/>
                <w:b/>
                <w:bCs/>
                <w:color w:val="000000"/>
              </w:rPr>
            </w:pPr>
            <w:r>
              <w:rPr>
                <w:rFonts w:cs="Arial"/>
                <w:b/>
                <w:bCs/>
                <w:color w:val="000000"/>
              </w:rPr>
              <w:t>Cash Flows from Investing Activities</w:t>
            </w:r>
          </w:p>
        </w:tc>
        <w:tc>
          <w:tcPr>
            <w:tcW w:w="850" w:type="dxa"/>
            <w:tcBorders>
              <w:top w:val="nil"/>
              <w:left w:val="nil"/>
              <w:bottom w:val="nil"/>
              <w:right w:val="nil"/>
            </w:tcBorders>
            <w:shd w:val="clear" w:color="auto" w:fill="auto"/>
            <w:vAlign w:val="center"/>
            <w:hideMark/>
          </w:tcPr>
          <w:p w14:paraId="5275D689"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DB42DB3" w14:textId="77777777" w:rsidR="0097090C" w:rsidRPr="004C475C" w:rsidRDefault="0097090C" w:rsidP="0097090C">
            <w:pPr>
              <w:jc w:val="right"/>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vAlign w:val="center"/>
            <w:hideMark/>
          </w:tcPr>
          <w:p w14:paraId="5449DD08" w14:textId="77777777" w:rsidR="0097090C" w:rsidRPr="004C475C" w:rsidRDefault="0097090C" w:rsidP="0097090C">
            <w:pPr>
              <w:jc w:val="right"/>
              <w:rPr>
                <w:rFonts w:cs="Arial"/>
                <w:color w:val="000000"/>
              </w:rPr>
            </w:pPr>
          </w:p>
        </w:tc>
      </w:tr>
      <w:tr w:rsidR="0097090C" w:rsidRPr="004C475C" w14:paraId="78FAE6BE" w14:textId="77777777" w:rsidTr="0097090C">
        <w:trPr>
          <w:trHeight w:val="255"/>
        </w:trPr>
        <w:tc>
          <w:tcPr>
            <w:tcW w:w="6095" w:type="dxa"/>
            <w:tcBorders>
              <w:top w:val="nil"/>
              <w:left w:val="nil"/>
              <w:bottom w:val="nil"/>
              <w:right w:val="nil"/>
            </w:tcBorders>
            <w:shd w:val="clear" w:color="auto" w:fill="auto"/>
            <w:vAlign w:val="center"/>
            <w:hideMark/>
          </w:tcPr>
          <w:p w14:paraId="1D029FC5" w14:textId="77777777" w:rsidR="0097090C" w:rsidRPr="004C475C" w:rsidRDefault="0097090C" w:rsidP="0097090C">
            <w:pPr>
              <w:rPr>
                <w:rFonts w:cs="Arial"/>
                <w:color w:val="000000"/>
              </w:rPr>
            </w:pPr>
            <w:r w:rsidRPr="004C475C">
              <w:rPr>
                <w:rFonts w:cs="Arial"/>
                <w:color w:val="000000"/>
              </w:rPr>
              <w:t>Proceeds from sales of assets</w:t>
            </w:r>
          </w:p>
        </w:tc>
        <w:tc>
          <w:tcPr>
            <w:tcW w:w="850" w:type="dxa"/>
            <w:tcBorders>
              <w:top w:val="nil"/>
              <w:left w:val="nil"/>
              <w:bottom w:val="nil"/>
              <w:right w:val="nil"/>
            </w:tcBorders>
            <w:shd w:val="clear" w:color="auto" w:fill="auto"/>
            <w:vAlign w:val="center"/>
            <w:hideMark/>
          </w:tcPr>
          <w:p w14:paraId="08B80A6F"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774EAD7" w14:textId="77777777" w:rsidR="0097090C" w:rsidRPr="004C475C" w:rsidRDefault="0097090C" w:rsidP="0097090C">
            <w:pPr>
              <w:jc w:val="right"/>
              <w:rPr>
                <w:rFonts w:cs="Arial"/>
                <w:color w:val="000000"/>
              </w:rPr>
            </w:pPr>
            <w:r w:rsidRPr="004C475C">
              <w:rPr>
                <w:rFonts w:cs="Arial"/>
                <w:color w:val="000000"/>
              </w:rPr>
              <w:t>144</w:t>
            </w:r>
          </w:p>
        </w:tc>
        <w:tc>
          <w:tcPr>
            <w:tcW w:w="1267" w:type="dxa"/>
            <w:tcBorders>
              <w:top w:val="nil"/>
              <w:left w:val="nil"/>
              <w:bottom w:val="nil"/>
              <w:right w:val="nil"/>
            </w:tcBorders>
            <w:shd w:val="clear" w:color="auto" w:fill="auto"/>
            <w:vAlign w:val="center"/>
            <w:hideMark/>
          </w:tcPr>
          <w:p w14:paraId="7B61FB84" w14:textId="77777777" w:rsidR="0097090C" w:rsidRPr="004C475C" w:rsidRDefault="0097090C" w:rsidP="0097090C">
            <w:pPr>
              <w:jc w:val="right"/>
              <w:rPr>
                <w:rFonts w:cs="Arial"/>
                <w:color w:val="000000"/>
              </w:rPr>
            </w:pPr>
            <w:r w:rsidRPr="004C475C">
              <w:rPr>
                <w:rFonts w:cs="Arial"/>
                <w:color w:val="000000"/>
              </w:rPr>
              <w:t>(8)</w:t>
            </w:r>
          </w:p>
        </w:tc>
      </w:tr>
      <w:tr w:rsidR="0097090C" w:rsidRPr="004C475C" w14:paraId="643AF878" w14:textId="77777777" w:rsidTr="0097090C">
        <w:trPr>
          <w:trHeight w:val="255"/>
        </w:trPr>
        <w:tc>
          <w:tcPr>
            <w:tcW w:w="6095" w:type="dxa"/>
            <w:tcBorders>
              <w:top w:val="nil"/>
              <w:left w:val="nil"/>
              <w:bottom w:val="nil"/>
              <w:right w:val="nil"/>
            </w:tcBorders>
            <w:shd w:val="clear" w:color="auto" w:fill="auto"/>
            <w:vAlign w:val="center"/>
            <w:hideMark/>
          </w:tcPr>
          <w:p w14:paraId="4C730786" w14:textId="77777777" w:rsidR="0097090C" w:rsidRPr="004C475C" w:rsidRDefault="0097090C" w:rsidP="0097090C">
            <w:pPr>
              <w:rPr>
                <w:rFonts w:cs="Arial"/>
                <w:color w:val="000000"/>
              </w:rPr>
            </w:pPr>
            <w:r w:rsidRPr="004C475C">
              <w:rPr>
                <w:rFonts w:cs="Arial"/>
                <w:color w:val="000000"/>
              </w:rPr>
              <w:t>Payments for assets</w:t>
            </w:r>
          </w:p>
        </w:tc>
        <w:tc>
          <w:tcPr>
            <w:tcW w:w="850" w:type="dxa"/>
            <w:tcBorders>
              <w:top w:val="nil"/>
              <w:left w:val="nil"/>
              <w:bottom w:val="nil"/>
              <w:right w:val="nil"/>
            </w:tcBorders>
            <w:shd w:val="clear" w:color="auto" w:fill="auto"/>
            <w:vAlign w:val="center"/>
            <w:hideMark/>
          </w:tcPr>
          <w:p w14:paraId="73F48D4C"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7DD92DA" w14:textId="77777777" w:rsidR="0097090C" w:rsidRPr="004C475C" w:rsidRDefault="0097090C" w:rsidP="0097090C">
            <w:pPr>
              <w:jc w:val="right"/>
              <w:rPr>
                <w:rFonts w:cs="Arial"/>
                <w:color w:val="000000"/>
              </w:rPr>
            </w:pPr>
            <w:r w:rsidRPr="004C475C">
              <w:rPr>
                <w:rFonts w:cs="Arial"/>
                <w:color w:val="000000"/>
              </w:rPr>
              <w:t>(9,826)</w:t>
            </w:r>
          </w:p>
        </w:tc>
        <w:tc>
          <w:tcPr>
            <w:tcW w:w="1267" w:type="dxa"/>
            <w:tcBorders>
              <w:top w:val="nil"/>
              <w:left w:val="nil"/>
              <w:bottom w:val="nil"/>
              <w:right w:val="nil"/>
            </w:tcBorders>
            <w:shd w:val="clear" w:color="auto" w:fill="auto"/>
            <w:vAlign w:val="center"/>
            <w:hideMark/>
          </w:tcPr>
          <w:p w14:paraId="5A575A95" w14:textId="77777777" w:rsidR="0097090C" w:rsidRPr="004C475C" w:rsidRDefault="0097090C" w:rsidP="0097090C">
            <w:pPr>
              <w:jc w:val="right"/>
              <w:rPr>
                <w:rFonts w:cs="Arial"/>
                <w:color w:val="000000"/>
              </w:rPr>
            </w:pPr>
            <w:r w:rsidRPr="004C475C">
              <w:rPr>
                <w:rFonts w:cs="Arial"/>
                <w:color w:val="000000"/>
              </w:rPr>
              <w:t>(5,466)</w:t>
            </w:r>
          </w:p>
        </w:tc>
      </w:tr>
      <w:tr w:rsidR="0097090C" w:rsidRPr="004C475C" w14:paraId="1186E402"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455AF47A" w14:textId="77777777" w:rsidR="0097090C" w:rsidRPr="004C475C" w:rsidRDefault="0097090C" w:rsidP="0097090C">
            <w:pPr>
              <w:rPr>
                <w:rFonts w:cs="Arial"/>
                <w:b/>
                <w:bCs/>
                <w:color w:val="000000"/>
              </w:rPr>
            </w:pPr>
            <w:r w:rsidRPr="004C475C">
              <w:rPr>
                <w:rFonts w:cs="Arial"/>
                <w:b/>
                <w:bCs/>
                <w:color w:val="000000"/>
              </w:rPr>
              <w:t>Net Cash Flows Used in Investing Activities</w:t>
            </w:r>
          </w:p>
        </w:tc>
        <w:tc>
          <w:tcPr>
            <w:tcW w:w="850" w:type="dxa"/>
            <w:tcBorders>
              <w:top w:val="single" w:sz="4" w:space="0" w:color="auto"/>
              <w:left w:val="nil"/>
              <w:bottom w:val="single" w:sz="4" w:space="0" w:color="auto"/>
              <w:right w:val="nil"/>
            </w:tcBorders>
            <w:shd w:val="clear" w:color="auto" w:fill="auto"/>
            <w:vAlign w:val="center"/>
            <w:hideMark/>
          </w:tcPr>
          <w:p w14:paraId="4D61C0D7" w14:textId="77777777" w:rsidR="0097090C" w:rsidRPr="004C475C" w:rsidRDefault="0097090C" w:rsidP="0097090C">
            <w:pPr>
              <w:jc w:val="center"/>
              <w:rPr>
                <w:rFonts w:cs="Arial"/>
                <w:color w:val="000000"/>
              </w:rPr>
            </w:pPr>
            <w:r w:rsidRPr="004C475C">
              <w:rPr>
                <w:rFonts w:cs="Arial"/>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3A2FCDC0" w14:textId="77777777" w:rsidR="0097090C" w:rsidRPr="004C475C" w:rsidRDefault="0097090C" w:rsidP="0097090C">
            <w:pPr>
              <w:jc w:val="right"/>
              <w:rPr>
                <w:rFonts w:cs="Arial"/>
                <w:b/>
                <w:bCs/>
                <w:color w:val="000000"/>
              </w:rPr>
            </w:pPr>
            <w:r w:rsidRPr="004C475C">
              <w:rPr>
                <w:rFonts w:cs="Arial"/>
                <w:b/>
                <w:bCs/>
                <w:color w:val="000000"/>
              </w:rPr>
              <w:t>(9,682)</w:t>
            </w:r>
          </w:p>
        </w:tc>
        <w:tc>
          <w:tcPr>
            <w:tcW w:w="1267" w:type="dxa"/>
            <w:tcBorders>
              <w:top w:val="single" w:sz="4" w:space="0" w:color="auto"/>
              <w:left w:val="nil"/>
              <w:bottom w:val="single" w:sz="4" w:space="0" w:color="auto"/>
              <w:right w:val="nil"/>
            </w:tcBorders>
            <w:shd w:val="clear" w:color="auto" w:fill="auto"/>
            <w:vAlign w:val="center"/>
            <w:hideMark/>
          </w:tcPr>
          <w:p w14:paraId="56F509D4" w14:textId="77777777" w:rsidR="0097090C" w:rsidRPr="004C475C" w:rsidRDefault="0097090C" w:rsidP="0097090C">
            <w:pPr>
              <w:jc w:val="right"/>
              <w:rPr>
                <w:rFonts w:cs="Arial"/>
                <w:b/>
                <w:bCs/>
                <w:color w:val="000000"/>
              </w:rPr>
            </w:pPr>
            <w:r w:rsidRPr="004C475C">
              <w:rPr>
                <w:rFonts w:cs="Arial"/>
                <w:b/>
                <w:bCs/>
                <w:color w:val="000000"/>
              </w:rPr>
              <w:t>(5,474)</w:t>
            </w:r>
          </w:p>
        </w:tc>
      </w:tr>
      <w:tr w:rsidR="0097090C" w:rsidRPr="004C475C" w14:paraId="1F7EAA75" w14:textId="77777777" w:rsidTr="0097090C">
        <w:trPr>
          <w:trHeight w:val="255"/>
        </w:trPr>
        <w:tc>
          <w:tcPr>
            <w:tcW w:w="6095" w:type="dxa"/>
            <w:tcBorders>
              <w:top w:val="nil"/>
              <w:left w:val="nil"/>
              <w:bottom w:val="nil"/>
              <w:right w:val="nil"/>
            </w:tcBorders>
            <w:shd w:val="clear" w:color="auto" w:fill="auto"/>
            <w:vAlign w:val="center"/>
            <w:hideMark/>
          </w:tcPr>
          <w:p w14:paraId="7EE5D9F8" w14:textId="77777777" w:rsidR="0097090C" w:rsidRPr="004C475C" w:rsidRDefault="0097090C" w:rsidP="0097090C">
            <w:pPr>
              <w:rPr>
                <w:rFonts w:cs="Arial"/>
                <w:color w:val="000000"/>
              </w:rPr>
            </w:pPr>
          </w:p>
        </w:tc>
        <w:tc>
          <w:tcPr>
            <w:tcW w:w="850" w:type="dxa"/>
            <w:tcBorders>
              <w:top w:val="nil"/>
              <w:left w:val="nil"/>
              <w:bottom w:val="nil"/>
              <w:right w:val="nil"/>
            </w:tcBorders>
            <w:shd w:val="clear" w:color="auto" w:fill="auto"/>
            <w:vAlign w:val="center"/>
            <w:hideMark/>
          </w:tcPr>
          <w:p w14:paraId="52E7F69B"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7EC675C" w14:textId="77777777" w:rsidR="0097090C" w:rsidRPr="004C475C" w:rsidRDefault="0097090C" w:rsidP="0097090C">
            <w:pPr>
              <w:jc w:val="right"/>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vAlign w:val="center"/>
            <w:hideMark/>
          </w:tcPr>
          <w:p w14:paraId="3346001A" w14:textId="77777777" w:rsidR="0097090C" w:rsidRPr="004C475C" w:rsidRDefault="0097090C" w:rsidP="0097090C">
            <w:pPr>
              <w:jc w:val="right"/>
              <w:rPr>
                <w:rFonts w:cs="Arial"/>
                <w:color w:val="000000"/>
              </w:rPr>
            </w:pPr>
          </w:p>
        </w:tc>
      </w:tr>
      <w:tr w:rsidR="0097090C" w:rsidRPr="004C475C" w14:paraId="07BDFFAD" w14:textId="77777777" w:rsidTr="0097090C">
        <w:trPr>
          <w:trHeight w:val="255"/>
        </w:trPr>
        <w:tc>
          <w:tcPr>
            <w:tcW w:w="6095" w:type="dxa"/>
            <w:tcBorders>
              <w:top w:val="nil"/>
              <w:left w:val="nil"/>
              <w:bottom w:val="nil"/>
              <w:right w:val="nil"/>
            </w:tcBorders>
            <w:shd w:val="clear" w:color="auto" w:fill="auto"/>
            <w:vAlign w:val="center"/>
            <w:hideMark/>
          </w:tcPr>
          <w:p w14:paraId="595E0925" w14:textId="77777777" w:rsidR="0097090C" w:rsidRPr="004C475C" w:rsidRDefault="0097090C" w:rsidP="0097090C">
            <w:pPr>
              <w:rPr>
                <w:rFonts w:cs="Arial"/>
                <w:b/>
                <w:bCs/>
                <w:color w:val="000000"/>
              </w:rPr>
            </w:pPr>
            <w:r w:rsidRPr="004C475C">
              <w:rPr>
                <w:rFonts w:cs="Arial"/>
                <w:b/>
                <w:bCs/>
                <w:color w:val="000000"/>
              </w:rPr>
              <w:t>Cash Flows from Financing Activities</w:t>
            </w:r>
          </w:p>
        </w:tc>
        <w:tc>
          <w:tcPr>
            <w:tcW w:w="850" w:type="dxa"/>
            <w:tcBorders>
              <w:top w:val="nil"/>
              <w:left w:val="nil"/>
              <w:bottom w:val="nil"/>
              <w:right w:val="nil"/>
            </w:tcBorders>
            <w:shd w:val="clear" w:color="auto" w:fill="auto"/>
            <w:vAlign w:val="center"/>
            <w:hideMark/>
          </w:tcPr>
          <w:p w14:paraId="0791A497"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963E7A7" w14:textId="77777777" w:rsidR="0097090C" w:rsidRPr="004C475C" w:rsidRDefault="0097090C" w:rsidP="0097090C">
            <w:pPr>
              <w:jc w:val="right"/>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vAlign w:val="center"/>
            <w:hideMark/>
          </w:tcPr>
          <w:p w14:paraId="08BAF7B8" w14:textId="77777777" w:rsidR="0097090C" w:rsidRPr="004C475C" w:rsidRDefault="0097090C" w:rsidP="0097090C">
            <w:pPr>
              <w:jc w:val="right"/>
              <w:rPr>
                <w:rFonts w:cs="Arial"/>
                <w:color w:val="000000"/>
              </w:rPr>
            </w:pPr>
          </w:p>
        </w:tc>
      </w:tr>
      <w:tr w:rsidR="0097090C" w:rsidRPr="004C475C" w14:paraId="102DA5FB" w14:textId="77777777" w:rsidTr="0097090C">
        <w:trPr>
          <w:trHeight w:val="255"/>
        </w:trPr>
        <w:tc>
          <w:tcPr>
            <w:tcW w:w="6095" w:type="dxa"/>
            <w:tcBorders>
              <w:top w:val="nil"/>
              <w:left w:val="nil"/>
              <w:bottom w:val="nil"/>
              <w:right w:val="nil"/>
            </w:tcBorders>
            <w:shd w:val="clear" w:color="auto" w:fill="auto"/>
            <w:vAlign w:val="center"/>
            <w:hideMark/>
          </w:tcPr>
          <w:p w14:paraId="1F063B4F" w14:textId="77777777" w:rsidR="0097090C" w:rsidRPr="004C475C" w:rsidRDefault="0097090C" w:rsidP="0097090C">
            <w:pPr>
              <w:rPr>
                <w:rFonts w:cs="Arial"/>
                <w:color w:val="000000"/>
              </w:rPr>
            </w:pPr>
            <w:r w:rsidRPr="004C475C">
              <w:rPr>
                <w:rFonts w:cs="Arial"/>
                <w:color w:val="000000"/>
              </w:rPr>
              <w:t>Payments for Finance Leases</w:t>
            </w:r>
          </w:p>
        </w:tc>
        <w:tc>
          <w:tcPr>
            <w:tcW w:w="850" w:type="dxa"/>
            <w:tcBorders>
              <w:top w:val="nil"/>
              <w:left w:val="nil"/>
              <w:bottom w:val="nil"/>
              <w:right w:val="nil"/>
            </w:tcBorders>
            <w:shd w:val="clear" w:color="auto" w:fill="auto"/>
            <w:vAlign w:val="center"/>
            <w:hideMark/>
          </w:tcPr>
          <w:p w14:paraId="4D1E06A9"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3F26DBE" w14:textId="77777777" w:rsidR="0097090C" w:rsidRPr="004C475C" w:rsidRDefault="0097090C" w:rsidP="0097090C">
            <w:pPr>
              <w:jc w:val="right"/>
              <w:rPr>
                <w:rFonts w:cs="Arial"/>
                <w:color w:val="000000"/>
              </w:rPr>
            </w:pPr>
            <w:r w:rsidRPr="004C475C">
              <w:rPr>
                <w:rFonts w:cs="Arial"/>
                <w:color w:val="000000"/>
              </w:rPr>
              <w:t>(128)</w:t>
            </w:r>
          </w:p>
        </w:tc>
        <w:tc>
          <w:tcPr>
            <w:tcW w:w="1267" w:type="dxa"/>
            <w:tcBorders>
              <w:top w:val="nil"/>
              <w:left w:val="nil"/>
              <w:bottom w:val="nil"/>
              <w:right w:val="nil"/>
            </w:tcBorders>
            <w:shd w:val="clear" w:color="auto" w:fill="auto"/>
            <w:vAlign w:val="center"/>
            <w:hideMark/>
          </w:tcPr>
          <w:p w14:paraId="5668DE86" w14:textId="77777777" w:rsidR="0097090C" w:rsidRPr="004C475C" w:rsidRDefault="0097090C" w:rsidP="0097090C">
            <w:pPr>
              <w:jc w:val="right"/>
              <w:rPr>
                <w:rFonts w:cs="Arial"/>
                <w:color w:val="000000"/>
              </w:rPr>
            </w:pPr>
            <w:r w:rsidRPr="004C475C">
              <w:rPr>
                <w:rFonts w:cs="Arial"/>
                <w:color w:val="000000"/>
              </w:rPr>
              <w:t>(135)</w:t>
            </w:r>
          </w:p>
        </w:tc>
      </w:tr>
      <w:tr w:rsidR="0097090C" w:rsidRPr="004C475C" w14:paraId="6D1BE534" w14:textId="77777777" w:rsidTr="0097090C">
        <w:trPr>
          <w:trHeight w:val="255"/>
        </w:trPr>
        <w:tc>
          <w:tcPr>
            <w:tcW w:w="6095" w:type="dxa"/>
            <w:tcBorders>
              <w:top w:val="nil"/>
              <w:left w:val="nil"/>
              <w:bottom w:val="nil"/>
              <w:right w:val="nil"/>
            </w:tcBorders>
            <w:shd w:val="clear" w:color="auto" w:fill="auto"/>
            <w:vAlign w:val="center"/>
            <w:hideMark/>
          </w:tcPr>
          <w:p w14:paraId="424545DB" w14:textId="77777777" w:rsidR="0097090C" w:rsidRPr="004C475C" w:rsidRDefault="0097090C" w:rsidP="0097090C">
            <w:pPr>
              <w:rPr>
                <w:rFonts w:cs="Arial"/>
                <w:color w:val="000000"/>
              </w:rPr>
            </w:pPr>
            <w:r w:rsidRPr="004C475C">
              <w:rPr>
                <w:rFonts w:cs="Arial"/>
                <w:color w:val="000000"/>
              </w:rPr>
              <w:t>Capital Contribution received</w:t>
            </w:r>
          </w:p>
        </w:tc>
        <w:tc>
          <w:tcPr>
            <w:tcW w:w="850" w:type="dxa"/>
            <w:tcBorders>
              <w:top w:val="nil"/>
              <w:left w:val="nil"/>
              <w:bottom w:val="nil"/>
              <w:right w:val="nil"/>
            </w:tcBorders>
            <w:shd w:val="clear" w:color="auto" w:fill="auto"/>
            <w:vAlign w:val="center"/>
            <w:hideMark/>
          </w:tcPr>
          <w:p w14:paraId="7695BAD2"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692D0971" w14:textId="77777777" w:rsidR="0097090C" w:rsidRPr="004C475C" w:rsidRDefault="0097090C" w:rsidP="0097090C">
            <w:pPr>
              <w:jc w:val="right"/>
              <w:rPr>
                <w:rFonts w:cs="Arial"/>
                <w:color w:val="000000"/>
              </w:rPr>
            </w:pPr>
            <w:r w:rsidRPr="004C475C">
              <w:rPr>
                <w:rFonts w:cs="Arial"/>
                <w:color w:val="000000"/>
              </w:rPr>
              <w:t>4,000</w:t>
            </w:r>
          </w:p>
        </w:tc>
        <w:tc>
          <w:tcPr>
            <w:tcW w:w="1267" w:type="dxa"/>
            <w:tcBorders>
              <w:top w:val="nil"/>
              <w:left w:val="nil"/>
              <w:bottom w:val="nil"/>
              <w:right w:val="nil"/>
            </w:tcBorders>
            <w:shd w:val="clear" w:color="auto" w:fill="auto"/>
            <w:vAlign w:val="center"/>
            <w:hideMark/>
          </w:tcPr>
          <w:p w14:paraId="7FD01754" w14:textId="77777777" w:rsidR="0097090C" w:rsidRPr="004C475C" w:rsidRDefault="0097090C" w:rsidP="0097090C">
            <w:pPr>
              <w:jc w:val="right"/>
              <w:rPr>
                <w:rFonts w:cs="Arial"/>
                <w:color w:val="000000"/>
              </w:rPr>
            </w:pPr>
          </w:p>
        </w:tc>
      </w:tr>
      <w:tr w:rsidR="0097090C" w:rsidRPr="004C475C" w14:paraId="3164872E"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6234E71C" w14:textId="18B15057" w:rsidR="0097090C" w:rsidRPr="004C475C" w:rsidRDefault="0097090C" w:rsidP="009105EC">
            <w:pPr>
              <w:rPr>
                <w:rFonts w:cs="Arial"/>
                <w:b/>
                <w:bCs/>
                <w:color w:val="000000"/>
              </w:rPr>
            </w:pPr>
            <w:r w:rsidRPr="004C475C">
              <w:rPr>
                <w:rFonts w:cs="Arial"/>
                <w:b/>
                <w:bCs/>
                <w:color w:val="000000"/>
              </w:rPr>
              <w:t>Net Cash Flows Used in Financing Activities</w:t>
            </w:r>
            <w:r w:rsidR="009105EC">
              <w:rPr>
                <w:rFonts w:cs="Arial"/>
                <w:b/>
                <w:bCs/>
                <w:color w:val="000000"/>
              </w:rPr>
              <w:t xml:space="preserve"> </w:t>
            </w:r>
          </w:p>
        </w:tc>
        <w:tc>
          <w:tcPr>
            <w:tcW w:w="850" w:type="dxa"/>
            <w:tcBorders>
              <w:top w:val="single" w:sz="4" w:space="0" w:color="auto"/>
              <w:left w:val="nil"/>
              <w:bottom w:val="single" w:sz="4" w:space="0" w:color="auto"/>
              <w:right w:val="nil"/>
            </w:tcBorders>
            <w:shd w:val="clear" w:color="auto" w:fill="auto"/>
            <w:vAlign w:val="center"/>
            <w:hideMark/>
          </w:tcPr>
          <w:p w14:paraId="22931AAE" w14:textId="77777777" w:rsidR="0097090C" w:rsidRPr="004C475C" w:rsidRDefault="0097090C" w:rsidP="0097090C">
            <w:pPr>
              <w:jc w:val="center"/>
              <w:rPr>
                <w:rFonts w:cs="Arial"/>
                <w:color w:val="000000"/>
              </w:rPr>
            </w:pPr>
            <w:r w:rsidRPr="004C475C">
              <w:rPr>
                <w:rFonts w:cs="Arial"/>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00734235" w14:textId="77777777" w:rsidR="0097090C" w:rsidRPr="004C475C" w:rsidRDefault="0097090C" w:rsidP="0097090C">
            <w:pPr>
              <w:jc w:val="right"/>
              <w:rPr>
                <w:rFonts w:cs="Arial"/>
                <w:b/>
                <w:bCs/>
                <w:color w:val="000000"/>
              </w:rPr>
            </w:pPr>
            <w:r w:rsidRPr="004C475C">
              <w:rPr>
                <w:rFonts w:cs="Arial"/>
                <w:b/>
                <w:bCs/>
                <w:color w:val="000000"/>
              </w:rPr>
              <w:t>3,872</w:t>
            </w:r>
          </w:p>
        </w:tc>
        <w:tc>
          <w:tcPr>
            <w:tcW w:w="1267" w:type="dxa"/>
            <w:tcBorders>
              <w:top w:val="single" w:sz="4" w:space="0" w:color="auto"/>
              <w:left w:val="nil"/>
              <w:bottom w:val="single" w:sz="4" w:space="0" w:color="auto"/>
              <w:right w:val="nil"/>
            </w:tcBorders>
            <w:shd w:val="clear" w:color="auto" w:fill="auto"/>
            <w:vAlign w:val="center"/>
            <w:hideMark/>
          </w:tcPr>
          <w:p w14:paraId="60BF992F" w14:textId="77777777" w:rsidR="0097090C" w:rsidRPr="004C475C" w:rsidRDefault="0097090C" w:rsidP="0097090C">
            <w:pPr>
              <w:jc w:val="right"/>
              <w:rPr>
                <w:rFonts w:cs="Arial"/>
                <w:b/>
                <w:bCs/>
                <w:color w:val="000000"/>
              </w:rPr>
            </w:pPr>
            <w:r w:rsidRPr="004C475C">
              <w:rPr>
                <w:rFonts w:cs="Arial"/>
                <w:b/>
                <w:bCs/>
                <w:color w:val="000000"/>
              </w:rPr>
              <w:t>(135)</w:t>
            </w:r>
          </w:p>
        </w:tc>
      </w:tr>
      <w:tr w:rsidR="0097090C" w:rsidRPr="004C475C" w14:paraId="1B100E94" w14:textId="77777777" w:rsidTr="0097090C">
        <w:trPr>
          <w:trHeight w:val="255"/>
        </w:trPr>
        <w:tc>
          <w:tcPr>
            <w:tcW w:w="6095" w:type="dxa"/>
            <w:tcBorders>
              <w:top w:val="nil"/>
              <w:left w:val="nil"/>
              <w:bottom w:val="nil"/>
              <w:right w:val="nil"/>
            </w:tcBorders>
            <w:shd w:val="clear" w:color="auto" w:fill="auto"/>
            <w:vAlign w:val="center"/>
            <w:hideMark/>
          </w:tcPr>
          <w:p w14:paraId="78A2AC40" w14:textId="77777777" w:rsidR="0097090C" w:rsidRPr="004C475C" w:rsidRDefault="0097090C" w:rsidP="0097090C">
            <w:pPr>
              <w:rPr>
                <w:rFonts w:cs="Arial"/>
                <w:color w:val="000000"/>
              </w:rPr>
            </w:pPr>
          </w:p>
        </w:tc>
        <w:tc>
          <w:tcPr>
            <w:tcW w:w="850" w:type="dxa"/>
            <w:tcBorders>
              <w:top w:val="nil"/>
              <w:left w:val="nil"/>
              <w:bottom w:val="nil"/>
              <w:right w:val="nil"/>
            </w:tcBorders>
            <w:shd w:val="clear" w:color="auto" w:fill="auto"/>
            <w:vAlign w:val="center"/>
            <w:hideMark/>
          </w:tcPr>
          <w:p w14:paraId="13B70A77"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0192A67" w14:textId="77777777" w:rsidR="0097090C" w:rsidRPr="004C475C" w:rsidRDefault="0097090C" w:rsidP="0097090C">
            <w:pPr>
              <w:jc w:val="right"/>
              <w:rPr>
                <w:rFonts w:cs="Arial"/>
                <w:color w:val="000000"/>
              </w:rPr>
            </w:pPr>
            <w:r w:rsidRPr="004C475C">
              <w:rPr>
                <w:rFonts w:cs="Arial"/>
                <w:color w:val="000000"/>
              </w:rPr>
              <w:t> </w:t>
            </w:r>
          </w:p>
        </w:tc>
        <w:tc>
          <w:tcPr>
            <w:tcW w:w="1267" w:type="dxa"/>
            <w:tcBorders>
              <w:top w:val="nil"/>
              <w:left w:val="nil"/>
              <w:bottom w:val="nil"/>
              <w:right w:val="nil"/>
            </w:tcBorders>
            <w:shd w:val="clear" w:color="auto" w:fill="auto"/>
            <w:vAlign w:val="center"/>
            <w:hideMark/>
          </w:tcPr>
          <w:p w14:paraId="107CB3F2" w14:textId="77777777" w:rsidR="0097090C" w:rsidRPr="004C475C" w:rsidRDefault="0097090C" w:rsidP="0097090C">
            <w:pPr>
              <w:jc w:val="right"/>
              <w:rPr>
                <w:rFonts w:cs="Arial"/>
                <w:color w:val="000000"/>
              </w:rPr>
            </w:pPr>
          </w:p>
        </w:tc>
      </w:tr>
      <w:tr w:rsidR="0097090C" w:rsidRPr="004C475C" w14:paraId="0C3C5B61"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520BF811" w14:textId="77777777" w:rsidR="0097090C" w:rsidRPr="004C475C" w:rsidRDefault="0097090C" w:rsidP="0097090C">
            <w:pPr>
              <w:rPr>
                <w:rFonts w:cs="Arial"/>
                <w:b/>
                <w:bCs/>
                <w:color w:val="000000"/>
              </w:rPr>
            </w:pPr>
            <w:r w:rsidRPr="004C475C">
              <w:rPr>
                <w:rFonts w:cs="Arial"/>
                <w:b/>
                <w:bCs/>
                <w:color w:val="000000"/>
              </w:rPr>
              <w:t>Net Increase/(Decrease) in Cash Held</w:t>
            </w:r>
          </w:p>
        </w:tc>
        <w:tc>
          <w:tcPr>
            <w:tcW w:w="850" w:type="dxa"/>
            <w:tcBorders>
              <w:top w:val="single" w:sz="4" w:space="0" w:color="auto"/>
              <w:left w:val="nil"/>
              <w:bottom w:val="single" w:sz="4" w:space="0" w:color="auto"/>
              <w:right w:val="nil"/>
            </w:tcBorders>
            <w:shd w:val="clear" w:color="auto" w:fill="auto"/>
            <w:vAlign w:val="center"/>
            <w:hideMark/>
          </w:tcPr>
          <w:p w14:paraId="303875C6" w14:textId="77777777" w:rsidR="0097090C" w:rsidRPr="004C475C" w:rsidRDefault="0097090C" w:rsidP="0097090C">
            <w:pPr>
              <w:jc w:val="center"/>
              <w:rPr>
                <w:rFonts w:cs="Arial"/>
                <w:color w:val="000000"/>
              </w:rPr>
            </w:pPr>
            <w:r w:rsidRPr="004C475C">
              <w:rPr>
                <w:rFonts w:cs="Arial"/>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010AFF5B" w14:textId="77777777" w:rsidR="0097090C" w:rsidRPr="004C475C" w:rsidRDefault="0097090C" w:rsidP="0097090C">
            <w:pPr>
              <w:jc w:val="right"/>
              <w:rPr>
                <w:rFonts w:cs="Arial"/>
                <w:b/>
                <w:bCs/>
                <w:color w:val="000000"/>
              </w:rPr>
            </w:pPr>
            <w:r w:rsidRPr="004C475C">
              <w:rPr>
                <w:rFonts w:cs="Arial"/>
                <w:b/>
                <w:bCs/>
                <w:color w:val="000000"/>
              </w:rPr>
              <w:t>10,553</w:t>
            </w:r>
          </w:p>
        </w:tc>
        <w:tc>
          <w:tcPr>
            <w:tcW w:w="1267" w:type="dxa"/>
            <w:tcBorders>
              <w:top w:val="single" w:sz="4" w:space="0" w:color="auto"/>
              <w:left w:val="nil"/>
              <w:bottom w:val="single" w:sz="4" w:space="0" w:color="auto"/>
              <w:right w:val="nil"/>
            </w:tcBorders>
            <w:shd w:val="clear" w:color="auto" w:fill="auto"/>
            <w:vAlign w:val="center"/>
            <w:hideMark/>
          </w:tcPr>
          <w:p w14:paraId="1DF2F20B" w14:textId="77777777" w:rsidR="0097090C" w:rsidRPr="004C475C" w:rsidRDefault="0097090C" w:rsidP="0097090C">
            <w:pPr>
              <w:jc w:val="right"/>
              <w:rPr>
                <w:rFonts w:cs="Arial"/>
                <w:b/>
                <w:bCs/>
                <w:color w:val="000000"/>
              </w:rPr>
            </w:pPr>
            <w:r w:rsidRPr="004C475C">
              <w:rPr>
                <w:rFonts w:cs="Arial"/>
                <w:b/>
                <w:bCs/>
                <w:color w:val="000000"/>
              </w:rPr>
              <w:t>963</w:t>
            </w:r>
          </w:p>
        </w:tc>
      </w:tr>
      <w:tr w:rsidR="0097090C" w:rsidRPr="004C475C" w14:paraId="3C42429E" w14:textId="77777777" w:rsidTr="0097090C">
        <w:trPr>
          <w:trHeight w:val="255"/>
        </w:trPr>
        <w:tc>
          <w:tcPr>
            <w:tcW w:w="6095" w:type="dxa"/>
            <w:tcBorders>
              <w:top w:val="nil"/>
              <w:left w:val="nil"/>
              <w:bottom w:val="nil"/>
              <w:right w:val="nil"/>
            </w:tcBorders>
            <w:shd w:val="clear" w:color="auto" w:fill="auto"/>
            <w:vAlign w:val="center"/>
            <w:hideMark/>
          </w:tcPr>
          <w:p w14:paraId="028A4CE1" w14:textId="77777777" w:rsidR="0097090C" w:rsidRPr="004C475C" w:rsidRDefault="0097090C" w:rsidP="0097090C">
            <w:pPr>
              <w:rPr>
                <w:rFonts w:cs="Arial"/>
                <w:color w:val="000000"/>
              </w:rPr>
            </w:pPr>
            <w:r w:rsidRPr="004C475C">
              <w:rPr>
                <w:rFonts w:cs="Arial"/>
                <w:color w:val="000000"/>
              </w:rPr>
              <w:t>Cash and Deposits at the Beginning of the Financial Year</w:t>
            </w:r>
          </w:p>
        </w:tc>
        <w:tc>
          <w:tcPr>
            <w:tcW w:w="850" w:type="dxa"/>
            <w:tcBorders>
              <w:top w:val="nil"/>
              <w:left w:val="nil"/>
              <w:bottom w:val="nil"/>
              <w:right w:val="nil"/>
            </w:tcBorders>
            <w:shd w:val="clear" w:color="auto" w:fill="auto"/>
            <w:vAlign w:val="center"/>
            <w:hideMark/>
          </w:tcPr>
          <w:p w14:paraId="0EB40B27" w14:textId="77777777" w:rsidR="0097090C" w:rsidRPr="004C475C"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C1C83DE" w14:textId="77777777" w:rsidR="0097090C" w:rsidRPr="004C475C" w:rsidRDefault="0097090C" w:rsidP="0097090C">
            <w:pPr>
              <w:jc w:val="right"/>
              <w:rPr>
                <w:rFonts w:cs="Arial"/>
                <w:color w:val="000000"/>
              </w:rPr>
            </w:pPr>
            <w:r w:rsidRPr="004C475C">
              <w:rPr>
                <w:rFonts w:cs="Arial"/>
                <w:color w:val="000000"/>
              </w:rPr>
              <w:t>30,236</w:t>
            </w:r>
          </w:p>
        </w:tc>
        <w:tc>
          <w:tcPr>
            <w:tcW w:w="1267" w:type="dxa"/>
            <w:tcBorders>
              <w:top w:val="nil"/>
              <w:left w:val="nil"/>
              <w:bottom w:val="nil"/>
              <w:right w:val="nil"/>
            </w:tcBorders>
            <w:shd w:val="clear" w:color="auto" w:fill="auto"/>
            <w:vAlign w:val="center"/>
            <w:hideMark/>
          </w:tcPr>
          <w:p w14:paraId="5CFBA052" w14:textId="77777777" w:rsidR="0097090C" w:rsidRPr="004C475C" w:rsidRDefault="0097090C" w:rsidP="0097090C">
            <w:pPr>
              <w:jc w:val="right"/>
              <w:rPr>
                <w:rFonts w:cs="Arial"/>
                <w:color w:val="000000"/>
              </w:rPr>
            </w:pPr>
            <w:r w:rsidRPr="004C475C">
              <w:rPr>
                <w:rFonts w:cs="Arial"/>
                <w:color w:val="000000"/>
              </w:rPr>
              <w:t>29,273</w:t>
            </w:r>
          </w:p>
        </w:tc>
      </w:tr>
      <w:tr w:rsidR="0097090C" w:rsidRPr="004C475C" w14:paraId="5417DA35" w14:textId="77777777" w:rsidTr="0097090C">
        <w:trPr>
          <w:trHeight w:val="465"/>
        </w:trPr>
        <w:tc>
          <w:tcPr>
            <w:tcW w:w="6095" w:type="dxa"/>
            <w:tcBorders>
              <w:top w:val="single" w:sz="4" w:space="0" w:color="auto"/>
              <w:left w:val="nil"/>
              <w:bottom w:val="single" w:sz="4" w:space="0" w:color="auto"/>
              <w:right w:val="nil"/>
            </w:tcBorders>
            <w:shd w:val="clear" w:color="auto" w:fill="auto"/>
            <w:vAlign w:val="center"/>
            <w:hideMark/>
          </w:tcPr>
          <w:p w14:paraId="55027ADE" w14:textId="77777777" w:rsidR="0097090C" w:rsidRPr="004C475C" w:rsidRDefault="0097090C" w:rsidP="0097090C">
            <w:pPr>
              <w:rPr>
                <w:rFonts w:cs="Arial"/>
                <w:b/>
                <w:bCs/>
                <w:color w:val="000000"/>
              </w:rPr>
            </w:pPr>
            <w:r w:rsidRPr="004C475C">
              <w:rPr>
                <w:rFonts w:cs="Arial"/>
                <w:b/>
                <w:bCs/>
                <w:color w:val="000000"/>
              </w:rPr>
              <w:t xml:space="preserve">Cash and Deposits at the End of the Financial Year </w:t>
            </w:r>
          </w:p>
        </w:tc>
        <w:tc>
          <w:tcPr>
            <w:tcW w:w="850" w:type="dxa"/>
            <w:tcBorders>
              <w:top w:val="single" w:sz="4" w:space="0" w:color="auto"/>
              <w:left w:val="nil"/>
              <w:bottom w:val="single" w:sz="4" w:space="0" w:color="auto"/>
              <w:right w:val="nil"/>
            </w:tcBorders>
            <w:shd w:val="clear" w:color="auto" w:fill="auto"/>
            <w:vAlign w:val="center"/>
            <w:hideMark/>
          </w:tcPr>
          <w:p w14:paraId="5B307DD3" w14:textId="77777777" w:rsidR="0097090C" w:rsidRPr="004C475C" w:rsidRDefault="0097090C" w:rsidP="0097090C">
            <w:pPr>
              <w:jc w:val="center"/>
              <w:rPr>
                <w:rFonts w:cs="Arial"/>
                <w:color w:val="000000"/>
              </w:rPr>
            </w:pPr>
            <w:r w:rsidRPr="004C475C">
              <w:rPr>
                <w:rFonts w:cs="Arial"/>
                <w:color w:val="000000"/>
              </w:rPr>
              <w:t>6,15(a)</w:t>
            </w:r>
          </w:p>
        </w:tc>
        <w:tc>
          <w:tcPr>
            <w:tcW w:w="1267" w:type="dxa"/>
            <w:tcBorders>
              <w:top w:val="single" w:sz="4" w:space="0" w:color="auto"/>
              <w:left w:val="nil"/>
              <w:bottom w:val="single" w:sz="4" w:space="0" w:color="auto"/>
              <w:right w:val="nil"/>
            </w:tcBorders>
            <w:shd w:val="clear" w:color="000000" w:fill="D9D9D9"/>
            <w:vAlign w:val="center"/>
            <w:hideMark/>
          </w:tcPr>
          <w:p w14:paraId="6E57E60F" w14:textId="77777777" w:rsidR="0097090C" w:rsidRPr="004C475C" w:rsidRDefault="0097090C" w:rsidP="0097090C">
            <w:pPr>
              <w:jc w:val="right"/>
              <w:rPr>
                <w:rFonts w:cs="Arial"/>
                <w:b/>
                <w:bCs/>
                <w:color w:val="000000"/>
              </w:rPr>
            </w:pPr>
            <w:r w:rsidRPr="004C475C">
              <w:rPr>
                <w:rFonts w:cs="Arial"/>
                <w:b/>
                <w:bCs/>
                <w:color w:val="000000"/>
              </w:rPr>
              <w:t>40,789</w:t>
            </w:r>
          </w:p>
        </w:tc>
        <w:tc>
          <w:tcPr>
            <w:tcW w:w="1267" w:type="dxa"/>
            <w:tcBorders>
              <w:top w:val="single" w:sz="4" w:space="0" w:color="auto"/>
              <w:left w:val="nil"/>
              <w:bottom w:val="single" w:sz="4" w:space="0" w:color="auto"/>
              <w:right w:val="nil"/>
            </w:tcBorders>
            <w:shd w:val="clear" w:color="auto" w:fill="auto"/>
            <w:vAlign w:val="center"/>
            <w:hideMark/>
          </w:tcPr>
          <w:p w14:paraId="3D21C88F" w14:textId="77777777" w:rsidR="0097090C" w:rsidRPr="004C475C" w:rsidRDefault="0097090C" w:rsidP="0097090C">
            <w:pPr>
              <w:jc w:val="right"/>
              <w:rPr>
                <w:rFonts w:cs="Arial"/>
                <w:b/>
                <w:bCs/>
                <w:color w:val="000000"/>
              </w:rPr>
            </w:pPr>
            <w:r w:rsidRPr="004C475C">
              <w:rPr>
                <w:rFonts w:cs="Arial"/>
                <w:b/>
                <w:bCs/>
                <w:color w:val="000000"/>
              </w:rPr>
              <w:t>30,236</w:t>
            </w:r>
          </w:p>
        </w:tc>
      </w:tr>
    </w:tbl>
    <w:p w14:paraId="321B0F4D" w14:textId="77777777" w:rsidR="0097090C" w:rsidRPr="007424FE" w:rsidRDefault="0097090C" w:rsidP="0097090C">
      <w:pPr>
        <w:rPr>
          <w:rFonts w:cs="Arial"/>
          <w:b/>
        </w:rPr>
      </w:pPr>
    </w:p>
    <w:p w14:paraId="5326D3F7" w14:textId="77777777" w:rsidR="0097090C" w:rsidRPr="00E432BC" w:rsidRDefault="0097090C" w:rsidP="0097090C">
      <w:pPr>
        <w:rPr>
          <w:rFonts w:cs="Arial"/>
          <w:b/>
        </w:rPr>
        <w:sectPr w:rsidR="0097090C" w:rsidRPr="00E432BC" w:rsidSect="0097090C">
          <w:headerReference w:type="default" r:id="rId16"/>
          <w:pgSz w:w="11906" w:h="16838"/>
          <w:pgMar w:top="1440" w:right="1440" w:bottom="1440" w:left="1440" w:header="709" w:footer="709" w:gutter="0"/>
          <w:cols w:space="708"/>
          <w:docGrid w:linePitch="360"/>
        </w:sectPr>
      </w:pPr>
      <w:r w:rsidRPr="007424FE">
        <w:rPr>
          <w:rFonts w:cs="Arial"/>
          <w:b/>
        </w:rPr>
        <w:t>The above Cash Flow Statement should be read in conjunction with accompanying notes.</w:t>
      </w:r>
    </w:p>
    <w:p w14:paraId="139E8027" w14:textId="77777777" w:rsidR="0097090C" w:rsidRPr="00B30FE4" w:rsidRDefault="0097090C" w:rsidP="0097090C"/>
    <w:p w14:paraId="42A70E57" w14:textId="77777777" w:rsidR="0097090C" w:rsidRDefault="0097090C" w:rsidP="0097090C">
      <w:pPr>
        <w:pStyle w:val="Heading3"/>
      </w:pPr>
      <w:r w:rsidRPr="000720D0">
        <w:t>Notes to the Financial Statements for the Financial Year Ended 30 June 2016</w:t>
      </w:r>
    </w:p>
    <w:p w14:paraId="1DDE05F6" w14:textId="77777777" w:rsidR="0097090C" w:rsidRPr="00E432BC" w:rsidRDefault="0097090C" w:rsidP="0097090C"/>
    <w:p w14:paraId="6997667C" w14:textId="77777777" w:rsidR="0097090C" w:rsidRPr="00CE05BD" w:rsidRDefault="0097090C" w:rsidP="0097090C">
      <w:pPr>
        <w:pStyle w:val="Heading4"/>
        <w:numPr>
          <w:ilvl w:val="0"/>
          <w:numId w:val="27"/>
        </w:numPr>
      </w:pPr>
      <w:r w:rsidRPr="00CE05BD">
        <w:t>Summary of significant accounting policies</w:t>
      </w:r>
    </w:p>
    <w:p w14:paraId="7043A51F" w14:textId="77777777" w:rsidR="0097090C" w:rsidRDefault="0097090C" w:rsidP="0097090C">
      <w:pPr>
        <w:rPr>
          <w:rFonts w:cs="Arial"/>
        </w:rPr>
      </w:pPr>
    </w:p>
    <w:p w14:paraId="2EC3D77A" w14:textId="77777777" w:rsidR="00F131C1" w:rsidRPr="002B722A" w:rsidRDefault="00F131C1" w:rsidP="00F131C1">
      <w:pPr>
        <w:pStyle w:val="Heading5"/>
        <w:numPr>
          <w:ilvl w:val="0"/>
          <w:numId w:val="28"/>
        </w:numPr>
      </w:pPr>
      <w:r w:rsidRPr="002B722A">
        <w:t>STATEMENT OF COMPLIANCE</w:t>
      </w:r>
    </w:p>
    <w:p w14:paraId="3C165177" w14:textId="77777777" w:rsidR="0097090C" w:rsidRDefault="0097090C" w:rsidP="0097090C">
      <w:r w:rsidRPr="00E132D6">
        <w:t>The</w:t>
      </w:r>
      <w:r>
        <w:t>se</w:t>
      </w:r>
      <w:r w:rsidRPr="00E132D6">
        <w:t xml:space="preserve"> general purpose financial </w:t>
      </w:r>
      <w:r>
        <w:t>statements</w:t>
      </w:r>
      <w:r w:rsidRPr="00E132D6">
        <w:t xml:space="preserve"> ha</w:t>
      </w:r>
      <w:r>
        <w:t>ve</w:t>
      </w:r>
      <w:r w:rsidRPr="00E132D6">
        <w:t xml:space="preserve"> been prepared in accordance with the </w:t>
      </w:r>
      <w:r w:rsidRPr="00361A91">
        <w:rPr>
          <w:i/>
        </w:rPr>
        <w:t>Financial Management Act 1994</w:t>
      </w:r>
      <w:r w:rsidRPr="00E132D6">
        <w:t>, applicable Australian Accounting Standards</w:t>
      </w:r>
      <w:r>
        <w:t xml:space="preserve"> (AAS)</w:t>
      </w:r>
      <w:r w:rsidRPr="00E132D6">
        <w:t xml:space="preserve"> </w:t>
      </w:r>
      <w:r>
        <w:t xml:space="preserve">which include Interpretations, issued by the Australian Accounting Standards Board (AASB). In particular, they are presented in a manner consistent with the requirements of the </w:t>
      </w:r>
      <w:r w:rsidRPr="00361A91">
        <w:rPr>
          <w:i/>
        </w:rPr>
        <w:t>AASB 1049 Whole of Government and General Government Sector Financial Reporting.</w:t>
      </w:r>
      <w:r w:rsidRPr="009062F6">
        <w:t xml:space="preserve"> </w:t>
      </w:r>
    </w:p>
    <w:p w14:paraId="3F4020DE" w14:textId="77777777" w:rsidR="0097090C" w:rsidRPr="009062F6" w:rsidRDefault="0097090C" w:rsidP="0097090C"/>
    <w:p w14:paraId="1A39A7F0" w14:textId="77777777" w:rsidR="0097090C" w:rsidRDefault="0097090C" w:rsidP="0097090C">
      <w:pPr>
        <w:rPr>
          <w:sz w:val="20"/>
        </w:rPr>
      </w:pPr>
      <w:r w:rsidRPr="00D20BE6">
        <w:rPr>
          <w:sz w:val="20"/>
        </w:rPr>
        <w:t>Where appropriate, those AAS paragraphs applicable to not-for-profit entities have been applied.</w:t>
      </w:r>
    </w:p>
    <w:p w14:paraId="30EC5A03" w14:textId="77777777" w:rsidR="0097090C" w:rsidRDefault="0097090C" w:rsidP="0097090C">
      <w:pPr>
        <w:rPr>
          <w:sz w:val="20"/>
        </w:rPr>
      </w:pPr>
      <w:r>
        <w:rPr>
          <w:sz w:val="20"/>
        </w:rPr>
        <w:t xml:space="preserve">The financial statements were authorised for issue by the Museums Board of Victoria </w:t>
      </w:r>
      <w:r w:rsidRPr="00ED6358">
        <w:rPr>
          <w:sz w:val="20"/>
        </w:rPr>
        <w:t>on the date the declaration was signed.</w:t>
      </w:r>
    </w:p>
    <w:p w14:paraId="7645E4ED" w14:textId="77777777" w:rsidR="0097090C" w:rsidRDefault="0097090C" w:rsidP="0097090C">
      <w:pPr>
        <w:rPr>
          <w:sz w:val="20"/>
        </w:rPr>
      </w:pPr>
    </w:p>
    <w:p w14:paraId="726C4F02" w14:textId="77777777" w:rsidR="0097090C" w:rsidRDefault="0097090C" w:rsidP="0097090C">
      <w:pPr>
        <w:rPr>
          <w:sz w:val="20"/>
        </w:rPr>
      </w:pPr>
      <w:r w:rsidRPr="006D4251">
        <w:rPr>
          <w:sz w:val="20"/>
        </w:rPr>
        <w:t>Accounting policies are selected and applied in a manner which ensures that the resulting financial information satisfies the concepts of relevance and reliability, thereby ensuring that the substance of the underlying transactions or other events is reported.</w:t>
      </w:r>
    </w:p>
    <w:p w14:paraId="401FE3C2" w14:textId="77777777" w:rsidR="0097090C" w:rsidRPr="004762CD" w:rsidRDefault="0097090C" w:rsidP="0097090C">
      <w:pPr>
        <w:pStyle w:val="NormalIndent"/>
        <w:tabs>
          <w:tab w:val="clear" w:pos="360"/>
        </w:tabs>
        <w:ind w:left="426" w:firstLine="0"/>
        <w:jc w:val="both"/>
        <w:rPr>
          <w:sz w:val="20"/>
        </w:rPr>
      </w:pPr>
    </w:p>
    <w:p w14:paraId="22714FD6" w14:textId="77777777" w:rsidR="0097090C" w:rsidRPr="00114113" w:rsidRDefault="0097090C" w:rsidP="0097090C">
      <w:pPr>
        <w:pStyle w:val="Heading5"/>
        <w:numPr>
          <w:ilvl w:val="0"/>
          <w:numId w:val="28"/>
        </w:numPr>
      </w:pPr>
      <w:r w:rsidRPr="00114113">
        <w:t xml:space="preserve">BASIS OF </w:t>
      </w:r>
      <w:r>
        <w:t xml:space="preserve">ACCOUNTING </w:t>
      </w:r>
      <w:r w:rsidRPr="00114113">
        <w:t>PREPARATION</w:t>
      </w:r>
      <w:r>
        <w:t xml:space="preserve"> AND MEASUREMENT</w:t>
      </w:r>
    </w:p>
    <w:p w14:paraId="70108DB8" w14:textId="77777777" w:rsidR="0097090C" w:rsidRDefault="0097090C" w:rsidP="0097090C">
      <w:r w:rsidRPr="006D4251">
        <w:t>The accrual basis of accounting has been applied in the preparation of these financial statements whereby assets, liabilities, equity, income and expenses are recognised in the reporting period to which they relate, regardless of when cash is received or paid.</w:t>
      </w:r>
    </w:p>
    <w:p w14:paraId="4619C8E6" w14:textId="77777777" w:rsidR="0097090C" w:rsidRDefault="0097090C" w:rsidP="0097090C"/>
    <w:p w14:paraId="663CFF89" w14:textId="77777777" w:rsidR="0097090C" w:rsidRDefault="0097090C" w:rsidP="0097090C">
      <w:r w:rsidRPr="006D4251">
        <w:t xml:space="preserve">These financial statements are presented in Australian dollars, the functional and presentation currency of </w:t>
      </w:r>
      <w:r>
        <w:t>Museums Board of Victoria (Museum Victoria)</w:t>
      </w:r>
      <w:r w:rsidRPr="006D4251">
        <w:t>.</w:t>
      </w:r>
    </w:p>
    <w:p w14:paraId="4D241EC2" w14:textId="77777777" w:rsidR="0097090C" w:rsidRDefault="0097090C" w:rsidP="0097090C"/>
    <w:p w14:paraId="7DBCD935" w14:textId="77777777" w:rsidR="0097090C" w:rsidRDefault="0097090C" w:rsidP="0097090C">
      <w:r w:rsidRPr="008D73CC">
        <w:t>In the application of AASs, management is required to make judgements, estimates and assumptions about</w:t>
      </w:r>
      <w:r>
        <w:t xml:space="preserve"> the</w:t>
      </w:r>
      <w:r w:rsidRPr="008D73CC">
        <w:t xml:space="preserve"> carrying values of assets and liabilities that are not readily apparent from other sources. The estimates and associated assumptions are based on </w:t>
      </w:r>
      <w:r>
        <w:t xml:space="preserve">professional judgements derived from </w:t>
      </w:r>
      <w:r w:rsidRPr="008D73CC">
        <w:t>historical experience and various other factors that are believed to be reasonable under the circumstance</w:t>
      </w:r>
      <w:r>
        <w:t>s</w:t>
      </w:r>
      <w:r w:rsidRPr="008D73CC">
        <w:t>. Actual results may differ from these estimates.</w:t>
      </w:r>
    </w:p>
    <w:p w14:paraId="50E5B333" w14:textId="77777777" w:rsidR="0097090C" w:rsidRPr="00C52888" w:rsidRDefault="0097090C" w:rsidP="0097090C"/>
    <w:p w14:paraId="17188991" w14:textId="77777777" w:rsidR="0097090C" w:rsidRDefault="0097090C" w:rsidP="0097090C">
      <w:r>
        <w:t xml:space="preserve">The financial report has also been prepared on a going concern basis. Museum Victoria is economically dependent on the Victorian State Government (Government) grant to assist in funding its </w:t>
      </w:r>
      <w:r w:rsidRPr="00ED6358">
        <w:t>operations and depreciation is funded on a limited basis.</w:t>
      </w:r>
    </w:p>
    <w:p w14:paraId="23623195" w14:textId="77777777" w:rsidR="0097090C" w:rsidRDefault="0097090C" w:rsidP="0097090C"/>
    <w:p w14:paraId="0914D38F" w14:textId="77777777" w:rsidR="0097090C" w:rsidRDefault="0097090C" w:rsidP="0097090C">
      <w:r w:rsidRPr="006D4251">
        <w:t xml:space="preserve">This report has been prepared in accordance with </w:t>
      </w:r>
      <w:r>
        <w:t>the historical cost convention except for non-financial physical assets which</w:t>
      </w:r>
      <w:r w:rsidRPr="006A4832">
        <w:t>, subsequent to acquisition, are measured at their fair value at the date of the revaluation less</w:t>
      </w:r>
      <w:r>
        <w:t xml:space="preserve"> </w:t>
      </w:r>
      <w:r w:rsidRPr="006A4832">
        <w:t>any subsequent accumulated depreciation, if applicable, and</w:t>
      </w:r>
      <w:r>
        <w:t xml:space="preserve"> </w:t>
      </w:r>
      <w:r w:rsidRPr="006A4832">
        <w:t>subsequent impairment losses. Revaluations are made with</w:t>
      </w:r>
      <w:r>
        <w:t xml:space="preserve"> </w:t>
      </w:r>
      <w:r w:rsidRPr="006A4832">
        <w:t>sufficient regularity to ensure that the carrying amounts do not</w:t>
      </w:r>
      <w:r>
        <w:t xml:space="preserve"> </w:t>
      </w:r>
      <w:r w:rsidRPr="006A4832">
        <w:t>materially differ from their fair value;</w:t>
      </w:r>
    </w:p>
    <w:p w14:paraId="7F04D1CA" w14:textId="77777777" w:rsidR="0097090C" w:rsidRDefault="0097090C" w:rsidP="0097090C">
      <w:pPr>
        <w:pStyle w:val="Heading5"/>
      </w:pPr>
    </w:p>
    <w:p w14:paraId="76F11F1A" w14:textId="77777777" w:rsidR="0097090C" w:rsidRPr="004762CD" w:rsidRDefault="0097090C" w:rsidP="0097090C">
      <w:pPr>
        <w:pStyle w:val="Heading5"/>
        <w:numPr>
          <w:ilvl w:val="0"/>
          <w:numId w:val="28"/>
        </w:numPr>
        <w:rPr>
          <w:szCs w:val="18"/>
        </w:rPr>
      </w:pPr>
      <w:r w:rsidRPr="00682104">
        <w:rPr>
          <w:szCs w:val="18"/>
        </w:rPr>
        <w:t>SCOPE AND PRESENTATION OF FINANCIAL STATEMENTS</w:t>
      </w:r>
    </w:p>
    <w:p w14:paraId="1B4317DE" w14:textId="77777777" w:rsidR="0097090C" w:rsidRPr="00E3688B" w:rsidRDefault="0097090C" w:rsidP="0097090C">
      <w:pPr>
        <w:pStyle w:val="Heading6"/>
      </w:pPr>
      <w:r w:rsidRPr="00E3688B">
        <w:t>Comprehensive operating statement</w:t>
      </w:r>
    </w:p>
    <w:p w14:paraId="77F75704" w14:textId="77777777" w:rsidR="0097090C" w:rsidRDefault="0097090C" w:rsidP="0097090C">
      <w:r>
        <w:tab/>
      </w:r>
      <w:r w:rsidRPr="00E3688B">
        <w:t xml:space="preserve">Income and expenses in the comprehensive operating statement are classified according to whether or not they arise from ‘transactions’ or ‘other economic flows’. This classification is consistent with the whole of government reporting format and is allowed under </w:t>
      </w:r>
      <w:r>
        <w:t>AASB 101 Presentation of Financial Statements.</w:t>
      </w:r>
    </w:p>
    <w:p w14:paraId="66D23D92" w14:textId="77777777" w:rsidR="0097090C" w:rsidRDefault="0097090C" w:rsidP="0097090C"/>
    <w:p w14:paraId="2A90F377" w14:textId="77777777" w:rsidR="0097090C" w:rsidRDefault="0097090C" w:rsidP="0097090C">
      <w:pPr>
        <w:pStyle w:val="Heading6"/>
      </w:pPr>
      <w:r w:rsidRPr="00361A91">
        <w:lastRenderedPageBreak/>
        <w:t>Prese</w:t>
      </w:r>
      <w:r>
        <w:t xml:space="preserve">ntation of financial </w:t>
      </w:r>
      <w:r w:rsidRPr="0004431E">
        <w:t>statements</w:t>
      </w:r>
    </w:p>
    <w:p w14:paraId="15D8E583" w14:textId="77777777" w:rsidR="0097090C" w:rsidRDefault="0097090C" w:rsidP="0097090C">
      <w:r w:rsidRPr="00E3688B">
        <w:t>‘Transactions’ are those economic flows that are considered to arise as a result of policy decisions, usually interactions between two entities by mutual agreement. Transactions also include flows within an entity, such as depreciation</w:t>
      </w:r>
      <w:r>
        <w:t>.</w:t>
      </w:r>
      <w:r w:rsidRPr="00E3688B">
        <w:t xml:space="preserve">  Transactions can be in kind or where the final consideration is cash.</w:t>
      </w:r>
    </w:p>
    <w:p w14:paraId="3CE99ECB" w14:textId="77777777" w:rsidR="0097090C" w:rsidRPr="00E3688B" w:rsidRDefault="0097090C" w:rsidP="0097090C"/>
    <w:p w14:paraId="697DA12B" w14:textId="77777777" w:rsidR="0097090C" w:rsidRDefault="0097090C" w:rsidP="0097090C">
      <w:r w:rsidRPr="00E3688B">
        <w:t>‘Other economic flows’ are changes arising from market re-measurements. They include gains and losses from disposals, revaluations and impairments of non-current</w:t>
      </w:r>
      <w:r>
        <w:t xml:space="preserve"> physical and intangible assets.</w:t>
      </w:r>
    </w:p>
    <w:p w14:paraId="139CDD25" w14:textId="77777777" w:rsidR="0097090C" w:rsidRDefault="0097090C" w:rsidP="0097090C"/>
    <w:p w14:paraId="03DC84D9" w14:textId="77777777" w:rsidR="0097090C" w:rsidRDefault="0097090C" w:rsidP="0097090C">
      <w:r w:rsidRPr="00E3688B">
        <w:t>The net result is equivalent to profit or loss derived in accordance with AASs.</w:t>
      </w:r>
    </w:p>
    <w:p w14:paraId="3DE13959" w14:textId="77777777" w:rsidR="0097090C" w:rsidRPr="00156BFA" w:rsidRDefault="0097090C" w:rsidP="0097090C">
      <w:pPr>
        <w:pStyle w:val="NormalIndent"/>
        <w:spacing w:after="120"/>
        <w:ind w:left="357" w:hanging="357"/>
        <w:jc w:val="both"/>
        <w:rPr>
          <w:b/>
          <w:sz w:val="22"/>
          <w:szCs w:val="22"/>
        </w:rPr>
      </w:pPr>
    </w:p>
    <w:p w14:paraId="0461CDDF" w14:textId="77777777" w:rsidR="0097090C" w:rsidRPr="00E3688B" w:rsidRDefault="0097090C" w:rsidP="0097090C">
      <w:pPr>
        <w:pStyle w:val="Heading6"/>
      </w:pPr>
      <w:r w:rsidRPr="00E3688B">
        <w:t>Balance sheet</w:t>
      </w:r>
    </w:p>
    <w:p w14:paraId="3723A2E1" w14:textId="77777777" w:rsidR="0097090C" w:rsidRDefault="0097090C" w:rsidP="0097090C">
      <w:r w:rsidRPr="00E3688B">
        <w:t>Assets and liabilities are presented in liquidity order with assets aggregated into financial assets and non-financial assets.</w:t>
      </w:r>
    </w:p>
    <w:p w14:paraId="6D2C546C" w14:textId="77777777" w:rsidR="0097090C" w:rsidRDefault="0097090C" w:rsidP="0097090C"/>
    <w:p w14:paraId="58AFA666" w14:textId="77777777" w:rsidR="0097090C" w:rsidRDefault="0097090C" w:rsidP="0097090C">
      <w:r w:rsidRPr="00E3688B">
        <w:t>Current and non-current assets and liabilities (those expected to be recovered or settled beyond 12 months) are disclosed in the notes, where relevant.</w:t>
      </w:r>
    </w:p>
    <w:p w14:paraId="658F77EF" w14:textId="77777777" w:rsidR="0097090C" w:rsidRDefault="0097090C" w:rsidP="0097090C"/>
    <w:p w14:paraId="4BF906B5" w14:textId="77777777" w:rsidR="0097090C" w:rsidRPr="00E3688B" w:rsidRDefault="0097090C" w:rsidP="0097090C">
      <w:pPr>
        <w:rPr>
          <w:i/>
        </w:rPr>
      </w:pPr>
      <w:r w:rsidRPr="00E3688B">
        <w:rPr>
          <w:i/>
        </w:rPr>
        <w:t>Cash flow statement</w:t>
      </w:r>
    </w:p>
    <w:p w14:paraId="2B832366" w14:textId="77777777" w:rsidR="0097090C" w:rsidRPr="0004431E" w:rsidRDefault="0097090C" w:rsidP="0097090C">
      <w:pPr>
        <w:rPr>
          <w:i/>
        </w:rPr>
      </w:pPr>
      <w:r w:rsidRPr="00E3688B">
        <w:t xml:space="preserve">Cash flows are classified according to whether or not they arise from operating, investing, or financing activities. This classification is consistent with requirements under </w:t>
      </w:r>
      <w:r w:rsidRPr="00A35F89">
        <w:rPr>
          <w:i/>
        </w:rPr>
        <w:t>AA</w:t>
      </w:r>
      <w:r>
        <w:rPr>
          <w:i/>
        </w:rPr>
        <w:t>SB 107 Statement of C</w:t>
      </w:r>
      <w:r w:rsidRPr="00A35F89">
        <w:rPr>
          <w:i/>
        </w:rPr>
        <w:t xml:space="preserve">ash </w:t>
      </w:r>
      <w:r>
        <w:rPr>
          <w:i/>
        </w:rPr>
        <w:t>F</w:t>
      </w:r>
      <w:r w:rsidRPr="00A35F89">
        <w:rPr>
          <w:i/>
        </w:rPr>
        <w:t>lows</w:t>
      </w:r>
      <w:r>
        <w:t>.</w:t>
      </w:r>
    </w:p>
    <w:p w14:paraId="60F1CB22" w14:textId="77777777" w:rsidR="0097090C" w:rsidRPr="00E3688B" w:rsidRDefault="0097090C" w:rsidP="0097090C"/>
    <w:p w14:paraId="370AB157" w14:textId="77777777" w:rsidR="0097090C" w:rsidRPr="00E3688B" w:rsidRDefault="0097090C" w:rsidP="0097090C">
      <w:pPr>
        <w:pStyle w:val="Heading6"/>
      </w:pPr>
      <w:r w:rsidRPr="00E3688B">
        <w:t>Statement of changes in equity</w:t>
      </w:r>
    </w:p>
    <w:p w14:paraId="30423637" w14:textId="77777777" w:rsidR="0097090C" w:rsidRDefault="0097090C" w:rsidP="0097090C">
      <w:r w:rsidRPr="00E3688B">
        <w:t>The statement of changes in equity presents reconciliations of each non-owner and owner equity opening balance at the beginning of the reporting period to the closing balance at the end of the reporting period. It also shows separately changes due to amounts recognised in the comprehensive result and amounts recognised in other comprehensive income related to other non</w:t>
      </w:r>
      <w:r>
        <w:t>-</w:t>
      </w:r>
      <w:r w:rsidRPr="00E3688B">
        <w:t>owner changes in equity.</w:t>
      </w:r>
    </w:p>
    <w:p w14:paraId="7726AD20" w14:textId="77777777" w:rsidR="0097090C" w:rsidRPr="00E3688B" w:rsidRDefault="0097090C" w:rsidP="0097090C">
      <w:pPr>
        <w:pStyle w:val="NormalIndent"/>
        <w:ind w:left="357" w:hanging="357"/>
        <w:jc w:val="both"/>
        <w:rPr>
          <w:sz w:val="20"/>
        </w:rPr>
      </w:pPr>
    </w:p>
    <w:p w14:paraId="21CC99F7" w14:textId="77777777" w:rsidR="0097090C" w:rsidRPr="004762CD" w:rsidRDefault="0097090C" w:rsidP="0097090C">
      <w:pPr>
        <w:pStyle w:val="Heading5"/>
        <w:numPr>
          <w:ilvl w:val="0"/>
          <w:numId w:val="28"/>
        </w:numPr>
      </w:pPr>
      <w:r w:rsidRPr="004762CD">
        <w:t>NON-CURRENT PHYSICAL ASSETS</w:t>
      </w:r>
    </w:p>
    <w:p w14:paraId="413B5D97" w14:textId="77777777" w:rsidR="0097090C" w:rsidRDefault="0097090C" w:rsidP="0097090C">
      <w:r>
        <w:tab/>
      </w:r>
      <w:r w:rsidRPr="00527BAE">
        <w:t xml:space="preserve">All non-current physical assets are recognised initially at cost and subsequently measured at fair value less accumulated depreciation and impairment. </w:t>
      </w:r>
      <w:r>
        <w:t>Where an asset is received for no or nominal consideration, the cost is the asset’s fair value at the date of acquisition.</w:t>
      </w:r>
    </w:p>
    <w:p w14:paraId="1D8240ED" w14:textId="77777777" w:rsidR="0097090C" w:rsidRDefault="0097090C" w:rsidP="0097090C"/>
    <w:p w14:paraId="29017A1F" w14:textId="6563E548" w:rsidR="0097090C" w:rsidRPr="00527BAE" w:rsidRDefault="0097090C" w:rsidP="0097090C">
      <w:r w:rsidRPr="00BF2E53">
        <w:t xml:space="preserve">The fair value of </w:t>
      </w:r>
      <w:r>
        <w:t>the Collections (</w:t>
      </w:r>
      <w:r w:rsidRPr="007656C4">
        <w:t>cultural assets</w:t>
      </w:r>
      <w:r>
        <w:t>)</w:t>
      </w:r>
      <w:r w:rsidRPr="00BF2E53">
        <w:t>, heritage assets and other non-current physical assets that the State intends to preserve because of their unique historical, cultural or scient</w:t>
      </w:r>
      <w:r>
        <w:t xml:space="preserve">ific attributes, is measured either using a </w:t>
      </w:r>
      <w:r w:rsidRPr="00CC2A02">
        <w:t>statistical sampling approach given the extent and diversity of the Collections, and by reference to market based evidence where av</w:t>
      </w:r>
      <w:r>
        <w:t xml:space="preserve">ailable and to replacement cost </w:t>
      </w:r>
      <w:r w:rsidRPr="00BF2E53">
        <w:t>less, where applicable, accumulated depreciation (calculated on the basis of such cost to reflect the already consumed or expired future economic benefits of the asset) and any accumulated impairment.</w:t>
      </w:r>
      <w:r w:rsidRPr="00527BAE">
        <w:t xml:space="preserve"> </w:t>
      </w:r>
    </w:p>
    <w:p w14:paraId="38B6CFAE" w14:textId="77777777" w:rsidR="0097090C" w:rsidRPr="00527BAE" w:rsidRDefault="0097090C" w:rsidP="0097090C"/>
    <w:p w14:paraId="584A0693" w14:textId="77777777" w:rsidR="0097090C" w:rsidRPr="00527BAE" w:rsidRDefault="0097090C" w:rsidP="0097090C">
      <w:r w:rsidRPr="00527BAE">
        <w:t>The fair value of infrastructure systems and plant, equipment and vehicles, is normally determined by reference to the asset’s depreciated replacement cost. For plant and equipment, existing depreciated historical cost is generally a reasonable proxy for depreciated replacement cost because of the short lives of the assets concerned.</w:t>
      </w:r>
    </w:p>
    <w:p w14:paraId="2AEB105E" w14:textId="77777777" w:rsidR="0097090C" w:rsidRDefault="0097090C" w:rsidP="0097090C"/>
    <w:p w14:paraId="16DFAD42" w14:textId="77777777" w:rsidR="0097090C" w:rsidRDefault="0097090C" w:rsidP="0097090C">
      <w:r w:rsidRPr="0076070F">
        <w:t xml:space="preserve">Consistent with </w:t>
      </w:r>
      <w:r w:rsidRPr="008B4EB4">
        <w:rPr>
          <w:i/>
        </w:rPr>
        <w:t>AASB 13 Fair Value Measurement</w:t>
      </w:r>
      <w:r w:rsidRPr="0076070F">
        <w:t xml:space="preserve">, the </w:t>
      </w:r>
      <w:r>
        <w:t>Museums Board of Victoria</w:t>
      </w:r>
      <w:r w:rsidRPr="0076070F">
        <w:t xml:space="preserve"> determines the policies and procedures for recurring fair value measurements such as </w:t>
      </w:r>
      <w:r>
        <w:t xml:space="preserve">collections, </w:t>
      </w:r>
      <w:r w:rsidRPr="0076070F">
        <w:t xml:space="preserve">property, plant and equipment, and financial instruments in accordance with the requirements of </w:t>
      </w:r>
      <w:r w:rsidRPr="008B4EB4">
        <w:rPr>
          <w:i/>
        </w:rPr>
        <w:t>AASB 13</w:t>
      </w:r>
      <w:r w:rsidRPr="0076070F">
        <w:t xml:space="preserve"> and the relevant Financial Reporting Directions.</w:t>
      </w:r>
    </w:p>
    <w:p w14:paraId="1E067EEA" w14:textId="77777777" w:rsidR="0097090C" w:rsidRPr="0076070F" w:rsidRDefault="0097090C" w:rsidP="0097090C"/>
    <w:p w14:paraId="7A3FAAD9" w14:textId="77777777" w:rsidR="0097090C" w:rsidRPr="0076070F" w:rsidRDefault="0097090C" w:rsidP="0097090C">
      <w:r w:rsidRPr="0076070F">
        <w:t xml:space="preserve">All assets and liabilities for which fair value is measured or disclosed in the financial statements are categorised within the fair value hierarchy, described as follows, based on the lowest level input that is significant to the fair value measurement as a whole:  </w:t>
      </w:r>
    </w:p>
    <w:p w14:paraId="778A50D9" w14:textId="77777777" w:rsidR="0097090C" w:rsidRPr="0076070F" w:rsidRDefault="0097090C" w:rsidP="0097090C">
      <w:pPr>
        <w:pStyle w:val="NormalIndent"/>
        <w:numPr>
          <w:ilvl w:val="0"/>
          <w:numId w:val="24"/>
        </w:numPr>
        <w:jc w:val="both"/>
        <w:rPr>
          <w:sz w:val="20"/>
        </w:rPr>
      </w:pPr>
      <w:r>
        <w:rPr>
          <w:sz w:val="20"/>
        </w:rPr>
        <w:t xml:space="preserve">Level 1 - </w:t>
      </w:r>
      <w:r w:rsidRPr="0076070F">
        <w:rPr>
          <w:sz w:val="20"/>
        </w:rPr>
        <w:t xml:space="preserve">Quoted (unadjusted) market prices in active markets for identical assets or liabilities </w:t>
      </w:r>
    </w:p>
    <w:p w14:paraId="104C8527" w14:textId="77777777" w:rsidR="0097090C" w:rsidRPr="0076070F" w:rsidRDefault="0097090C" w:rsidP="0097090C">
      <w:pPr>
        <w:pStyle w:val="NormalIndent"/>
        <w:numPr>
          <w:ilvl w:val="0"/>
          <w:numId w:val="24"/>
        </w:numPr>
        <w:jc w:val="both"/>
        <w:rPr>
          <w:sz w:val="20"/>
        </w:rPr>
      </w:pPr>
      <w:r>
        <w:rPr>
          <w:sz w:val="20"/>
        </w:rPr>
        <w:t xml:space="preserve">Level 2 - </w:t>
      </w:r>
      <w:r w:rsidRPr="0076070F">
        <w:rPr>
          <w:sz w:val="20"/>
        </w:rPr>
        <w:t>Valuation techniques for which the lowest level input that is significant to the fair value measurement is directly or indirectly observable; and</w:t>
      </w:r>
    </w:p>
    <w:p w14:paraId="629CE76E" w14:textId="77777777" w:rsidR="0097090C" w:rsidRDefault="0097090C" w:rsidP="0097090C">
      <w:pPr>
        <w:pStyle w:val="NormalIndent"/>
        <w:numPr>
          <w:ilvl w:val="0"/>
          <w:numId w:val="24"/>
        </w:numPr>
        <w:jc w:val="both"/>
        <w:rPr>
          <w:sz w:val="20"/>
        </w:rPr>
      </w:pPr>
      <w:r>
        <w:rPr>
          <w:sz w:val="20"/>
        </w:rPr>
        <w:t xml:space="preserve">Level 3 - </w:t>
      </w:r>
      <w:r w:rsidRPr="0076070F">
        <w:rPr>
          <w:sz w:val="20"/>
        </w:rPr>
        <w:t>Valuation techniques for which the lowest level input that is significant to the fair value measurement is unobservable.</w:t>
      </w:r>
    </w:p>
    <w:p w14:paraId="386764FE" w14:textId="77777777" w:rsidR="0097090C" w:rsidRDefault="0097090C" w:rsidP="0097090C">
      <w:pPr>
        <w:pStyle w:val="NormalIndent"/>
        <w:ind w:firstLine="0"/>
        <w:jc w:val="both"/>
        <w:rPr>
          <w:sz w:val="20"/>
        </w:rPr>
      </w:pPr>
    </w:p>
    <w:p w14:paraId="719A2BAD" w14:textId="77777777" w:rsidR="0097090C" w:rsidRPr="00E12AFD" w:rsidRDefault="0097090C" w:rsidP="0097090C">
      <w:pPr>
        <w:pStyle w:val="Heading6"/>
      </w:pPr>
      <w:r>
        <w:t xml:space="preserve"> </w:t>
      </w:r>
      <w:r w:rsidRPr="00527BAE">
        <w:t>Revaluations of non-current physical assets</w:t>
      </w:r>
    </w:p>
    <w:p w14:paraId="428A9005" w14:textId="77777777" w:rsidR="0097090C" w:rsidRDefault="0097090C" w:rsidP="0097090C">
      <w:r w:rsidRPr="00966948">
        <w:t>Non</w:t>
      </w:r>
      <w:r w:rsidRPr="00966948">
        <w:noBreakHyphen/>
        <w:t xml:space="preserve">current physical assets measured at fair value are revalued in accordance with the financial reporting directions issued by the Minister for Finance. Revaluations of Land &amp; Buildings and Collections were carried out by independent valuers in 2015/2016 as required under the FRD103F.  Revaluation increases or decreases arise from differences between an asset’s carrying value and fair value. </w:t>
      </w:r>
    </w:p>
    <w:p w14:paraId="58C3F98A" w14:textId="77777777" w:rsidR="0097090C" w:rsidRDefault="0097090C" w:rsidP="0097090C">
      <w:pPr>
        <w:ind w:left="357"/>
        <w:jc w:val="both"/>
      </w:pPr>
    </w:p>
    <w:p w14:paraId="71490849" w14:textId="77777777" w:rsidR="0097090C" w:rsidRDefault="0097090C" w:rsidP="0097090C">
      <w:r w:rsidRPr="00527BAE">
        <w:t xml:space="preserve">Net revaluation increases are recognised in </w:t>
      </w:r>
      <w:r>
        <w:t xml:space="preserve">‘other economic flows – </w:t>
      </w:r>
      <w:r w:rsidRPr="00ED6358">
        <w:t>other comprehensive income</w:t>
      </w:r>
      <w:r>
        <w:t xml:space="preserve">’ </w:t>
      </w:r>
      <w:r w:rsidRPr="00527BAE">
        <w:t xml:space="preserve">and accumulated in equity under the </w:t>
      </w:r>
      <w:r>
        <w:t xml:space="preserve">asset </w:t>
      </w:r>
      <w:r w:rsidRPr="00527BAE">
        <w:t xml:space="preserve">revaluation </w:t>
      </w:r>
      <w:r>
        <w:t>surplus. However,</w:t>
      </w:r>
      <w:r w:rsidRPr="00527BAE">
        <w:t xml:space="preserve"> the net revaluation increase </w:t>
      </w:r>
      <w:r>
        <w:t xml:space="preserve">is </w:t>
      </w:r>
      <w:r w:rsidRPr="00527BAE">
        <w:t xml:space="preserve">recognised in the net result to the extent that it reverses a net revaluation decrease in respect of the same class of property, plant and equipment previously recognised as an expense </w:t>
      </w:r>
      <w:r>
        <w:t xml:space="preserve">(other economic flows) </w:t>
      </w:r>
      <w:r w:rsidRPr="00527BAE">
        <w:t>in the net result.</w:t>
      </w:r>
    </w:p>
    <w:p w14:paraId="19CFBA9A" w14:textId="77777777" w:rsidR="0097090C" w:rsidRPr="00527BAE" w:rsidRDefault="0097090C" w:rsidP="0097090C"/>
    <w:p w14:paraId="513676F1" w14:textId="77777777" w:rsidR="0097090C" w:rsidRDefault="0097090C" w:rsidP="0097090C">
      <w:r w:rsidRPr="00527BAE">
        <w:t xml:space="preserve">Net revaluation decreases are recognised immediately as </w:t>
      </w:r>
      <w:r>
        <w:t xml:space="preserve">other economic flows </w:t>
      </w:r>
      <w:r w:rsidRPr="00527BAE">
        <w:t xml:space="preserve">in the net result, except that the net revaluation </w:t>
      </w:r>
      <w:r>
        <w:t xml:space="preserve">decrease is </w:t>
      </w:r>
      <w:r w:rsidRPr="00527BAE">
        <w:t xml:space="preserve">recognised in </w:t>
      </w:r>
      <w:r>
        <w:t xml:space="preserve">‘other economic flows – other comprehensive income’ </w:t>
      </w:r>
      <w:r w:rsidRPr="00527BAE">
        <w:t xml:space="preserve">to the extent that a credit balance exists in the </w:t>
      </w:r>
      <w:r>
        <w:t xml:space="preserve">asset </w:t>
      </w:r>
      <w:r w:rsidRPr="00527BAE">
        <w:t xml:space="preserve">revaluation </w:t>
      </w:r>
      <w:r>
        <w:t xml:space="preserve">surplus </w:t>
      </w:r>
      <w:r w:rsidRPr="00527BAE">
        <w:t>in respect of the same class of property, plant and</w:t>
      </w:r>
      <w:r>
        <w:t xml:space="preserve"> </w:t>
      </w:r>
      <w:r w:rsidRPr="00527BAE">
        <w:t xml:space="preserve">equipment. The net revaluation decrease recognised in </w:t>
      </w:r>
      <w:r>
        <w:t xml:space="preserve">‘other economic flows – other movements in equity’ </w:t>
      </w:r>
      <w:r w:rsidRPr="00527BAE">
        <w:t xml:space="preserve">reduces the amount accumulated in equity under </w:t>
      </w:r>
      <w:r>
        <w:t xml:space="preserve">the asset </w:t>
      </w:r>
      <w:r w:rsidRPr="00527BAE">
        <w:t xml:space="preserve">revaluation </w:t>
      </w:r>
      <w:r>
        <w:t>surplus</w:t>
      </w:r>
      <w:r w:rsidRPr="00527BAE">
        <w:t>.</w:t>
      </w:r>
    </w:p>
    <w:p w14:paraId="317DE2F4" w14:textId="77777777" w:rsidR="0097090C" w:rsidRPr="00527BAE" w:rsidRDefault="0097090C" w:rsidP="0097090C"/>
    <w:p w14:paraId="45787798" w14:textId="77777777" w:rsidR="0097090C" w:rsidRDefault="0097090C" w:rsidP="0097090C">
      <w:r w:rsidRPr="00527BAE">
        <w:t>Revaluation increases and decreases relating to individual assets within a class of property, plant and equipment are offset against one another within that class but are not offset in respect of assets in different classes.</w:t>
      </w:r>
      <w:r>
        <w:t xml:space="preserve"> </w:t>
      </w:r>
      <w:r w:rsidRPr="00527BAE">
        <w:t xml:space="preserve">Any </w:t>
      </w:r>
      <w:r>
        <w:t xml:space="preserve">asset </w:t>
      </w:r>
      <w:r w:rsidRPr="00527BAE">
        <w:t>revaluation surplus is not normally transferred to accumulated funds on de-recognition of the relevant asset.</w:t>
      </w:r>
    </w:p>
    <w:p w14:paraId="3990CA9A" w14:textId="77777777" w:rsidR="0097090C" w:rsidRPr="00156BFA" w:rsidRDefault="0097090C" w:rsidP="0097090C"/>
    <w:p w14:paraId="02B93B42" w14:textId="77777777" w:rsidR="0097090C" w:rsidRPr="00A03FD6" w:rsidRDefault="0097090C" w:rsidP="0097090C">
      <w:pPr>
        <w:pStyle w:val="Heading6"/>
      </w:pPr>
      <w:r w:rsidRPr="00A03FD6">
        <w:t>D</w:t>
      </w:r>
      <w:r>
        <w:t>epreciation</w:t>
      </w:r>
    </w:p>
    <w:p w14:paraId="17230721" w14:textId="77777777" w:rsidR="0097090C" w:rsidRDefault="0097090C" w:rsidP="0097090C">
      <w:r w:rsidRPr="00346CC6">
        <w:t>Depreciation expense is not fully funded by Government with funding for the renewal and replacement of infrastructure requested and allocated on a case-by-case basis.</w:t>
      </w:r>
    </w:p>
    <w:p w14:paraId="35D540A7" w14:textId="77777777" w:rsidR="0097090C" w:rsidRDefault="0097090C" w:rsidP="0097090C"/>
    <w:p w14:paraId="511E11F8" w14:textId="77777777" w:rsidR="0097090C" w:rsidRDefault="0097090C" w:rsidP="0097090C">
      <w:r w:rsidRPr="00A03FD6">
        <w:t xml:space="preserve">Depreciation is charged on </w:t>
      </w:r>
      <w:r>
        <w:t>property, plant and equipment</w:t>
      </w:r>
      <w:r w:rsidRPr="00A03FD6">
        <w:t xml:space="preserve">, at rates assessed to match the cost </w:t>
      </w:r>
      <w:r>
        <w:t xml:space="preserve">or other revalued amount </w:t>
      </w:r>
      <w:r w:rsidRPr="00A03FD6">
        <w:t>of these assets ag</w:t>
      </w:r>
      <w:r>
        <w:t>ainst their estimated useful</w:t>
      </w:r>
      <w:r w:rsidRPr="00A03FD6">
        <w:t xml:space="preserve"> lives to the entity.</w:t>
      </w:r>
    </w:p>
    <w:p w14:paraId="09A445FE" w14:textId="77777777" w:rsidR="0097090C" w:rsidRPr="00A03FD6" w:rsidRDefault="0097090C" w:rsidP="0097090C"/>
    <w:p w14:paraId="7E1DCE27" w14:textId="77777777" w:rsidR="0097090C" w:rsidRDefault="0097090C" w:rsidP="0097090C">
      <w:r w:rsidRPr="00A03FD6">
        <w:t xml:space="preserve">Depreciation is </w:t>
      </w:r>
      <w:r>
        <w:t xml:space="preserve">calculated on the straight-line method. </w:t>
      </w:r>
      <w:r w:rsidRPr="00ED6358">
        <w:t>No provision is made for the depreciation of Land, the Collections or for the Library Collection Rare and High Value Books. The Collections referred to are heritage assets and are deemed to have an indefinite useful life.</w:t>
      </w:r>
      <w:r>
        <w:t xml:space="preserve"> </w:t>
      </w:r>
    </w:p>
    <w:p w14:paraId="587AA6CD" w14:textId="77777777" w:rsidR="0097090C" w:rsidRDefault="0097090C" w:rsidP="0097090C"/>
    <w:p w14:paraId="745DF164" w14:textId="77777777" w:rsidR="0097090C" w:rsidRDefault="0097090C" w:rsidP="0097090C">
      <w:r w:rsidRPr="00881CAB">
        <w:t>Depreciation of an asset begins when it is available for use. Prior to depreciation commencing, an asset will be reported as work-in-progress.</w:t>
      </w:r>
      <w:r>
        <w:br/>
      </w:r>
    </w:p>
    <w:p w14:paraId="5302913F" w14:textId="77777777" w:rsidR="0097090C" w:rsidRDefault="0097090C" w:rsidP="0097090C">
      <w:pPr>
        <w:spacing w:after="200" w:line="276" w:lineRule="auto"/>
      </w:pPr>
      <w:r>
        <w:br w:type="page"/>
      </w:r>
    </w:p>
    <w:p w14:paraId="248B0AE9" w14:textId="77777777" w:rsidR="0097090C" w:rsidRDefault="0097090C" w:rsidP="0097090C">
      <w:r>
        <w:t>Estimates of remaining useful lives to the entity are made on an annual basis for all assets, with annual assessments for all classes. The following are the estimated useful lives for the different asset classes for current and prior years:</w:t>
      </w:r>
    </w:p>
    <w:p w14:paraId="052E4B23" w14:textId="77777777" w:rsidR="0097090C" w:rsidRDefault="0097090C" w:rsidP="0097090C">
      <w:pPr>
        <w:ind w:firstLine="709"/>
      </w:pPr>
      <w:r>
        <w:t>Buildings</w:t>
      </w:r>
      <w:r>
        <w:tab/>
      </w:r>
      <w:r>
        <w:tab/>
      </w:r>
      <w:r>
        <w:tab/>
      </w:r>
      <w:r>
        <w:tab/>
      </w:r>
      <w:r>
        <w:tab/>
      </w:r>
      <w:r>
        <w:tab/>
        <w:t>20-100 years</w:t>
      </w:r>
    </w:p>
    <w:p w14:paraId="5C0543EC" w14:textId="77777777" w:rsidR="0097090C" w:rsidRDefault="0097090C" w:rsidP="0097090C">
      <w:pPr>
        <w:ind w:firstLine="709"/>
      </w:pPr>
      <w:r>
        <w:t>Plant and equipment</w:t>
      </w:r>
      <w:r>
        <w:tab/>
      </w:r>
      <w:r>
        <w:tab/>
      </w:r>
      <w:r>
        <w:tab/>
      </w:r>
      <w:r>
        <w:tab/>
      </w:r>
      <w:r>
        <w:tab/>
        <w:t>1-20 years</w:t>
      </w:r>
    </w:p>
    <w:p w14:paraId="510B9624" w14:textId="77777777" w:rsidR="0097090C" w:rsidRDefault="0097090C" w:rsidP="0097090C">
      <w:pPr>
        <w:ind w:firstLine="709"/>
      </w:pPr>
      <w:r>
        <w:t>Exhibitions</w:t>
      </w:r>
      <w:r>
        <w:tab/>
      </w:r>
      <w:r>
        <w:tab/>
      </w:r>
      <w:r>
        <w:tab/>
      </w:r>
      <w:r>
        <w:tab/>
      </w:r>
      <w:r>
        <w:tab/>
      </w:r>
      <w:r>
        <w:tab/>
        <w:t>1-5 years</w:t>
      </w:r>
    </w:p>
    <w:p w14:paraId="448BC203" w14:textId="77777777" w:rsidR="0097090C" w:rsidRDefault="0097090C" w:rsidP="0097090C">
      <w:pPr>
        <w:ind w:firstLine="709"/>
      </w:pPr>
      <w:r>
        <w:t>Library (non-Rare or High Value items)</w:t>
      </w:r>
      <w:r>
        <w:tab/>
      </w:r>
      <w:r>
        <w:tab/>
        <w:t>50 years</w:t>
      </w:r>
    </w:p>
    <w:p w14:paraId="409ECC40" w14:textId="77777777" w:rsidR="0097090C" w:rsidRDefault="0097090C" w:rsidP="0097090C">
      <w:pPr>
        <w:rPr>
          <w:sz w:val="20"/>
        </w:rPr>
      </w:pPr>
    </w:p>
    <w:p w14:paraId="270E80F4" w14:textId="77777777" w:rsidR="0097090C" w:rsidRDefault="0097090C" w:rsidP="0097090C">
      <w:r>
        <w:t xml:space="preserve">Exhibitions with a life of one year or less are expensed immediately. Exhibitions with an anticipated life of more than one year are capitalised and depreciated over their remaining useful life. </w:t>
      </w:r>
    </w:p>
    <w:p w14:paraId="7275D1FA" w14:textId="77777777" w:rsidR="0097090C" w:rsidRDefault="0097090C" w:rsidP="0097090C"/>
    <w:p w14:paraId="2D054CA5" w14:textId="77777777" w:rsidR="0097090C" w:rsidRPr="00E12AFD" w:rsidRDefault="0097090C" w:rsidP="0097090C">
      <w:pPr>
        <w:rPr>
          <w:i/>
        </w:rPr>
      </w:pPr>
      <w:r w:rsidRPr="00E12AFD">
        <w:rPr>
          <w:i/>
        </w:rPr>
        <w:t>Disposal of Non-Financial Assets</w:t>
      </w:r>
    </w:p>
    <w:p w14:paraId="3F5A3447" w14:textId="77777777" w:rsidR="0097090C" w:rsidRDefault="0097090C" w:rsidP="0097090C">
      <w:pPr>
        <w:rPr>
          <w:rFonts w:cs="Arial"/>
        </w:rPr>
      </w:pPr>
      <w:r w:rsidRPr="00822CF0">
        <w:rPr>
          <w:rFonts w:cs="Arial"/>
        </w:rPr>
        <w:t>Any gain or loss on the sale of non-financial assets is recognised at the date that control of the asset is passed to the buyer and is determined after deducting from the proceeds the carrying value of the asset at that time.</w:t>
      </w:r>
    </w:p>
    <w:p w14:paraId="02945593" w14:textId="77777777" w:rsidR="0097090C" w:rsidRDefault="0097090C" w:rsidP="0097090C">
      <w:pPr>
        <w:rPr>
          <w:rFonts w:cs="Arial"/>
        </w:rPr>
      </w:pPr>
    </w:p>
    <w:p w14:paraId="0FA38A59" w14:textId="77777777" w:rsidR="0097090C" w:rsidRPr="00E12AFD" w:rsidRDefault="0097090C" w:rsidP="0097090C">
      <w:pPr>
        <w:rPr>
          <w:i/>
        </w:rPr>
      </w:pPr>
      <w:r w:rsidRPr="00E12AFD">
        <w:rPr>
          <w:i/>
        </w:rPr>
        <w:t>Impairment of Assets</w:t>
      </w:r>
    </w:p>
    <w:p w14:paraId="0FFF36AE" w14:textId="77777777" w:rsidR="0097090C" w:rsidRDefault="0097090C" w:rsidP="0097090C">
      <w:r w:rsidRPr="00F81E96">
        <w:t>Assets are assessed annually for indica</w:t>
      </w:r>
      <w:r>
        <w:t xml:space="preserve">tions of impairment, </w:t>
      </w:r>
      <w:r w:rsidRPr="008F09DA">
        <w:t>except for inventories (refer Note 1(e)).</w:t>
      </w:r>
    </w:p>
    <w:p w14:paraId="4CE15A1F" w14:textId="77777777" w:rsidR="0097090C" w:rsidRPr="00F81E96" w:rsidRDefault="0097090C" w:rsidP="0097090C"/>
    <w:p w14:paraId="7C4B37D7" w14:textId="77777777" w:rsidR="0097090C" w:rsidRDefault="0097090C" w:rsidP="0097090C">
      <w:r w:rsidRPr="00F81E96">
        <w:t xml:space="preserve">If there is an indication of impairment, the assets concerned are tested as to whether their carrying value exceeds their possible recoverable amount. Where an asset’s carrying value exceeds its recoverable amount, the difference is written off by a charge to the </w:t>
      </w:r>
      <w:r>
        <w:t>Comprehensive O</w:t>
      </w:r>
      <w:r w:rsidRPr="00F81E96">
        <w:t xml:space="preserve">perating </w:t>
      </w:r>
      <w:r>
        <w:t>S</w:t>
      </w:r>
      <w:r w:rsidRPr="00F81E96">
        <w:t xml:space="preserve">tatement except to the extent that the write-down can be debited to an asset revaluation </w:t>
      </w:r>
      <w:r>
        <w:t>surplus</w:t>
      </w:r>
      <w:r w:rsidRPr="00F81E96">
        <w:t xml:space="preserve"> amount applicable to that class of asset.</w:t>
      </w:r>
    </w:p>
    <w:p w14:paraId="6CAA387A" w14:textId="77777777" w:rsidR="0097090C" w:rsidRDefault="0097090C" w:rsidP="0097090C">
      <w:pPr>
        <w:pStyle w:val="Heading5"/>
      </w:pPr>
    </w:p>
    <w:p w14:paraId="59458672" w14:textId="77777777" w:rsidR="0097090C" w:rsidRPr="004762CD" w:rsidRDefault="0097090C" w:rsidP="0097090C">
      <w:pPr>
        <w:pStyle w:val="Heading5"/>
        <w:numPr>
          <w:ilvl w:val="0"/>
          <w:numId w:val="28"/>
        </w:numPr>
        <w:rPr>
          <w:szCs w:val="18"/>
        </w:rPr>
      </w:pPr>
      <w:r w:rsidRPr="004762CD">
        <w:rPr>
          <w:szCs w:val="18"/>
        </w:rPr>
        <w:t xml:space="preserve">INVENTORIES </w:t>
      </w:r>
    </w:p>
    <w:p w14:paraId="5B43B36E" w14:textId="77777777" w:rsidR="0097090C" w:rsidRDefault="0097090C" w:rsidP="0097090C">
      <w:r w:rsidRPr="009E08EC">
        <w:t>Inventories include goods and other property held either for sale or for distribution at no or nominal cost in the ordinary course of business operations. It excludes depreciable assets.</w:t>
      </w:r>
    </w:p>
    <w:p w14:paraId="4F477201" w14:textId="77777777" w:rsidR="0097090C" w:rsidRDefault="0097090C" w:rsidP="0097090C">
      <w:r w:rsidRPr="009E08EC">
        <w:t>Inventories are measured at the lower of cost</w:t>
      </w:r>
      <w:r>
        <w:t xml:space="preserve"> and net realisable value.</w:t>
      </w:r>
    </w:p>
    <w:p w14:paraId="02ED718D" w14:textId="77777777" w:rsidR="0097090C" w:rsidRDefault="0097090C" w:rsidP="0097090C">
      <w:pPr>
        <w:pStyle w:val="NormalIndent"/>
        <w:ind w:left="357" w:hanging="357"/>
        <w:jc w:val="both"/>
        <w:rPr>
          <w:sz w:val="20"/>
        </w:rPr>
      </w:pPr>
    </w:p>
    <w:p w14:paraId="6A29D1E3" w14:textId="77777777" w:rsidR="0097090C" w:rsidRPr="004762CD" w:rsidRDefault="0097090C" w:rsidP="0097090C">
      <w:pPr>
        <w:pStyle w:val="Heading5"/>
        <w:numPr>
          <w:ilvl w:val="0"/>
          <w:numId w:val="28"/>
        </w:numPr>
      </w:pPr>
      <w:r w:rsidRPr="004762CD">
        <w:t xml:space="preserve">RECEIVABLES </w:t>
      </w:r>
    </w:p>
    <w:p w14:paraId="6165DCFD" w14:textId="77777777" w:rsidR="0097090C" w:rsidRDefault="0097090C" w:rsidP="0097090C">
      <w:r>
        <w:t xml:space="preserve">Trade debtors are recognised at the amount receivable, as they are due for settlement no more than 30 days from the date of recognition. Collectability of trade debtors is reviewed on an ongoing basis. A provision for doubtful debts is raised when there is objective evidence that the debts will not be collected. Bad debts are written off when identified. </w:t>
      </w:r>
    </w:p>
    <w:p w14:paraId="1BDBB97E" w14:textId="77777777" w:rsidR="0097090C" w:rsidRDefault="0097090C" w:rsidP="0097090C">
      <w:pPr>
        <w:pStyle w:val="NormalIndent"/>
        <w:ind w:left="357" w:hanging="357"/>
        <w:jc w:val="both"/>
        <w:rPr>
          <w:sz w:val="20"/>
        </w:rPr>
      </w:pPr>
    </w:p>
    <w:p w14:paraId="5767D99C" w14:textId="77777777" w:rsidR="0097090C" w:rsidRPr="004762CD" w:rsidRDefault="0097090C" w:rsidP="0097090C">
      <w:pPr>
        <w:pStyle w:val="Heading5"/>
        <w:numPr>
          <w:ilvl w:val="0"/>
          <w:numId w:val="28"/>
        </w:numPr>
      </w:pPr>
      <w:r w:rsidRPr="008F09DA">
        <w:t>INCOME FROM TRANSACTIONS</w:t>
      </w:r>
    </w:p>
    <w:p w14:paraId="46141069" w14:textId="77777777" w:rsidR="0097090C" w:rsidRPr="001C15C5" w:rsidRDefault="0097090C" w:rsidP="0097090C">
      <w:pPr>
        <w:pStyle w:val="Heading6"/>
      </w:pPr>
      <w:r w:rsidRPr="001C15C5">
        <w:t>Grant income</w:t>
      </w:r>
    </w:p>
    <w:p w14:paraId="0AC664B7" w14:textId="77777777" w:rsidR="0097090C" w:rsidRDefault="0097090C" w:rsidP="0097090C">
      <w:r w:rsidRPr="008F09DA">
        <w:t xml:space="preserve">Grants from Government and other sources are brought to account as income as and when received, and when the Museum gains control of the underlying assets. For non-reciprocal grants, the Museum is deemed to have assumed control when the grant is received or receivable. Expenditure from such grants is recognised when incurred. </w:t>
      </w:r>
    </w:p>
    <w:p w14:paraId="7812686A" w14:textId="77777777" w:rsidR="0097090C" w:rsidRDefault="0097090C" w:rsidP="0097090C">
      <w:pPr>
        <w:pStyle w:val="NormalIndent"/>
        <w:jc w:val="both"/>
        <w:rPr>
          <w:sz w:val="20"/>
        </w:rPr>
      </w:pPr>
    </w:p>
    <w:p w14:paraId="753CA397" w14:textId="77777777" w:rsidR="0097090C" w:rsidRPr="001C15C5" w:rsidRDefault="0097090C" w:rsidP="0097090C">
      <w:pPr>
        <w:pStyle w:val="Heading6"/>
      </w:pPr>
      <w:r w:rsidRPr="001C15C5">
        <w:t>Fees and charges</w:t>
      </w:r>
    </w:p>
    <w:p w14:paraId="325CC613" w14:textId="77777777" w:rsidR="0097090C" w:rsidRPr="008F09DA" w:rsidRDefault="0097090C" w:rsidP="0097090C">
      <w:r w:rsidRPr="008F09DA">
        <w:t>Income from fees and charges is recognised at the time of attenda</w:t>
      </w:r>
      <w:r>
        <w:t xml:space="preserve">nce by visitors paying fees and </w:t>
      </w:r>
      <w:r w:rsidRPr="008F09DA">
        <w:t>charge</w:t>
      </w:r>
      <w:r>
        <w:t>s</w:t>
      </w:r>
      <w:r w:rsidRPr="008F09DA">
        <w:t>.</w:t>
      </w:r>
    </w:p>
    <w:p w14:paraId="2C27A83C" w14:textId="77777777" w:rsidR="0097090C" w:rsidRPr="008F09DA" w:rsidRDefault="0097090C" w:rsidP="0097090C"/>
    <w:p w14:paraId="086DDDC4" w14:textId="77777777" w:rsidR="0097090C" w:rsidRPr="001C15C5" w:rsidRDefault="0097090C" w:rsidP="0097090C">
      <w:pPr>
        <w:rPr>
          <w:i/>
        </w:rPr>
      </w:pPr>
      <w:r w:rsidRPr="001C15C5">
        <w:rPr>
          <w:i/>
        </w:rPr>
        <w:t xml:space="preserve">Sales of goods and </w:t>
      </w:r>
      <w:r w:rsidRPr="00ED6358">
        <w:rPr>
          <w:i/>
        </w:rPr>
        <w:t>services</w:t>
      </w:r>
    </w:p>
    <w:p w14:paraId="79E1651E" w14:textId="77777777" w:rsidR="0097090C" w:rsidRDefault="0097090C" w:rsidP="0097090C">
      <w:r w:rsidRPr="008F09DA">
        <w:t>Income from the sale of goods and services is recognised upon delive</w:t>
      </w:r>
      <w:r>
        <w:t xml:space="preserve">ry of the goods and services to </w:t>
      </w:r>
      <w:r w:rsidRPr="008F09DA">
        <w:t>the customer.</w:t>
      </w:r>
    </w:p>
    <w:p w14:paraId="56F12396" w14:textId="77777777" w:rsidR="0097090C" w:rsidRPr="001C15C5" w:rsidRDefault="0097090C" w:rsidP="0097090C"/>
    <w:p w14:paraId="7BEF1CB6" w14:textId="77777777" w:rsidR="0097090C" w:rsidRPr="001C15C5" w:rsidRDefault="0097090C" w:rsidP="0097090C">
      <w:pPr>
        <w:pStyle w:val="Heading6"/>
      </w:pPr>
      <w:r w:rsidRPr="001C15C5">
        <w:t>Interest income</w:t>
      </w:r>
    </w:p>
    <w:p w14:paraId="1F2D6F8D" w14:textId="77777777" w:rsidR="0097090C" w:rsidRDefault="0097090C" w:rsidP="0097090C">
      <w:r w:rsidRPr="008F09DA">
        <w:t xml:space="preserve">Interest income is recognised on the proportional basis taking into account interest rates applicable to the financial assets. </w:t>
      </w:r>
    </w:p>
    <w:p w14:paraId="2D1D2A66" w14:textId="77777777" w:rsidR="0097090C" w:rsidRDefault="0097090C" w:rsidP="0097090C"/>
    <w:p w14:paraId="52F04B0B" w14:textId="77777777" w:rsidR="0097090C" w:rsidRPr="001C15C5" w:rsidRDefault="0097090C" w:rsidP="0097090C">
      <w:pPr>
        <w:pStyle w:val="Heading6"/>
      </w:pPr>
      <w:r w:rsidRPr="001C15C5">
        <w:t>Donations</w:t>
      </w:r>
    </w:p>
    <w:p w14:paraId="677BC37B" w14:textId="77777777" w:rsidR="0097090C" w:rsidRDefault="0097090C" w:rsidP="0097090C">
      <w:r w:rsidRPr="008F09DA">
        <w:t>Specific donations, for exhibition development have been treated in these financial statements as income, when received</w:t>
      </w:r>
      <w:r>
        <w:t xml:space="preserve"> or receivable.</w:t>
      </w:r>
    </w:p>
    <w:p w14:paraId="12072166" w14:textId="77777777" w:rsidR="0097090C" w:rsidRDefault="0097090C" w:rsidP="0097090C"/>
    <w:p w14:paraId="3699061F" w14:textId="77777777" w:rsidR="0097090C" w:rsidRPr="008B4EB4" w:rsidRDefault="0097090C" w:rsidP="0097090C">
      <w:pPr>
        <w:pStyle w:val="Heading6"/>
      </w:pPr>
      <w:r w:rsidRPr="008B4EB4">
        <w:t>Rent Revenue</w:t>
      </w:r>
    </w:p>
    <w:p w14:paraId="278C925A" w14:textId="77777777" w:rsidR="0097090C" w:rsidRDefault="0097090C" w:rsidP="0097090C">
      <w:r>
        <w:t>Rental revenue at museum venues is recognised when the services are provided.</w:t>
      </w:r>
    </w:p>
    <w:p w14:paraId="56D75E49" w14:textId="77777777" w:rsidR="0097090C" w:rsidRDefault="0097090C" w:rsidP="0097090C"/>
    <w:p w14:paraId="1F48FD53" w14:textId="77777777" w:rsidR="0097090C" w:rsidRPr="008B4EB4" w:rsidRDefault="0097090C" w:rsidP="0097090C">
      <w:pPr>
        <w:pStyle w:val="Heading6"/>
      </w:pPr>
      <w:r w:rsidRPr="008B4EB4">
        <w:t>Other income</w:t>
      </w:r>
    </w:p>
    <w:p w14:paraId="4E2B14B8" w14:textId="77777777" w:rsidR="0097090C" w:rsidRDefault="0097090C" w:rsidP="0097090C">
      <w:r>
        <w:t>All other income for the provision of goods and services is recognised when received or receivable.</w:t>
      </w:r>
    </w:p>
    <w:p w14:paraId="65C6C031" w14:textId="77777777" w:rsidR="0097090C" w:rsidRDefault="0097090C" w:rsidP="0097090C">
      <w:pPr>
        <w:pStyle w:val="NormalIndent"/>
        <w:jc w:val="both"/>
        <w:rPr>
          <w:sz w:val="20"/>
        </w:rPr>
      </w:pPr>
    </w:p>
    <w:p w14:paraId="14C8007B" w14:textId="77777777" w:rsidR="0097090C" w:rsidRDefault="0097090C" w:rsidP="0097090C">
      <w:pPr>
        <w:pStyle w:val="NormalIndent"/>
        <w:ind w:left="0" w:firstLine="0"/>
        <w:jc w:val="both"/>
        <w:rPr>
          <w:b/>
        </w:rPr>
      </w:pPr>
    </w:p>
    <w:p w14:paraId="57C718A4" w14:textId="77777777" w:rsidR="0097090C" w:rsidRDefault="0097090C" w:rsidP="0097090C">
      <w:pPr>
        <w:pStyle w:val="Heading5"/>
        <w:numPr>
          <w:ilvl w:val="0"/>
          <w:numId w:val="28"/>
        </w:numPr>
      </w:pPr>
      <w:r>
        <w:t>EXPENSES FROM TRANSACTIONS</w:t>
      </w:r>
    </w:p>
    <w:p w14:paraId="0C0940FF" w14:textId="77777777" w:rsidR="0097090C" w:rsidRPr="00B766E3" w:rsidRDefault="0097090C" w:rsidP="0097090C">
      <w:pPr>
        <w:pStyle w:val="Heading6"/>
      </w:pPr>
      <w:r>
        <w:t>Employee expenses</w:t>
      </w:r>
    </w:p>
    <w:p w14:paraId="5A0F1BF3" w14:textId="77777777" w:rsidR="0097090C" w:rsidRDefault="0097090C" w:rsidP="0097090C">
      <w:r w:rsidRPr="00B766E3">
        <w:t xml:space="preserve">These expenses include all costs related to employment including wages and salaries, </w:t>
      </w:r>
      <w:r>
        <w:t xml:space="preserve">superannuation, </w:t>
      </w:r>
      <w:r w:rsidRPr="00B766E3">
        <w:t>fringe benefits tax, leave entitlements, redundancy payments and WorkCover premiums.</w:t>
      </w:r>
    </w:p>
    <w:p w14:paraId="10B024A7" w14:textId="77777777" w:rsidR="0097090C" w:rsidRDefault="0097090C" w:rsidP="0097090C">
      <w:pPr>
        <w:rPr>
          <w:sz w:val="20"/>
        </w:rPr>
      </w:pPr>
    </w:p>
    <w:p w14:paraId="507AD94F" w14:textId="77777777" w:rsidR="0097090C" w:rsidRPr="00041FEA" w:rsidRDefault="0097090C" w:rsidP="0097090C">
      <w:pPr>
        <w:pStyle w:val="Heading6"/>
      </w:pPr>
      <w:r w:rsidRPr="00041FEA">
        <w:t>Cost of Goods Sold</w:t>
      </w:r>
    </w:p>
    <w:p w14:paraId="13EF7FD9" w14:textId="77777777" w:rsidR="0097090C" w:rsidRPr="00B766E3" w:rsidRDefault="0097090C" w:rsidP="0097090C">
      <w:r w:rsidRPr="00041FEA">
        <w:t>When inventories are sold, the carrying amount of those inventories shall be recognised as an expense in the period in which the related income is recognised. The amount of any write down of inventories to net realisable value and all losses of inventories shall be recognised as an expense in the period the write down or loss occurs. The amount of any reversal of any write down of inventories, arising from an increase in net realisable value, shall be recognised as a reduction in the amount of inventories recognised as an expense in the period in which the reversal occurs.</w:t>
      </w:r>
    </w:p>
    <w:p w14:paraId="66085AA2" w14:textId="77777777" w:rsidR="0097090C" w:rsidRDefault="0097090C" w:rsidP="0097090C">
      <w:pPr>
        <w:rPr>
          <w:sz w:val="20"/>
        </w:rPr>
      </w:pPr>
    </w:p>
    <w:p w14:paraId="6989D888" w14:textId="77777777" w:rsidR="0097090C" w:rsidRPr="00041FEA" w:rsidRDefault="0097090C" w:rsidP="0097090C">
      <w:pPr>
        <w:pStyle w:val="Heading6"/>
      </w:pPr>
      <w:r w:rsidRPr="00041FEA">
        <w:t>Buildings and Facilities</w:t>
      </w:r>
    </w:p>
    <w:p w14:paraId="6844D7E2" w14:textId="77777777" w:rsidR="0097090C" w:rsidRDefault="0097090C" w:rsidP="0097090C">
      <w:r>
        <w:t>C</w:t>
      </w:r>
      <w:r w:rsidRPr="00041FEA">
        <w:t xml:space="preserve">osts </w:t>
      </w:r>
      <w:r>
        <w:t xml:space="preserve">related to buildings and facilities are </w:t>
      </w:r>
      <w:r w:rsidRPr="00041FEA">
        <w:t xml:space="preserve">recognised as an expense in the reporting period in which they are incurred. </w:t>
      </w:r>
    </w:p>
    <w:p w14:paraId="341AEA52" w14:textId="77777777" w:rsidR="0097090C" w:rsidRDefault="0097090C" w:rsidP="0097090C"/>
    <w:p w14:paraId="079C10E0" w14:textId="77777777" w:rsidR="0097090C" w:rsidRPr="00041FEA" w:rsidRDefault="0097090C" w:rsidP="0097090C">
      <w:pPr>
        <w:pStyle w:val="Heading6"/>
      </w:pPr>
      <w:r w:rsidRPr="00041FEA">
        <w:t>Consumables and Corporate Expenses</w:t>
      </w:r>
    </w:p>
    <w:p w14:paraId="094026FD" w14:textId="77777777" w:rsidR="0097090C" w:rsidRDefault="0097090C" w:rsidP="0097090C">
      <w:r>
        <w:t>C</w:t>
      </w:r>
      <w:r w:rsidRPr="00041FEA">
        <w:t xml:space="preserve">osts </w:t>
      </w:r>
      <w:r>
        <w:t xml:space="preserve">related to consumables and corporate expenses are </w:t>
      </w:r>
      <w:r w:rsidRPr="00041FEA">
        <w:t xml:space="preserve">recognised as an expense in the reporting period in which they are incurred. </w:t>
      </w:r>
    </w:p>
    <w:p w14:paraId="7D246191" w14:textId="77777777" w:rsidR="0097090C" w:rsidRDefault="0097090C" w:rsidP="0097090C"/>
    <w:p w14:paraId="77BFF793" w14:textId="77777777" w:rsidR="0097090C" w:rsidRPr="00041FEA" w:rsidRDefault="0097090C" w:rsidP="0097090C">
      <w:pPr>
        <w:pStyle w:val="Heading6"/>
      </w:pPr>
      <w:r w:rsidRPr="00041FEA">
        <w:t>Other Operating Expenses</w:t>
      </w:r>
    </w:p>
    <w:p w14:paraId="1A89C501" w14:textId="77777777" w:rsidR="0097090C" w:rsidRDefault="0097090C" w:rsidP="0097090C">
      <w:r>
        <w:t>C</w:t>
      </w:r>
      <w:r w:rsidRPr="00041FEA">
        <w:t xml:space="preserve">osts </w:t>
      </w:r>
      <w:r>
        <w:t xml:space="preserve">related to all other operating expenses are </w:t>
      </w:r>
      <w:r w:rsidRPr="00041FEA">
        <w:t xml:space="preserve">recognised as an expense in the reporting period in which they are incurred. </w:t>
      </w:r>
    </w:p>
    <w:p w14:paraId="325781EB" w14:textId="77777777" w:rsidR="0097090C" w:rsidRDefault="0097090C" w:rsidP="0097090C">
      <w:pPr>
        <w:pStyle w:val="NormalIndent"/>
        <w:ind w:left="357" w:firstLine="0"/>
        <w:jc w:val="both"/>
        <w:rPr>
          <w:b/>
        </w:rPr>
      </w:pPr>
    </w:p>
    <w:p w14:paraId="621FE3F1" w14:textId="77777777" w:rsidR="0097090C" w:rsidRPr="004762CD" w:rsidRDefault="0097090C" w:rsidP="0097090C">
      <w:pPr>
        <w:pStyle w:val="Heading5"/>
        <w:numPr>
          <w:ilvl w:val="0"/>
          <w:numId w:val="28"/>
        </w:numPr>
      </w:pPr>
      <w:r w:rsidRPr="004762CD">
        <w:t xml:space="preserve">EMPLOYEE BENEFITS </w:t>
      </w:r>
    </w:p>
    <w:p w14:paraId="7C789101" w14:textId="77777777" w:rsidR="0097090C" w:rsidRDefault="0097090C" w:rsidP="0097090C">
      <w:r w:rsidRPr="00881CAB">
        <w:t xml:space="preserve">Provision is made </w:t>
      </w:r>
      <w:r>
        <w:t xml:space="preserve">for benefits accruing to employees in </w:t>
      </w:r>
      <w:r w:rsidRPr="00881CAB">
        <w:t>respect of wages</w:t>
      </w:r>
      <w:r>
        <w:t xml:space="preserve"> and salaries, </w:t>
      </w:r>
      <w:r w:rsidRPr="00881CAB">
        <w:t xml:space="preserve">annual leave and long service leave </w:t>
      </w:r>
      <w:r>
        <w:t>for services rendered to the reporting date</w:t>
      </w:r>
      <w:r w:rsidRPr="00881CAB">
        <w:t>.</w:t>
      </w:r>
    </w:p>
    <w:p w14:paraId="385FC841" w14:textId="77777777" w:rsidR="0097090C" w:rsidRPr="00881CAB" w:rsidRDefault="0097090C" w:rsidP="0097090C">
      <w:pPr>
        <w:pStyle w:val="Heading6"/>
      </w:pPr>
      <w:r w:rsidRPr="00881CAB">
        <w:t xml:space="preserve"> (i)</w:t>
      </w:r>
      <w:r w:rsidRPr="00881CAB">
        <w:tab/>
        <w:t>Wages, Salaries &amp; Annual Leave</w:t>
      </w:r>
    </w:p>
    <w:p w14:paraId="4D9226E0" w14:textId="77777777" w:rsidR="0097090C" w:rsidRDefault="0097090C" w:rsidP="0097090C">
      <w:r w:rsidRPr="00881CAB">
        <w:t>Liabilities for wages and salaries and annual leave expected to be settled within 12 months of the reporting date are recognised in respect of employees’ services up to the reporting date and are measured as the amounts expected to be paid when the liabilities are settled.</w:t>
      </w:r>
    </w:p>
    <w:p w14:paraId="7AEA413A" w14:textId="77777777" w:rsidR="0097090C" w:rsidRPr="00881CAB" w:rsidRDefault="0097090C" w:rsidP="0097090C">
      <w:pPr>
        <w:pStyle w:val="Heading6"/>
      </w:pPr>
      <w:r>
        <w:t>(ii)</w:t>
      </w:r>
      <w:r w:rsidRPr="00881CAB">
        <w:tab/>
        <w:t>Long Service Leave</w:t>
      </w:r>
    </w:p>
    <w:p w14:paraId="07D556D1" w14:textId="77777777" w:rsidR="0097090C" w:rsidRPr="00881CAB" w:rsidRDefault="0097090C" w:rsidP="0097090C">
      <w:r w:rsidRPr="00881CAB">
        <w:t>Liability for long service leave (LSL) is recognised in the provision for employee benefits</w:t>
      </w:r>
      <w:r>
        <w:t>.</w:t>
      </w:r>
    </w:p>
    <w:p w14:paraId="1E705670" w14:textId="77777777" w:rsidR="0097090C" w:rsidRDefault="0097090C" w:rsidP="0097090C">
      <w:r w:rsidRPr="00881CAB">
        <w:rPr>
          <w:i/>
          <w:sz w:val="20"/>
        </w:rPr>
        <w:t xml:space="preserve">Current liability –unconditional LSL </w:t>
      </w:r>
      <w:r w:rsidRPr="00EE0277">
        <w:t>(representing 7 or more years of continuous service for staff and executives) is disclosed as a current liability even where the Museum does not expect to settle the liability within 12 months because it will not have an unconditional right to defer the settlement of the entitlement should the employee take leave within 12 months.</w:t>
      </w:r>
    </w:p>
    <w:p w14:paraId="56B0B73D" w14:textId="77777777" w:rsidR="0097090C" w:rsidRPr="00EE0277" w:rsidRDefault="0097090C" w:rsidP="0097090C"/>
    <w:p w14:paraId="547293F9" w14:textId="77777777" w:rsidR="0097090C" w:rsidRDefault="0097090C" w:rsidP="0097090C">
      <w:r w:rsidRPr="00881CAB">
        <w:rPr>
          <w:i/>
        </w:rPr>
        <w:t>Non-</w:t>
      </w:r>
      <w:r>
        <w:rPr>
          <w:i/>
        </w:rPr>
        <w:t>c</w:t>
      </w:r>
      <w:r w:rsidRPr="00881CAB">
        <w:rPr>
          <w:i/>
        </w:rPr>
        <w:t xml:space="preserve">urrent liability –conditional LSL </w:t>
      </w:r>
      <w:r w:rsidRPr="00881CAB">
        <w:t>(representing less than 7 years of continuous service for staff and executives) is disclosed as a non-current liability. There is an unconditional right to defer the settlement of the entitlement until the employee has completed the requisite years of service.</w:t>
      </w:r>
    </w:p>
    <w:p w14:paraId="4AA3981D" w14:textId="77777777" w:rsidR="0097090C" w:rsidRPr="00881CAB" w:rsidRDefault="0097090C" w:rsidP="0097090C">
      <w:pPr>
        <w:pStyle w:val="NormalIndent"/>
        <w:tabs>
          <w:tab w:val="clear" w:pos="360"/>
          <w:tab w:val="left" w:pos="284"/>
          <w:tab w:val="left" w:pos="426"/>
        </w:tabs>
        <w:jc w:val="both"/>
        <w:rPr>
          <w:sz w:val="20"/>
        </w:rPr>
      </w:pPr>
    </w:p>
    <w:p w14:paraId="010F7684" w14:textId="77777777" w:rsidR="0097090C" w:rsidRDefault="0097090C" w:rsidP="0097090C">
      <w:r w:rsidRPr="00881CAB">
        <w:t>Consideration is given to expected future wage and salary levels, experience of employee departures and periods of service.  Expected future payments are discounted using interest rates on national Government guaranteed securities with terms to maturity that match, as closely as possible, the estimated future cash outflows.</w:t>
      </w:r>
    </w:p>
    <w:p w14:paraId="49426199" w14:textId="77777777" w:rsidR="0097090C" w:rsidRPr="00881CAB" w:rsidRDefault="0097090C" w:rsidP="0097090C">
      <w:pPr>
        <w:pStyle w:val="Heading6"/>
      </w:pPr>
      <w:r w:rsidRPr="00314B80">
        <w:t>(iii)</w:t>
      </w:r>
      <w:r w:rsidRPr="00314B80">
        <w:tab/>
      </w:r>
      <w:r w:rsidRPr="00881CAB">
        <w:t>Employee Benefit On-costs</w:t>
      </w:r>
    </w:p>
    <w:p w14:paraId="12A6F48A" w14:textId="77777777" w:rsidR="0097090C" w:rsidRDefault="0097090C" w:rsidP="0097090C">
      <w:r w:rsidRPr="00881CAB">
        <w:t xml:space="preserve">Employee benefit on-costs, including </w:t>
      </w:r>
      <w:r>
        <w:t xml:space="preserve">superannuation, workers compensation and </w:t>
      </w:r>
      <w:r w:rsidRPr="00881CAB">
        <w:t>payroll tax are recognised and included in employee benefit liabilities and costs when the employee benefits to which they relate are recognised as liabilities.</w:t>
      </w:r>
    </w:p>
    <w:p w14:paraId="2A001BCA" w14:textId="77777777" w:rsidR="0097090C" w:rsidRPr="00314B80" w:rsidRDefault="0097090C" w:rsidP="0097090C">
      <w:pPr>
        <w:pStyle w:val="Heading6"/>
      </w:pPr>
      <w:r w:rsidRPr="00314B80">
        <w:t>(iv)</w:t>
      </w:r>
      <w:r w:rsidRPr="00314B80">
        <w:tab/>
      </w:r>
      <w:r w:rsidRPr="00A71807">
        <w:t>Superannuation</w:t>
      </w:r>
    </w:p>
    <w:p w14:paraId="6136DD10" w14:textId="77777777" w:rsidR="0097090C" w:rsidRDefault="0097090C" w:rsidP="0097090C">
      <w:r w:rsidRPr="00A71807">
        <w:t xml:space="preserve">The amount </w:t>
      </w:r>
      <w:r>
        <w:t>recognised in</w:t>
      </w:r>
      <w:r w:rsidRPr="00A71807">
        <w:t xml:space="preserve"> the </w:t>
      </w:r>
      <w:r>
        <w:t>Comprehensive Operating S</w:t>
      </w:r>
      <w:r w:rsidRPr="00A71807">
        <w:t xml:space="preserve">tatement in </w:t>
      </w:r>
      <w:r>
        <w:t>relation to employer contributions for members</w:t>
      </w:r>
      <w:r w:rsidRPr="00A71807">
        <w:t xml:space="preserve"> of defined benefit superannuation plans represents the </w:t>
      </w:r>
      <w:r>
        <w:t xml:space="preserve">employer </w:t>
      </w:r>
      <w:r w:rsidRPr="00A71807">
        <w:t xml:space="preserve">contributions </w:t>
      </w:r>
      <w:r>
        <w:t xml:space="preserve">that are paid or payable to these plans during the operating period.  The level of these contributions will vary depending upon the relevant rules of each plan.  </w:t>
      </w:r>
      <w:r w:rsidRPr="00A71807">
        <w:t xml:space="preserve">The Department of Treasury and Finance centrally recognises the defined </w:t>
      </w:r>
      <w:r>
        <w:t>benefit liability.</w:t>
      </w:r>
    </w:p>
    <w:p w14:paraId="10CB8FFF" w14:textId="77777777" w:rsidR="0097090C" w:rsidRPr="00A71807" w:rsidRDefault="0097090C" w:rsidP="0097090C">
      <w:pPr>
        <w:pStyle w:val="NormalIndent"/>
        <w:tabs>
          <w:tab w:val="left" w:pos="284"/>
          <w:tab w:val="left" w:pos="426"/>
        </w:tabs>
        <w:ind w:left="714" w:hanging="357"/>
        <w:jc w:val="both"/>
        <w:rPr>
          <w:sz w:val="20"/>
        </w:rPr>
      </w:pPr>
    </w:p>
    <w:p w14:paraId="6C5FF3AA" w14:textId="77777777" w:rsidR="0097090C" w:rsidRPr="004762CD" w:rsidRDefault="0097090C" w:rsidP="0097090C">
      <w:pPr>
        <w:pStyle w:val="Heading5"/>
        <w:numPr>
          <w:ilvl w:val="0"/>
          <w:numId w:val="28"/>
        </w:numPr>
      </w:pPr>
      <w:r w:rsidRPr="004762CD">
        <w:t xml:space="preserve">ROUNDING </w:t>
      </w:r>
    </w:p>
    <w:p w14:paraId="3813AC48" w14:textId="77777777" w:rsidR="0097090C" w:rsidRDefault="0097090C" w:rsidP="0097090C">
      <w:r>
        <w:t xml:space="preserve">Amounts </w:t>
      </w:r>
      <w:r w:rsidRPr="002E4AC2">
        <w:t xml:space="preserve">in the financial statements and notes thereto have been rounded to the nearest </w:t>
      </w:r>
      <w:r>
        <w:t xml:space="preserve">thousand dollars, </w:t>
      </w:r>
      <w:r w:rsidRPr="00C0688F">
        <w:t>unless otherwise stated.</w:t>
      </w:r>
    </w:p>
    <w:p w14:paraId="65C512CE" w14:textId="77777777" w:rsidR="0097090C" w:rsidRDefault="0097090C" w:rsidP="0097090C">
      <w:pPr>
        <w:pStyle w:val="NormalIndent"/>
        <w:ind w:left="357" w:hanging="357"/>
        <w:jc w:val="both"/>
      </w:pPr>
    </w:p>
    <w:p w14:paraId="546F6212" w14:textId="77777777" w:rsidR="0097090C" w:rsidRPr="00ED6358" w:rsidRDefault="0097090C" w:rsidP="0097090C">
      <w:pPr>
        <w:pStyle w:val="Heading5"/>
        <w:numPr>
          <w:ilvl w:val="0"/>
          <w:numId w:val="28"/>
        </w:numPr>
      </w:pPr>
      <w:r w:rsidRPr="00ED6358">
        <w:t>EQUITY</w:t>
      </w:r>
    </w:p>
    <w:p w14:paraId="50122255" w14:textId="77777777" w:rsidR="0097090C" w:rsidRPr="00ED6358" w:rsidRDefault="0097090C" w:rsidP="0097090C">
      <w:pPr>
        <w:pStyle w:val="Heading6"/>
      </w:pPr>
      <w:r w:rsidRPr="00ED6358">
        <w:t>Contributions By Owners</w:t>
      </w:r>
    </w:p>
    <w:p w14:paraId="62BBEFE4" w14:textId="77777777" w:rsidR="0097090C" w:rsidRPr="00ED6358" w:rsidRDefault="0097090C" w:rsidP="0097090C">
      <w:r w:rsidRPr="00ED6358">
        <w:t xml:space="preserve">Additions to net assets which have been designated as contributions by owners are recognised as contributed capital. Other transfers that are in the nature of contributions or distributions have also been designated as contributions by owners. </w:t>
      </w:r>
    </w:p>
    <w:p w14:paraId="5EEEF5F0" w14:textId="77777777" w:rsidR="0097090C" w:rsidRPr="00ED6358" w:rsidRDefault="0097090C" w:rsidP="0097090C">
      <w:pPr>
        <w:pStyle w:val="NormalIndent"/>
        <w:spacing w:before="60"/>
        <w:jc w:val="both"/>
        <w:rPr>
          <w:sz w:val="20"/>
        </w:rPr>
      </w:pPr>
    </w:p>
    <w:p w14:paraId="105DD88C" w14:textId="77777777" w:rsidR="0097090C" w:rsidRPr="00ED6358" w:rsidRDefault="0097090C" w:rsidP="0097090C">
      <w:r w:rsidRPr="00ED6358">
        <w:t>Transfers of net assets arising from administrative restructurings are treated as distributions to or contributions by owners. Transfers of net liabilities arising from administrative restructurings are treated as distributions to owners</w:t>
      </w:r>
    </w:p>
    <w:p w14:paraId="7B493CF6" w14:textId="77777777" w:rsidR="0097090C" w:rsidRPr="00ED6358" w:rsidRDefault="0097090C" w:rsidP="0097090C">
      <w:pPr>
        <w:pStyle w:val="NormalIndent"/>
        <w:ind w:left="357" w:firstLine="0"/>
        <w:jc w:val="both"/>
        <w:rPr>
          <w:sz w:val="20"/>
        </w:rPr>
      </w:pPr>
    </w:p>
    <w:p w14:paraId="43B49BDC" w14:textId="77777777" w:rsidR="0097090C" w:rsidRPr="00ED6358" w:rsidRDefault="0097090C" w:rsidP="0097090C">
      <w:pPr>
        <w:pStyle w:val="Heading6"/>
      </w:pPr>
      <w:r w:rsidRPr="00ED6358">
        <w:t xml:space="preserve">Trust Funds </w:t>
      </w:r>
    </w:p>
    <w:p w14:paraId="02CC0F62" w14:textId="77777777" w:rsidR="0097090C" w:rsidRPr="00ED6358" w:rsidRDefault="0097090C" w:rsidP="0097090C">
      <w:r w:rsidRPr="00ED6358">
        <w:t xml:space="preserve">This represents the balance of unexpended funds from bequests, external </w:t>
      </w:r>
      <w:r>
        <w:t xml:space="preserve">trusts, board reserves and </w:t>
      </w:r>
      <w:r w:rsidRPr="00ED6358">
        <w:t xml:space="preserve">board trusts </w:t>
      </w:r>
      <w:r>
        <w:t xml:space="preserve">for purposes that include the development and custodianship of collections and ensuring financial sustainability of the entity, </w:t>
      </w:r>
      <w:r w:rsidRPr="00ED6358">
        <w:t>with the proceeds brought to account as revenue upon receipt.  Subsequent expenditure is recorded as an expense in the Comprehensive Operating Statement.</w:t>
      </w:r>
    </w:p>
    <w:p w14:paraId="6976C883" w14:textId="77777777" w:rsidR="0097090C" w:rsidRPr="00ED6358" w:rsidRDefault="0097090C" w:rsidP="0097090C">
      <w:pPr>
        <w:pStyle w:val="NormalIndent"/>
        <w:ind w:left="357" w:firstLine="0"/>
        <w:jc w:val="both"/>
        <w:rPr>
          <w:sz w:val="20"/>
        </w:rPr>
      </w:pPr>
    </w:p>
    <w:p w14:paraId="0CF7465A" w14:textId="77777777" w:rsidR="0097090C" w:rsidRPr="00ED6358" w:rsidRDefault="0097090C" w:rsidP="0097090C">
      <w:pPr>
        <w:pStyle w:val="Heading6"/>
      </w:pPr>
      <w:r w:rsidRPr="00ED6358">
        <w:t xml:space="preserve">Externally Funded Special Projects </w:t>
      </w:r>
    </w:p>
    <w:p w14:paraId="05529F60" w14:textId="77777777" w:rsidR="0097090C" w:rsidRPr="00CF06E0" w:rsidRDefault="0097090C" w:rsidP="0097090C">
      <w:r w:rsidRPr="00ED6358">
        <w:t>This represents the balance of grants and other external funding received by the entity</w:t>
      </w:r>
      <w:r>
        <w:t xml:space="preserve"> from various external entities </w:t>
      </w:r>
      <w:r w:rsidRPr="00ED6358">
        <w:t>for specific projects</w:t>
      </w:r>
      <w:r>
        <w:t xml:space="preserve"> including research, public access, exhibitions and capital</w:t>
      </w:r>
      <w:r w:rsidRPr="00ED6358">
        <w:t xml:space="preserve"> with the proceeds brought to account as revenue upon receipt. Subsequent expenditure is recorded as an expense in the Comprehensive Operating Statement.</w:t>
      </w:r>
    </w:p>
    <w:p w14:paraId="4DB8CD96" w14:textId="77777777" w:rsidR="0097090C" w:rsidRDefault="0097090C" w:rsidP="0097090C">
      <w:pPr>
        <w:pStyle w:val="NormalIndent"/>
        <w:ind w:left="357" w:firstLine="0"/>
        <w:jc w:val="both"/>
        <w:rPr>
          <w:sz w:val="20"/>
        </w:rPr>
      </w:pPr>
    </w:p>
    <w:p w14:paraId="45B3D7AC" w14:textId="77777777" w:rsidR="0097090C" w:rsidRPr="004762CD" w:rsidRDefault="0097090C" w:rsidP="0097090C">
      <w:pPr>
        <w:pStyle w:val="Heading5"/>
        <w:numPr>
          <w:ilvl w:val="0"/>
          <w:numId w:val="28"/>
        </w:numPr>
      </w:pPr>
      <w:r w:rsidRPr="004762CD">
        <w:t>CAPITAL ASSET CHARGE</w:t>
      </w:r>
    </w:p>
    <w:p w14:paraId="1F65B5B5" w14:textId="77777777" w:rsidR="0097090C" w:rsidRPr="00F81E96" w:rsidRDefault="0097090C" w:rsidP="0097090C">
      <w:r w:rsidRPr="00F81E96">
        <w:t xml:space="preserve">The capital asset charge represents the opportunity cost of capital invested in the non-current physical assets used in the provision of outputs. The charge is calculated on the budgeted carrying amount of </w:t>
      </w:r>
      <w:r>
        <w:t>applicable property, plant and equipment</w:t>
      </w:r>
      <w:r w:rsidRPr="00F81E96">
        <w:t xml:space="preserve"> assets. </w:t>
      </w:r>
    </w:p>
    <w:p w14:paraId="1BF89A87" w14:textId="77777777" w:rsidR="0097090C" w:rsidRDefault="0097090C" w:rsidP="0097090C">
      <w:pPr>
        <w:rPr>
          <w:i/>
        </w:rPr>
      </w:pPr>
      <w:r w:rsidRPr="00AC6D7D">
        <w:t>In accordance with Government policy, this charge has been recognised as revenue within the Government grant and disclosed separately as an expense within the financial statements.</w:t>
      </w:r>
    </w:p>
    <w:p w14:paraId="2B4CE23E" w14:textId="77777777" w:rsidR="0097090C" w:rsidRPr="00E12AFD" w:rsidRDefault="0097090C" w:rsidP="0097090C">
      <w:pPr>
        <w:pStyle w:val="NormalIndent"/>
        <w:ind w:left="357" w:firstLine="0"/>
        <w:jc w:val="both"/>
      </w:pPr>
    </w:p>
    <w:p w14:paraId="3F903D04" w14:textId="77777777" w:rsidR="0097090C" w:rsidRPr="004762CD" w:rsidRDefault="0097090C" w:rsidP="0097090C">
      <w:pPr>
        <w:pStyle w:val="Heading5"/>
        <w:numPr>
          <w:ilvl w:val="0"/>
          <w:numId w:val="28"/>
        </w:numPr>
      </w:pPr>
      <w:r w:rsidRPr="004762CD">
        <w:t>CASH AND DEPOSITS</w:t>
      </w:r>
    </w:p>
    <w:p w14:paraId="1B8189CA" w14:textId="77777777" w:rsidR="0097090C" w:rsidRDefault="0097090C" w:rsidP="0097090C">
      <w:r w:rsidRPr="008F09DA">
        <w:t>Cash and deposits, including cash equivalents, comprise cash on hand and cash at bank, deposits at call with an original maturity of three months or less, which are held for the purpose of meeting short</w:t>
      </w:r>
      <w:r>
        <w:t>-</w:t>
      </w:r>
      <w:r w:rsidRPr="008F09DA">
        <w:t xml:space="preserve">term cash commitments rather than for investment purposes, and which are readily convertible to known amounts of cash and are subject to insignificant risk of changes </w:t>
      </w:r>
      <w:r>
        <w:t>in</w:t>
      </w:r>
      <w:r w:rsidRPr="008F09DA">
        <w:t xml:space="preserve"> value.</w:t>
      </w:r>
      <w:r w:rsidRPr="00D64D1B">
        <w:t xml:space="preserve"> </w:t>
      </w:r>
    </w:p>
    <w:p w14:paraId="538FBADC" w14:textId="77777777" w:rsidR="0097090C" w:rsidRPr="00D64D1B" w:rsidRDefault="0097090C" w:rsidP="0097090C">
      <w:pPr>
        <w:pStyle w:val="NormalIndent"/>
        <w:ind w:left="357" w:firstLine="0"/>
        <w:jc w:val="both"/>
        <w:rPr>
          <w:sz w:val="20"/>
        </w:rPr>
      </w:pPr>
    </w:p>
    <w:p w14:paraId="4C0077C4" w14:textId="77777777" w:rsidR="0097090C" w:rsidRPr="004762CD" w:rsidRDefault="0097090C" w:rsidP="0097090C">
      <w:pPr>
        <w:pStyle w:val="Heading5"/>
        <w:numPr>
          <w:ilvl w:val="0"/>
          <w:numId w:val="28"/>
        </w:numPr>
      </w:pPr>
      <w:r w:rsidRPr="004762CD">
        <w:t>PAYABLES</w:t>
      </w:r>
    </w:p>
    <w:p w14:paraId="48FF7EFB" w14:textId="77777777" w:rsidR="0097090C" w:rsidRDefault="0097090C" w:rsidP="0097090C">
      <w:r>
        <w:t>These amounts represent liabilities for goods and services provided prior to the end of the financial year and which are unpaid. The amounts are unsecured and are usually paid within 30 days following the month of recognition.</w:t>
      </w:r>
    </w:p>
    <w:p w14:paraId="0CB748CA" w14:textId="77777777" w:rsidR="0097090C" w:rsidRDefault="0097090C" w:rsidP="0097090C">
      <w:pPr>
        <w:pStyle w:val="NormalIndent"/>
        <w:tabs>
          <w:tab w:val="clear" w:pos="360"/>
          <w:tab w:val="clear" w:pos="720"/>
          <w:tab w:val="clear" w:pos="1440"/>
        </w:tabs>
        <w:ind w:left="357" w:firstLine="0"/>
        <w:jc w:val="both"/>
        <w:rPr>
          <w:sz w:val="20"/>
        </w:rPr>
      </w:pPr>
    </w:p>
    <w:p w14:paraId="6E702C8B" w14:textId="77777777" w:rsidR="0097090C" w:rsidRPr="004762CD" w:rsidRDefault="0097090C" w:rsidP="0097090C">
      <w:pPr>
        <w:pStyle w:val="Heading5"/>
        <w:numPr>
          <w:ilvl w:val="0"/>
          <w:numId w:val="28"/>
        </w:numPr>
      </w:pPr>
      <w:r w:rsidRPr="004762CD">
        <w:t>LEASES</w:t>
      </w:r>
    </w:p>
    <w:p w14:paraId="6069D56B" w14:textId="77777777" w:rsidR="0097090C" w:rsidRDefault="0097090C" w:rsidP="0097090C">
      <w:r>
        <w:t xml:space="preserve">Operating lease payments are charged to the Comprehensive Operating Statement in the periods in which they are incurred, as this represents the pattern of benefits derived from leased assets. </w:t>
      </w:r>
    </w:p>
    <w:p w14:paraId="572D4CB3" w14:textId="77777777" w:rsidR="0097090C" w:rsidRDefault="0097090C" w:rsidP="0097090C"/>
    <w:p w14:paraId="7FE45F44" w14:textId="77777777" w:rsidR="0097090C" w:rsidRDefault="0097090C" w:rsidP="0097090C">
      <w:r>
        <w:t xml:space="preserve">Finance leases are capitalised. A leased asset and liability are established at the present value of minimum lease payments. Lease payments are allocated between the principal component of the lease liability and the interest expense. </w:t>
      </w:r>
    </w:p>
    <w:p w14:paraId="7727B7A6" w14:textId="77777777" w:rsidR="0097090C" w:rsidRDefault="0097090C" w:rsidP="0097090C">
      <w:pPr>
        <w:pStyle w:val="NormalIndent"/>
        <w:ind w:left="357" w:firstLine="0"/>
        <w:jc w:val="both"/>
        <w:rPr>
          <w:sz w:val="20"/>
        </w:rPr>
      </w:pPr>
    </w:p>
    <w:p w14:paraId="49BD5690" w14:textId="77777777" w:rsidR="0097090C" w:rsidRPr="004762CD" w:rsidRDefault="0097090C" w:rsidP="0097090C">
      <w:pPr>
        <w:pStyle w:val="Heading5"/>
        <w:numPr>
          <w:ilvl w:val="0"/>
          <w:numId w:val="28"/>
        </w:numPr>
      </w:pPr>
      <w:r w:rsidRPr="004762CD">
        <w:t>EVENTS AFTER THE REPORTING PERIOD</w:t>
      </w:r>
    </w:p>
    <w:p w14:paraId="7FAEA481" w14:textId="77777777" w:rsidR="0097090C" w:rsidRDefault="0097090C" w:rsidP="0097090C">
      <w:r>
        <w:t>Museums Board of Victoria is not aware of any material events after balance date which would affect these financial statements.</w:t>
      </w:r>
    </w:p>
    <w:p w14:paraId="69E9F307" w14:textId="77777777" w:rsidR="0097090C" w:rsidRDefault="0097090C" w:rsidP="0097090C">
      <w:pPr>
        <w:pStyle w:val="Heading5"/>
      </w:pPr>
    </w:p>
    <w:p w14:paraId="4F1D51A6" w14:textId="77777777" w:rsidR="0097090C" w:rsidRPr="004762CD" w:rsidRDefault="0097090C" w:rsidP="0097090C">
      <w:pPr>
        <w:pStyle w:val="Heading5"/>
        <w:numPr>
          <w:ilvl w:val="0"/>
          <w:numId w:val="28"/>
        </w:numPr>
        <w:rPr>
          <w:szCs w:val="18"/>
        </w:rPr>
      </w:pPr>
      <w:r w:rsidRPr="004762CD">
        <w:rPr>
          <w:szCs w:val="18"/>
        </w:rPr>
        <w:t>NEW AND REVISED ACCOUNTING STANDARDS AND INTERPRETATIONS</w:t>
      </w:r>
    </w:p>
    <w:p w14:paraId="32D21BAE" w14:textId="77777777" w:rsidR="0097090C" w:rsidRDefault="0097090C" w:rsidP="0097090C">
      <w:r w:rsidRPr="00060892">
        <w:t>Certain new accounting standards have been published that are not mandatory for the 30 June 201</w:t>
      </w:r>
      <w:r>
        <w:t>5</w:t>
      </w:r>
      <w:r w:rsidRPr="00060892">
        <w:t xml:space="preserve"> reporting period. The </w:t>
      </w:r>
      <w:r w:rsidRPr="00604A55">
        <w:t xml:space="preserve">Museums Board of Victoria </w:t>
      </w:r>
      <w:r w:rsidRPr="00060892">
        <w:t>assesses the impact of these new standards and early adopts any new standards where applicable.</w:t>
      </w:r>
    </w:p>
    <w:p w14:paraId="417CBBE6" w14:textId="77777777" w:rsidR="0097090C" w:rsidRPr="00060892" w:rsidRDefault="0097090C" w:rsidP="0097090C"/>
    <w:p w14:paraId="694150A7" w14:textId="77777777" w:rsidR="0097090C" w:rsidRDefault="0097090C" w:rsidP="0097090C">
      <w:r w:rsidRPr="00060892">
        <w:t>As at 30 June 201</w:t>
      </w:r>
      <w:r>
        <w:t>6</w:t>
      </w:r>
      <w:r w:rsidRPr="00060892">
        <w:t>, the following standards and interpretations</w:t>
      </w:r>
      <w:r>
        <w:t xml:space="preserve"> </w:t>
      </w:r>
      <w:r w:rsidRPr="00060892">
        <w:t>that are applicable to the Board had been issued but are not</w:t>
      </w:r>
      <w:r>
        <w:t xml:space="preserve"> </w:t>
      </w:r>
      <w:r w:rsidRPr="00060892">
        <w:t>mandatory for the financial year ending 30 June 2014. Standards</w:t>
      </w:r>
      <w:r>
        <w:t xml:space="preserve"> </w:t>
      </w:r>
      <w:r w:rsidRPr="00060892">
        <w:t>and interpretations that are not applicable to the Board have</w:t>
      </w:r>
      <w:r>
        <w:t xml:space="preserve"> </w:t>
      </w:r>
      <w:r w:rsidRPr="00060892">
        <w:t>been omitted. The Board has not early adopted these standards.</w:t>
      </w:r>
      <w:r>
        <w:t xml:space="preserve"> </w:t>
      </w:r>
    </w:p>
    <w:p w14:paraId="09BFF84E" w14:textId="77777777" w:rsidR="0097090C" w:rsidRDefault="0097090C" w:rsidP="0097090C">
      <w:pPr>
        <w:pStyle w:val="NormalIndent"/>
        <w:spacing w:before="60"/>
        <w:ind w:left="0" w:firstLine="0"/>
        <w:jc w:val="both"/>
        <w:rPr>
          <w:sz w:val="20"/>
        </w:rPr>
      </w:pPr>
    </w:p>
    <w:p w14:paraId="24A56F73" w14:textId="77777777" w:rsidR="0097090C" w:rsidRPr="00C35C63" w:rsidRDefault="0097090C" w:rsidP="0097090C">
      <w:r w:rsidRPr="00060892">
        <w:t>No significant impact on the financial statements is expected from</w:t>
      </w:r>
      <w:r>
        <w:t xml:space="preserve"> </w:t>
      </w:r>
      <w:r w:rsidRPr="00060892">
        <w:t>the following standards</w:t>
      </w:r>
      <w:r>
        <w:t xml:space="preserve"> and interpretations</w:t>
      </w:r>
      <w:r w:rsidRPr="00060892">
        <w:t>:</w:t>
      </w:r>
      <w:r>
        <w:t xml:space="preserve"> AASB </w:t>
      </w:r>
      <w:r w:rsidRPr="00DC628F">
        <w:t xml:space="preserve">9 </w:t>
      </w:r>
      <w:r>
        <w:rPr>
          <w:rStyle w:val="Heading6Char"/>
        </w:rPr>
        <w:t>Financial Instruments</w:t>
      </w:r>
    </w:p>
    <w:p w14:paraId="79B16192" w14:textId="77777777" w:rsidR="0097090C" w:rsidRPr="00C81462" w:rsidRDefault="0097090C" w:rsidP="0097090C">
      <w:pPr>
        <w:pStyle w:val="Heading7"/>
      </w:pPr>
      <w:r w:rsidRPr="00C81462">
        <w:t>AASB 2010-7 Amendments to Australian Accounting Standards arising from AASB 9</w:t>
      </w:r>
    </w:p>
    <w:p w14:paraId="24F9133B" w14:textId="77777777" w:rsidR="0097090C" w:rsidRPr="00C81462" w:rsidRDefault="0097090C" w:rsidP="0097090C">
      <w:pPr>
        <w:pStyle w:val="Heading7"/>
      </w:pPr>
      <w:r w:rsidRPr="00C81462">
        <w:t>AASB 15 Revenue from Contracts with Customers</w:t>
      </w:r>
    </w:p>
    <w:p w14:paraId="02637536" w14:textId="77777777" w:rsidR="0097090C" w:rsidRPr="00C81462" w:rsidRDefault="0097090C" w:rsidP="0097090C">
      <w:pPr>
        <w:pStyle w:val="Heading7"/>
      </w:pPr>
      <w:r w:rsidRPr="00C81462">
        <w:t>AASB 16 Leases</w:t>
      </w:r>
    </w:p>
    <w:p w14:paraId="3C9443A0" w14:textId="77777777" w:rsidR="0097090C" w:rsidRPr="00C81462" w:rsidRDefault="0097090C" w:rsidP="0097090C">
      <w:pPr>
        <w:pStyle w:val="Heading7"/>
      </w:pPr>
      <w:r w:rsidRPr="00C81462">
        <w:t>AASB 2015-6 Amendments to Australian Accounting Standards – Extending Related Party Disclosures to Not-for-Profit Public Sector Entities</w:t>
      </w:r>
    </w:p>
    <w:p w14:paraId="1EF33502" w14:textId="77777777" w:rsidR="0097090C" w:rsidRPr="00C81462" w:rsidRDefault="0097090C" w:rsidP="0097090C">
      <w:pPr>
        <w:pStyle w:val="Heading7"/>
      </w:pPr>
      <w:r w:rsidRPr="00C81462">
        <w:t>AASB 1057 Application of Australian Accounting Standards</w:t>
      </w:r>
    </w:p>
    <w:p w14:paraId="73455D13" w14:textId="77777777" w:rsidR="0097090C" w:rsidRPr="00C81462" w:rsidRDefault="0097090C" w:rsidP="0097090C">
      <w:pPr>
        <w:pStyle w:val="Heading7"/>
      </w:pPr>
      <w:r w:rsidRPr="00C81462">
        <w:t>AASB 2015-2 Amendments to Australian Accounting Standards – Disclosure Initiative: Amendments to AASB 101 [AASB 7, AASB 101, AASB 134 &amp; AASB 1049]</w:t>
      </w:r>
    </w:p>
    <w:p w14:paraId="47108974" w14:textId="77777777" w:rsidR="0097090C" w:rsidRPr="00C81462" w:rsidRDefault="0097090C" w:rsidP="0097090C">
      <w:pPr>
        <w:pStyle w:val="Heading7"/>
      </w:pPr>
      <w:r w:rsidRPr="00C81462">
        <w:t>AASB 2015-9 Amendments to Australian Accounting Standards – Scope and Application Paragraphs [AASB 8, AASB 133 &amp; AASB 1057]</w:t>
      </w:r>
    </w:p>
    <w:p w14:paraId="6076022D" w14:textId="77777777" w:rsidR="0097090C" w:rsidRPr="00C81462" w:rsidRDefault="0097090C" w:rsidP="0097090C">
      <w:pPr>
        <w:pStyle w:val="Heading7"/>
      </w:pPr>
      <w:r w:rsidRPr="00C81462">
        <w:t>AASB 2015-10 Amendments to Australian Accounting Standards – Effective Date of Amendments to AASB 10 and AASB 128</w:t>
      </w:r>
    </w:p>
    <w:p w14:paraId="2A3E6CCA" w14:textId="77777777" w:rsidR="0097090C" w:rsidRPr="00C81462" w:rsidRDefault="0097090C" w:rsidP="0097090C">
      <w:pPr>
        <w:pStyle w:val="Heading7"/>
      </w:pPr>
      <w:r w:rsidRPr="00C81462">
        <w:t>AASB 2016-2 Amendments to Australian Accounting Standards – Disclosure Initiative: Amendments to AASB 107</w:t>
      </w:r>
    </w:p>
    <w:p w14:paraId="37E03F33" w14:textId="77777777" w:rsidR="0097090C" w:rsidRDefault="0097090C" w:rsidP="0097090C">
      <w:pPr>
        <w:pStyle w:val="NormalIndent"/>
        <w:spacing w:before="120"/>
        <w:jc w:val="both"/>
        <w:rPr>
          <w:sz w:val="20"/>
        </w:rPr>
      </w:pPr>
    </w:p>
    <w:p w14:paraId="30E55BBF" w14:textId="77777777" w:rsidR="0097090C" w:rsidRPr="00B766E3" w:rsidRDefault="0097090C" w:rsidP="0097090C">
      <w:pPr>
        <w:pStyle w:val="Heading5"/>
        <w:numPr>
          <w:ilvl w:val="0"/>
          <w:numId w:val="28"/>
        </w:numPr>
      </w:pPr>
      <w:r w:rsidRPr="00F81E96">
        <w:t>FINANCE COSTS</w:t>
      </w:r>
    </w:p>
    <w:p w14:paraId="69FD8E84" w14:textId="77777777" w:rsidR="0097090C" w:rsidRDefault="0097090C" w:rsidP="0097090C">
      <w:r w:rsidRPr="00F81E96">
        <w:t>Finance costs are recognised as expenses in the period in which they are incurred and include finance lease charges.</w:t>
      </w:r>
    </w:p>
    <w:p w14:paraId="3F515FE1" w14:textId="77777777" w:rsidR="0097090C" w:rsidRDefault="0097090C" w:rsidP="0097090C">
      <w:pPr>
        <w:pStyle w:val="NormalIndent"/>
        <w:ind w:left="357" w:hanging="357"/>
        <w:jc w:val="both"/>
        <w:rPr>
          <w:sz w:val="20"/>
        </w:rPr>
      </w:pPr>
    </w:p>
    <w:p w14:paraId="2FD8133B" w14:textId="77777777" w:rsidR="0097090C" w:rsidRPr="00F81E96" w:rsidRDefault="0097090C" w:rsidP="0097090C">
      <w:pPr>
        <w:pStyle w:val="Heading5"/>
        <w:numPr>
          <w:ilvl w:val="0"/>
          <w:numId w:val="28"/>
        </w:numPr>
      </w:pPr>
      <w:r w:rsidRPr="00F81E96">
        <w:t>GOODS AND SERVICES TAX (GST)</w:t>
      </w:r>
    </w:p>
    <w:p w14:paraId="0F6685C5" w14:textId="77777777" w:rsidR="0097090C" w:rsidRDefault="0097090C" w:rsidP="0097090C">
      <w:r w:rsidRPr="00F81E96">
        <w:t xml:space="preserve">Income, expenses and assets are recognised net of the amount of associated GST, unless the GST incurred is not recoverable from the </w:t>
      </w:r>
      <w:r>
        <w:t>Australian T</w:t>
      </w:r>
      <w:r w:rsidRPr="00F81E96">
        <w:t xml:space="preserve">axation </w:t>
      </w:r>
      <w:r>
        <w:t>Office (ATO)</w:t>
      </w:r>
      <w:r w:rsidRPr="00F81E96">
        <w:t>. In this case it is recognised as part of the cost of acquisition of the asset or as part of the expense.</w:t>
      </w:r>
    </w:p>
    <w:p w14:paraId="6B26870B" w14:textId="77777777" w:rsidR="0097090C" w:rsidRPr="00F81E96" w:rsidRDefault="0097090C" w:rsidP="0097090C"/>
    <w:p w14:paraId="40179ED7" w14:textId="77777777" w:rsidR="0097090C" w:rsidRDefault="0097090C" w:rsidP="0097090C">
      <w:r w:rsidRPr="00F81E96">
        <w:t xml:space="preserve">Receivables and payables are stated inclusive of the amount of GST receivable or payable. The net amount of GST recoverable from, or payable to, the </w:t>
      </w:r>
      <w:r>
        <w:t>ATO</w:t>
      </w:r>
      <w:r w:rsidRPr="00F81E96">
        <w:t xml:space="preserve"> is included with other receivables or payables in the </w:t>
      </w:r>
      <w:r>
        <w:t>B</w:t>
      </w:r>
      <w:r w:rsidRPr="00F81E96">
        <w:t xml:space="preserve">alance </w:t>
      </w:r>
      <w:r>
        <w:t>S</w:t>
      </w:r>
      <w:r w:rsidRPr="00F81E96">
        <w:t>heet.</w:t>
      </w:r>
    </w:p>
    <w:p w14:paraId="65358308" w14:textId="77777777" w:rsidR="0097090C" w:rsidRDefault="0097090C" w:rsidP="0097090C"/>
    <w:p w14:paraId="50F0BD72" w14:textId="77777777" w:rsidR="0097090C" w:rsidRDefault="0097090C" w:rsidP="0097090C">
      <w:r w:rsidRPr="00F81E96">
        <w:t xml:space="preserve">Cash flows are presented on a gross basis. The GST components of cash flows arising from investing or financing activities which are recoverable from, or payable to the </w:t>
      </w:r>
      <w:r>
        <w:t>ATO</w:t>
      </w:r>
      <w:r w:rsidRPr="00F81E96">
        <w:t>, are presented as operating cash flow.</w:t>
      </w:r>
    </w:p>
    <w:p w14:paraId="3EA09BB3" w14:textId="77777777" w:rsidR="0097090C" w:rsidRDefault="0097090C" w:rsidP="0097090C"/>
    <w:p w14:paraId="32820156" w14:textId="77777777" w:rsidR="0097090C" w:rsidRDefault="0097090C" w:rsidP="0097090C">
      <w:r w:rsidRPr="00D54857">
        <w:t>Commitments and contingent assets and liabilities are also stated inclusive of GST</w:t>
      </w:r>
    </w:p>
    <w:p w14:paraId="407A1BE1" w14:textId="77777777" w:rsidR="0097090C" w:rsidRDefault="0097090C" w:rsidP="0097090C">
      <w:pPr>
        <w:pStyle w:val="NormalIndent"/>
        <w:ind w:left="357" w:hanging="357"/>
        <w:jc w:val="both"/>
        <w:rPr>
          <w:sz w:val="20"/>
        </w:rPr>
      </w:pPr>
    </w:p>
    <w:p w14:paraId="278C6633" w14:textId="77777777" w:rsidR="0097090C" w:rsidRPr="00C241E9" w:rsidRDefault="0097090C" w:rsidP="0097090C">
      <w:pPr>
        <w:pStyle w:val="Heading5"/>
        <w:numPr>
          <w:ilvl w:val="0"/>
          <w:numId w:val="28"/>
        </w:numPr>
      </w:pPr>
      <w:r w:rsidRPr="00C241E9">
        <w:t>FOREIGN CURRENCY</w:t>
      </w:r>
    </w:p>
    <w:p w14:paraId="503975BD" w14:textId="77777777" w:rsidR="0097090C" w:rsidRDefault="0097090C" w:rsidP="0097090C">
      <w:r w:rsidRPr="002158F8">
        <w:t>All foreign currency transactions during the financial year are brought to account using the exchange rate in effect at the date of the transaction. Exchange differences are recognised in profit or loss in the period in which they arise.</w:t>
      </w:r>
    </w:p>
    <w:p w14:paraId="4766AAE0" w14:textId="77777777" w:rsidR="0097090C" w:rsidRDefault="0097090C" w:rsidP="0097090C">
      <w:pPr>
        <w:pStyle w:val="NormalIndent"/>
        <w:tabs>
          <w:tab w:val="clear" w:pos="360"/>
        </w:tabs>
        <w:jc w:val="both"/>
        <w:rPr>
          <w:b/>
          <w:szCs w:val="18"/>
        </w:rPr>
      </w:pPr>
    </w:p>
    <w:p w14:paraId="48B63DB3" w14:textId="77777777" w:rsidR="0097090C" w:rsidRPr="00ED6358" w:rsidRDefault="0097090C" w:rsidP="0097090C">
      <w:pPr>
        <w:pStyle w:val="Heading6"/>
      </w:pPr>
      <w:r w:rsidRPr="00ED6358">
        <w:t>Foreign exchange forward contract</w:t>
      </w:r>
    </w:p>
    <w:p w14:paraId="1269CC34" w14:textId="77777777" w:rsidR="0097090C" w:rsidRPr="000357AE" w:rsidRDefault="0097090C" w:rsidP="0097090C">
      <w:r w:rsidRPr="00ED6358">
        <w:t>Foreign exchange forward contracts are designated at fair value through profit or loss and are initially measured at fair value and attributable transaction costs are expensed as incurred. Subsequently, any changes in fair value are recognised in the net result as other economic flows.</w:t>
      </w:r>
    </w:p>
    <w:p w14:paraId="7FCBA800" w14:textId="77777777" w:rsidR="0097090C" w:rsidRDefault="0097090C">
      <w:pPr>
        <w:spacing w:after="200" w:line="276" w:lineRule="auto"/>
        <w:rPr>
          <w:rFonts w:cs="Arial"/>
        </w:rPr>
      </w:pPr>
      <w:r>
        <w:rPr>
          <w:rFonts w:cs="Arial"/>
        </w:rPr>
        <w:br w:type="page"/>
      </w:r>
    </w:p>
    <w:p w14:paraId="42F90248" w14:textId="77777777" w:rsidR="0097090C" w:rsidRDefault="0097090C" w:rsidP="0097090C">
      <w:pPr>
        <w:rPr>
          <w:rFonts w:cs="Arial"/>
        </w:rPr>
      </w:pPr>
    </w:p>
    <w:tbl>
      <w:tblPr>
        <w:tblW w:w="9419" w:type="dxa"/>
        <w:tblLook w:val="04A0" w:firstRow="1" w:lastRow="0" w:firstColumn="1" w:lastColumn="0" w:noHBand="0" w:noVBand="1"/>
      </w:tblPr>
      <w:tblGrid>
        <w:gridCol w:w="6160"/>
        <w:gridCol w:w="828"/>
        <w:gridCol w:w="1260"/>
        <w:gridCol w:w="1260"/>
      </w:tblGrid>
      <w:tr w:rsidR="0097090C" w:rsidRPr="000C0250" w14:paraId="2FB8178A" w14:textId="77777777" w:rsidTr="0097090C">
        <w:trPr>
          <w:trHeight w:val="255"/>
        </w:trPr>
        <w:tc>
          <w:tcPr>
            <w:tcW w:w="6160" w:type="dxa"/>
            <w:tcBorders>
              <w:top w:val="single" w:sz="4" w:space="0" w:color="auto"/>
              <w:left w:val="nil"/>
              <w:bottom w:val="single" w:sz="4" w:space="0" w:color="auto"/>
              <w:right w:val="nil"/>
            </w:tcBorders>
            <w:shd w:val="clear" w:color="auto" w:fill="auto"/>
            <w:noWrap/>
            <w:vAlign w:val="center"/>
            <w:hideMark/>
          </w:tcPr>
          <w:p w14:paraId="65D96EC7" w14:textId="77777777" w:rsidR="0097090C" w:rsidRPr="000C0250" w:rsidRDefault="0097090C" w:rsidP="0097090C">
            <w:pPr>
              <w:rPr>
                <w:rFonts w:cs="Arial"/>
                <w:color w:val="000000"/>
              </w:rPr>
            </w:pPr>
            <w:r w:rsidRPr="000C0250">
              <w:rPr>
                <w:rFonts w:cs="Arial"/>
                <w:color w:val="000000"/>
              </w:rPr>
              <w:t> </w:t>
            </w:r>
          </w:p>
        </w:tc>
        <w:tc>
          <w:tcPr>
            <w:tcW w:w="739" w:type="dxa"/>
            <w:tcBorders>
              <w:top w:val="single" w:sz="4" w:space="0" w:color="auto"/>
              <w:left w:val="nil"/>
              <w:bottom w:val="single" w:sz="4" w:space="0" w:color="auto"/>
              <w:right w:val="nil"/>
            </w:tcBorders>
            <w:shd w:val="clear" w:color="auto" w:fill="auto"/>
            <w:noWrap/>
            <w:vAlign w:val="center"/>
            <w:hideMark/>
          </w:tcPr>
          <w:p w14:paraId="617BB456" w14:textId="77777777" w:rsidR="0097090C" w:rsidRPr="00220445" w:rsidRDefault="0097090C" w:rsidP="0097090C">
            <w:pPr>
              <w:jc w:val="center"/>
              <w:rPr>
                <w:rFonts w:cs="Arial"/>
                <w:b/>
                <w:color w:val="000000"/>
              </w:rPr>
            </w:pPr>
            <w:r w:rsidRPr="00220445">
              <w:rPr>
                <w:rFonts w:cs="Arial"/>
                <w:b/>
                <w:color w:val="000000"/>
              </w:rPr>
              <w:t>Notes</w:t>
            </w:r>
          </w:p>
        </w:tc>
        <w:tc>
          <w:tcPr>
            <w:tcW w:w="1260" w:type="dxa"/>
            <w:tcBorders>
              <w:top w:val="single" w:sz="4" w:space="0" w:color="auto"/>
              <w:left w:val="nil"/>
              <w:bottom w:val="single" w:sz="4" w:space="0" w:color="auto"/>
              <w:right w:val="nil"/>
            </w:tcBorders>
            <w:shd w:val="clear" w:color="000000" w:fill="D9D9D9"/>
            <w:noWrap/>
            <w:vAlign w:val="center"/>
            <w:hideMark/>
          </w:tcPr>
          <w:p w14:paraId="61C24498" w14:textId="77777777" w:rsidR="0097090C" w:rsidRPr="00220445" w:rsidRDefault="0097090C" w:rsidP="0097090C">
            <w:pPr>
              <w:jc w:val="right"/>
              <w:rPr>
                <w:rFonts w:cs="Arial"/>
                <w:b/>
                <w:color w:val="000000"/>
              </w:rPr>
            </w:pPr>
            <w:r w:rsidRPr="00220445">
              <w:rPr>
                <w:rFonts w:cs="Arial"/>
                <w:b/>
                <w:color w:val="000000"/>
              </w:rPr>
              <w:t>2016</w:t>
            </w:r>
          </w:p>
        </w:tc>
        <w:tc>
          <w:tcPr>
            <w:tcW w:w="1260" w:type="dxa"/>
            <w:tcBorders>
              <w:top w:val="single" w:sz="4" w:space="0" w:color="auto"/>
              <w:left w:val="nil"/>
              <w:bottom w:val="single" w:sz="4" w:space="0" w:color="auto"/>
              <w:right w:val="nil"/>
            </w:tcBorders>
            <w:shd w:val="clear" w:color="auto" w:fill="auto"/>
            <w:noWrap/>
            <w:vAlign w:val="center"/>
            <w:hideMark/>
          </w:tcPr>
          <w:p w14:paraId="74CE76FF" w14:textId="77777777" w:rsidR="0097090C" w:rsidRPr="00220445" w:rsidRDefault="0097090C" w:rsidP="0097090C">
            <w:pPr>
              <w:jc w:val="right"/>
              <w:rPr>
                <w:rFonts w:cs="Arial"/>
                <w:b/>
                <w:color w:val="000000"/>
              </w:rPr>
            </w:pPr>
            <w:r w:rsidRPr="00220445">
              <w:rPr>
                <w:rFonts w:cs="Arial"/>
                <w:b/>
                <w:color w:val="000000"/>
              </w:rPr>
              <w:t>2015</w:t>
            </w:r>
          </w:p>
        </w:tc>
      </w:tr>
      <w:tr w:rsidR="0097090C" w:rsidRPr="000C0250" w14:paraId="303C43EC" w14:textId="77777777" w:rsidTr="0097090C">
        <w:trPr>
          <w:trHeight w:val="255"/>
        </w:trPr>
        <w:tc>
          <w:tcPr>
            <w:tcW w:w="6160" w:type="dxa"/>
            <w:tcBorders>
              <w:top w:val="nil"/>
              <w:left w:val="nil"/>
              <w:bottom w:val="single" w:sz="4" w:space="0" w:color="auto"/>
              <w:right w:val="nil"/>
            </w:tcBorders>
            <w:shd w:val="clear" w:color="auto" w:fill="auto"/>
            <w:noWrap/>
            <w:vAlign w:val="center"/>
            <w:hideMark/>
          </w:tcPr>
          <w:p w14:paraId="446BC932" w14:textId="77777777" w:rsidR="0097090C" w:rsidRPr="000C0250" w:rsidRDefault="0097090C" w:rsidP="0097090C">
            <w:pPr>
              <w:rPr>
                <w:rFonts w:cs="Arial"/>
                <w:color w:val="000000"/>
              </w:rPr>
            </w:pPr>
            <w:r w:rsidRPr="000C0250">
              <w:rPr>
                <w:rFonts w:cs="Arial"/>
                <w:color w:val="000000"/>
              </w:rPr>
              <w:t> </w:t>
            </w:r>
          </w:p>
        </w:tc>
        <w:tc>
          <w:tcPr>
            <w:tcW w:w="739" w:type="dxa"/>
            <w:tcBorders>
              <w:top w:val="nil"/>
              <w:left w:val="nil"/>
              <w:bottom w:val="single" w:sz="4" w:space="0" w:color="auto"/>
              <w:right w:val="nil"/>
            </w:tcBorders>
            <w:shd w:val="clear" w:color="auto" w:fill="auto"/>
            <w:noWrap/>
            <w:vAlign w:val="center"/>
            <w:hideMark/>
          </w:tcPr>
          <w:p w14:paraId="7612689D" w14:textId="77777777" w:rsidR="0097090C" w:rsidRPr="00220445" w:rsidRDefault="0097090C" w:rsidP="0097090C">
            <w:pPr>
              <w:rPr>
                <w:rFonts w:cs="Arial"/>
                <w:b/>
                <w:color w:val="000000"/>
              </w:rPr>
            </w:pPr>
            <w:r w:rsidRPr="00220445">
              <w:rPr>
                <w:rFonts w:cs="Arial"/>
                <w:b/>
                <w:color w:val="000000"/>
              </w:rPr>
              <w:t> </w:t>
            </w:r>
          </w:p>
        </w:tc>
        <w:tc>
          <w:tcPr>
            <w:tcW w:w="1260" w:type="dxa"/>
            <w:tcBorders>
              <w:top w:val="nil"/>
              <w:left w:val="nil"/>
              <w:bottom w:val="single" w:sz="4" w:space="0" w:color="auto"/>
              <w:right w:val="nil"/>
            </w:tcBorders>
            <w:shd w:val="clear" w:color="000000" w:fill="D9D9D9"/>
            <w:noWrap/>
            <w:vAlign w:val="center"/>
            <w:hideMark/>
          </w:tcPr>
          <w:p w14:paraId="3B444CFD" w14:textId="77777777" w:rsidR="0097090C" w:rsidRPr="00220445" w:rsidRDefault="0097090C" w:rsidP="0097090C">
            <w:pPr>
              <w:jc w:val="right"/>
              <w:rPr>
                <w:rFonts w:cs="Arial"/>
                <w:b/>
                <w:color w:val="000000"/>
              </w:rPr>
            </w:pPr>
            <w:r w:rsidRPr="00220445">
              <w:rPr>
                <w:rFonts w:cs="Arial"/>
                <w:b/>
                <w:color w:val="000000"/>
              </w:rPr>
              <w:t>$'000</w:t>
            </w:r>
          </w:p>
        </w:tc>
        <w:tc>
          <w:tcPr>
            <w:tcW w:w="1260" w:type="dxa"/>
            <w:tcBorders>
              <w:top w:val="nil"/>
              <w:left w:val="nil"/>
              <w:bottom w:val="single" w:sz="4" w:space="0" w:color="auto"/>
              <w:right w:val="nil"/>
            </w:tcBorders>
            <w:shd w:val="clear" w:color="auto" w:fill="auto"/>
            <w:noWrap/>
            <w:vAlign w:val="center"/>
            <w:hideMark/>
          </w:tcPr>
          <w:p w14:paraId="464A6CC9" w14:textId="77777777" w:rsidR="0097090C" w:rsidRPr="00220445" w:rsidRDefault="0097090C" w:rsidP="0097090C">
            <w:pPr>
              <w:jc w:val="right"/>
              <w:rPr>
                <w:rFonts w:cs="Arial"/>
                <w:b/>
                <w:color w:val="000000"/>
              </w:rPr>
            </w:pPr>
            <w:r w:rsidRPr="00220445">
              <w:rPr>
                <w:rFonts w:cs="Arial"/>
                <w:b/>
                <w:color w:val="000000"/>
              </w:rPr>
              <w:t>$'000</w:t>
            </w:r>
          </w:p>
        </w:tc>
      </w:tr>
    </w:tbl>
    <w:p w14:paraId="1306739A" w14:textId="77777777" w:rsidR="0097090C" w:rsidRDefault="0097090C" w:rsidP="0097090C">
      <w:pPr>
        <w:rPr>
          <w:rFonts w:cs="Arial"/>
          <w:b/>
          <w:szCs w:val="22"/>
        </w:rPr>
      </w:pPr>
    </w:p>
    <w:p w14:paraId="798D9DA1" w14:textId="77777777" w:rsidR="0097090C" w:rsidRDefault="0097090C" w:rsidP="0097090C">
      <w:pPr>
        <w:pStyle w:val="Heading4"/>
      </w:pPr>
      <w:r>
        <w:t xml:space="preserve">2. </w:t>
      </w:r>
      <w:r w:rsidRPr="00400949">
        <w:t>Victorian Government Grants</w:t>
      </w:r>
    </w:p>
    <w:p w14:paraId="48E51CA7" w14:textId="77777777" w:rsidR="0097090C" w:rsidRDefault="0097090C" w:rsidP="0097090C">
      <w:pPr>
        <w:rPr>
          <w:rFonts w:cs="Arial"/>
        </w:rPr>
      </w:pPr>
      <w:r w:rsidRPr="00400949">
        <w:rPr>
          <w:rFonts w:cs="Arial"/>
        </w:rPr>
        <w:t>The Museums Board of Victoria received the following grants from the Victorian Government</w:t>
      </w:r>
    </w:p>
    <w:tbl>
      <w:tblPr>
        <w:tblW w:w="9360" w:type="dxa"/>
        <w:tblInd w:w="93" w:type="dxa"/>
        <w:tblLook w:val="04A0" w:firstRow="1" w:lastRow="0" w:firstColumn="1" w:lastColumn="0" w:noHBand="0" w:noVBand="1"/>
      </w:tblPr>
      <w:tblGrid>
        <w:gridCol w:w="6120"/>
        <w:gridCol w:w="720"/>
        <w:gridCol w:w="1260"/>
        <w:gridCol w:w="1260"/>
      </w:tblGrid>
      <w:tr w:rsidR="0097090C" w:rsidRPr="00305786" w14:paraId="3C8EE784" w14:textId="77777777" w:rsidTr="0097090C">
        <w:trPr>
          <w:trHeight w:val="255"/>
        </w:trPr>
        <w:tc>
          <w:tcPr>
            <w:tcW w:w="6120" w:type="dxa"/>
            <w:tcBorders>
              <w:top w:val="single" w:sz="4" w:space="0" w:color="auto"/>
              <w:left w:val="nil"/>
              <w:bottom w:val="nil"/>
              <w:right w:val="nil"/>
            </w:tcBorders>
            <w:shd w:val="clear" w:color="auto" w:fill="auto"/>
            <w:noWrap/>
            <w:vAlign w:val="center"/>
            <w:hideMark/>
          </w:tcPr>
          <w:p w14:paraId="1889138E" w14:textId="77777777" w:rsidR="0097090C" w:rsidRPr="00305786" w:rsidRDefault="0097090C" w:rsidP="0097090C">
            <w:pPr>
              <w:rPr>
                <w:rFonts w:cs="Arial"/>
                <w:b/>
                <w:bCs/>
                <w:color w:val="000000"/>
              </w:rPr>
            </w:pPr>
            <w:r w:rsidRPr="00305786">
              <w:rPr>
                <w:rFonts w:cs="Arial"/>
                <w:b/>
                <w:bCs/>
                <w:color w:val="000000"/>
              </w:rPr>
              <w:t>Recurrent Grant</w:t>
            </w:r>
          </w:p>
        </w:tc>
        <w:tc>
          <w:tcPr>
            <w:tcW w:w="720" w:type="dxa"/>
            <w:tcBorders>
              <w:top w:val="single" w:sz="4" w:space="0" w:color="auto"/>
              <w:left w:val="nil"/>
              <w:bottom w:val="nil"/>
              <w:right w:val="nil"/>
            </w:tcBorders>
            <w:shd w:val="clear" w:color="auto" w:fill="auto"/>
            <w:noWrap/>
            <w:vAlign w:val="center"/>
            <w:hideMark/>
          </w:tcPr>
          <w:p w14:paraId="5DBFDCBE" w14:textId="77777777" w:rsidR="0097090C" w:rsidRPr="00305786" w:rsidRDefault="0097090C" w:rsidP="0097090C">
            <w:pPr>
              <w:rPr>
                <w:rFonts w:cs="Arial"/>
                <w:color w:val="000000"/>
              </w:rPr>
            </w:pPr>
            <w:r w:rsidRPr="00305786">
              <w:rPr>
                <w:rFonts w:cs="Arial"/>
                <w:color w:val="000000"/>
              </w:rPr>
              <w:t> </w:t>
            </w:r>
          </w:p>
        </w:tc>
        <w:tc>
          <w:tcPr>
            <w:tcW w:w="1260" w:type="dxa"/>
            <w:tcBorders>
              <w:top w:val="single" w:sz="4" w:space="0" w:color="auto"/>
              <w:left w:val="nil"/>
              <w:bottom w:val="nil"/>
              <w:right w:val="nil"/>
            </w:tcBorders>
            <w:shd w:val="clear" w:color="000000" w:fill="D9D9D9"/>
            <w:noWrap/>
            <w:vAlign w:val="center"/>
            <w:hideMark/>
          </w:tcPr>
          <w:p w14:paraId="24843AAB" w14:textId="77777777" w:rsidR="0097090C" w:rsidRPr="00305786" w:rsidRDefault="0097090C" w:rsidP="0097090C">
            <w:pPr>
              <w:rPr>
                <w:rFonts w:cs="Arial"/>
                <w:color w:val="000000"/>
              </w:rPr>
            </w:pPr>
            <w:r w:rsidRPr="00305786">
              <w:rPr>
                <w:rFonts w:cs="Arial"/>
                <w:color w:val="000000"/>
              </w:rPr>
              <w:t> </w:t>
            </w:r>
          </w:p>
        </w:tc>
        <w:tc>
          <w:tcPr>
            <w:tcW w:w="1260" w:type="dxa"/>
            <w:tcBorders>
              <w:top w:val="single" w:sz="4" w:space="0" w:color="auto"/>
              <w:left w:val="nil"/>
              <w:bottom w:val="nil"/>
              <w:right w:val="nil"/>
            </w:tcBorders>
            <w:shd w:val="clear" w:color="auto" w:fill="auto"/>
            <w:noWrap/>
            <w:vAlign w:val="center"/>
            <w:hideMark/>
          </w:tcPr>
          <w:p w14:paraId="7FCB7D32" w14:textId="77777777" w:rsidR="0097090C" w:rsidRPr="00305786" w:rsidRDefault="0097090C" w:rsidP="0097090C">
            <w:pPr>
              <w:rPr>
                <w:rFonts w:cs="Arial"/>
                <w:color w:val="000000"/>
              </w:rPr>
            </w:pPr>
            <w:r w:rsidRPr="00305786">
              <w:rPr>
                <w:rFonts w:cs="Arial"/>
                <w:color w:val="000000"/>
              </w:rPr>
              <w:t> </w:t>
            </w:r>
          </w:p>
        </w:tc>
      </w:tr>
      <w:tr w:rsidR="0097090C" w:rsidRPr="00305786" w14:paraId="16E28C36" w14:textId="77777777" w:rsidTr="0097090C">
        <w:trPr>
          <w:trHeight w:val="255"/>
        </w:trPr>
        <w:tc>
          <w:tcPr>
            <w:tcW w:w="6120" w:type="dxa"/>
            <w:tcBorders>
              <w:top w:val="nil"/>
              <w:left w:val="nil"/>
              <w:bottom w:val="nil"/>
              <w:right w:val="nil"/>
            </w:tcBorders>
            <w:shd w:val="clear" w:color="auto" w:fill="auto"/>
            <w:vAlign w:val="center"/>
            <w:hideMark/>
          </w:tcPr>
          <w:p w14:paraId="515492A3" w14:textId="77777777" w:rsidR="0097090C" w:rsidRPr="00305786" w:rsidRDefault="0097090C" w:rsidP="0097090C">
            <w:pPr>
              <w:rPr>
                <w:rFonts w:cs="Arial"/>
                <w:color w:val="000000"/>
              </w:rPr>
            </w:pPr>
            <w:r w:rsidRPr="00305786">
              <w:rPr>
                <w:rFonts w:cs="Arial"/>
                <w:color w:val="000000"/>
              </w:rPr>
              <w:t>Applied to Operations and Assets</w:t>
            </w:r>
          </w:p>
        </w:tc>
        <w:tc>
          <w:tcPr>
            <w:tcW w:w="720" w:type="dxa"/>
            <w:tcBorders>
              <w:top w:val="nil"/>
              <w:left w:val="nil"/>
              <w:bottom w:val="nil"/>
              <w:right w:val="nil"/>
            </w:tcBorders>
            <w:shd w:val="clear" w:color="auto" w:fill="auto"/>
            <w:vAlign w:val="center"/>
            <w:hideMark/>
          </w:tcPr>
          <w:p w14:paraId="348A4F55"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9123ABC" w14:textId="77777777" w:rsidR="0097090C" w:rsidRPr="00305786" w:rsidRDefault="0097090C" w:rsidP="0097090C">
            <w:pPr>
              <w:jc w:val="right"/>
              <w:rPr>
                <w:rFonts w:cs="Arial"/>
                <w:color w:val="000000"/>
              </w:rPr>
            </w:pPr>
            <w:r w:rsidRPr="00305786">
              <w:rPr>
                <w:rFonts w:cs="Arial"/>
                <w:color w:val="000000"/>
              </w:rPr>
              <w:t>41,338</w:t>
            </w:r>
          </w:p>
        </w:tc>
        <w:tc>
          <w:tcPr>
            <w:tcW w:w="1260" w:type="dxa"/>
            <w:tcBorders>
              <w:top w:val="nil"/>
              <w:left w:val="nil"/>
              <w:bottom w:val="nil"/>
              <w:right w:val="nil"/>
            </w:tcBorders>
            <w:shd w:val="clear" w:color="auto" w:fill="auto"/>
            <w:vAlign w:val="center"/>
            <w:hideMark/>
          </w:tcPr>
          <w:p w14:paraId="0B640362" w14:textId="77777777" w:rsidR="0097090C" w:rsidRPr="00305786" w:rsidRDefault="0097090C" w:rsidP="0097090C">
            <w:pPr>
              <w:jc w:val="right"/>
              <w:rPr>
                <w:rFonts w:cs="Arial"/>
                <w:color w:val="000000"/>
              </w:rPr>
            </w:pPr>
            <w:r w:rsidRPr="00305786">
              <w:rPr>
                <w:rFonts w:cs="Arial"/>
                <w:color w:val="000000"/>
              </w:rPr>
              <w:t>42,399</w:t>
            </w:r>
          </w:p>
        </w:tc>
      </w:tr>
      <w:tr w:rsidR="0097090C" w:rsidRPr="00305786" w14:paraId="5CF0E8E1" w14:textId="77777777" w:rsidTr="0097090C">
        <w:trPr>
          <w:trHeight w:val="255"/>
        </w:trPr>
        <w:tc>
          <w:tcPr>
            <w:tcW w:w="6120" w:type="dxa"/>
            <w:tcBorders>
              <w:top w:val="nil"/>
              <w:left w:val="nil"/>
              <w:bottom w:val="nil"/>
              <w:right w:val="nil"/>
            </w:tcBorders>
            <w:shd w:val="clear" w:color="auto" w:fill="auto"/>
            <w:vAlign w:val="center"/>
            <w:hideMark/>
          </w:tcPr>
          <w:p w14:paraId="0C29C3A5" w14:textId="77777777" w:rsidR="0097090C" w:rsidRPr="00305786" w:rsidRDefault="0097090C" w:rsidP="0097090C">
            <w:pPr>
              <w:rPr>
                <w:rFonts w:cs="Arial"/>
                <w:color w:val="000000"/>
              </w:rPr>
            </w:pPr>
            <w:r w:rsidRPr="00305786">
              <w:rPr>
                <w:rFonts w:cs="Arial"/>
                <w:color w:val="000000"/>
              </w:rPr>
              <w:t>Capital Funding</w:t>
            </w:r>
          </w:p>
        </w:tc>
        <w:tc>
          <w:tcPr>
            <w:tcW w:w="720" w:type="dxa"/>
            <w:tcBorders>
              <w:top w:val="nil"/>
              <w:left w:val="nil"/>
              <w:bottom w:val="nil"/>
              <w:right w:val="nil"/>
            </w:tcBorders>
            <w:shd w:val="clear" w:color="auto" w:fill="auto"/>
            <w:vAlign w:val="center"/>
            <w:hideMark/>
          </w:tcPr>
          <w:p w14:paraId="3943441E"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4990F0F" w14:textId="77777777" w:rsidR="0097090C" w:rsidRPr="00305786" w:rsidRDefault="0097090C" w:rsidP="0097090C">
            <w:pPr>
              <w:jc w:val="right"/>
              <w:rPr>
                <w:rFonts w:cs="Arial"/>
                <w:color w:val="000000"/>
              </w:rPr>
            </w:pPr>
            <w:r w:rsidRPr="00305786">
              <w:rPr>
                <w:rFonts w:cs="Arial"/>
                <w:color w:val="000000"/>
              </w:rPr>
              <w:t>4,692</w:t>
            </w:r>
          </w:p>
        </w:tc>
        <w:tc>
          <w:tcPr>
            <w:tcW w:w="1260" w:type="dxa"/>
            <w:tcBorders>
              <w:top w:val="nil"/>
              <w:left w:val="nil"/>
              <w:bottom w:val="nil"/>
              <w:right w:val="nil"/>
            </w:tcBorders>
            <w:shd w:val="clear" w:color="auto" w:fill="auto"/>
            <w:vAlign w:val="center"/>
            <w:hideMark/>
          </w:tcPr>
          <w:p w14:paraId="5EE39C52" w14:textId="77777777" w:rsidR="0097090C" w:rsidRPr="00305786" w:rsidRDefault="0097090C" w:rsidP="0097090C">
            <w:pPr>
              <w:jc w:val="right"/>
              <w:rPr>
                <w:rFonts w:cs="Arial"/>
                <w:color w:val="000000"/>
              </w:rPr>
            </w:pPr>
            <w:r w:rsidRPr="00305786">
              <w:rPr>
                <w:rFonts w:cs="Arial"/>
                <w:color w:val="000000"/>
              </w:rPr>
              <w:t>3,844</w:t>
            </w:r>
          </w:p>
        </w:tc>
      </w:tr>
      <w:tr w:rsidR="0097090C" w:rsidRPr="00305786" w14:paraId="0FD27C87"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2122D994" w14:textId="77777777" w:rsidR="0097090C" w:rsidRPr="00305786" w:rsidRDefault="0097090C" w:rsidP="0097090C">
            <w:pPr>
              <w:rPr>
                <w:rFonts w:cs="Arial"/>
                <w:color w:val="000000"/>
              </w:rPr>
            </w:pPr>
            <w:r w:rsidRPr="00305786">
              <w:rPr>
                <w:rFonts w:cs="Arial"/>
                <w:color w:val="000000"/>
              </w:rPr>
              <w:t>Capital Asset Charge</w:t>
            </w:r>
          </w:p>
        </w:tc>
        <w:tc>
          <w:tcPr>
            <w:tcW w:w="720" w:type="dxa"/>
            <w:tcBorders>
              <w:top w:val="nil"/>
              <w:left w:val="nil"/>
              <w:bottom w:val="single" w:sz="4" w:space="0" w:color="auto"/>
              <w:right w:val="nil"/>
            </w:tcBorders>
            <w:shd w:val="clear" w:color="auto" w:fill="auto"/>
            <w:vAlign w:val="center"/>
            <w:hideMark/>
          </w:tcPr>
          <w:p w14:paraId="5101D470"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4E3FA614" w14:textId="77777777" w:rsidR="0097090C" w:rsidRPr="00305786" w:rsidRDefault="0097090C" w:rsidP="0097090C">
            <w:pPr>
              <w:jc w:val="right"/>
              <w:rPr>
                <w:rFonts w:cs="Arial"/>
                <w:color w:val="000000"/>
              </w:rPr>
            </w:pPr>
            <w:r w:rsidRPr="00305786">
              <w:rPr>
                <w:rFonts w:cs="Arial"/>
                <w:color w:val="000000"/>
              </w:rPr>
              <w:t>38,122</w:t>
            </w:r>
          </w:p>
        </w:tc>
        <w:tc>
          <w:tcPr>
            <w:tcW w:w="1260" w:type="dxa"/>
            <w:tcBorders>
              <w:top w:val="nil"/>
              <w:left w:val="nil"/>
              <w:bottom w:val="single" w:sz="4" w:space="0" w:color="auto"/>
              <w:right w:val="nil"/>
            </w:tcBorders>
            <w:shd w:val="clear" w:color="auto" w:fill="auto"/>
            <w:vAlign w:val="center"/>
            <w:hideMark/>
          </w:tcPr>
          <w:p w14:paraId="7AD31B7D" w14:textId="77777777" w:rsidR="0097090C" w:rsidRPr="00305786" w:rsidRDefault="0097090C" w:rsidP="0097090C">
            <w:pPr>
              <w:jc w:val="right"/>
              <w:rPr>
                <w:rFonts w:cs="Arial"/>
                <w:color w:val="000000"/>
              </w:rPr>
            </w:pPr>
            <w:r w:rsidRPr="00305786">
              <w:rPr>
                <w:rFonts w:cs="Arial"/>
                <w:color w:val="000000"/>
              </w:rPr>
              <w:t>38,134</w:t>
            </w:r>
          </w:p>
        </w:tc>
      </w:tr>
      <w:tr w:rsidR="0097090C" w:rsidRPr="00305786" w14:paraId="104F4950"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19001319" w14:textId="77777777" w:rsidR="0097090C" w:rsidRPr="00305786" w:rsidRDefault="0097090C" w:rsidP="0097090C">
            <w:pPr>
              <w:rPr>
                <w:rFonts w:cs="Arial"/>
                <w:b/>
                <w:bCs/>
                <w:color w:val="000000"/>
              </w:rPr>
            </w:pPr>
            <w:r w:rsidRPr="00305786">
              <w:rPr>
                <w:rFonts w:cs="Arial"/>
                <w:b/>
                <w:bCs/>
                <w:color w:val="000000"/>
              </w:rPr>
              <w:t>Total Recurrent Grant</w:t>
            </w:r>
          </w:p>
        </w:tc>
        <w:tc>
          <w:tcPr>
            <w:tcW w:w="720" w:type="dxa"/>
            <w:tcBorders>
              <w:top w:val="nil"/>
              <w:left w:val="nil"/>
              <w:bottom w:val="single" w:sz="4" w:space="0" w:color="auto"/>
              <w:right w:val="nil"/>
            </w:tcBorders>
            <w:shd w:val="clear" w:color="auto" w:fill="auto"/>
            <w:vAlign w:val="center"/>
            <w:hideMark/>
          </w:tcPr>
          <w:p w14:paraId="32E96792"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3F371C70" w14:textId="77777777" w:rsidR="0097090C" w:rsidRPr="00305786" w:rsidRDefault="0097090C" w:rsidP="0097090C">
            <w:pPr>
              <w:jc w:val="right"/>
              <w:rPr>
                <w:rFonts w:cs="Arial"/>
                <w:b/>
                <w:bCs/>
                <w:color w:val="000000"/>
              </w:rPr>
            </w:pPr>
            <w:r w:rsidRPr="00305786">
              <w:rPr>
                <w:rFonts w:cs="Arial"/>
                <w:b/>
                <w:bCs/>
                <w:color w:val="000000"/>
              </w:rPr>
              <w:t>84,152</w:t>
            </w:r>
          </w:p>
        </w:tc>
        <w:tc>
          <w:tcPr>
            <w:tcW w:w="1260" w:type="dxa"/>
            <w:tcBorders>
              <w:top w:val="nil"/>
              <w:left w:val="nil"/>
              <w:bottom w:val="single" w:sz="4" w:space="0" w:color="auto"/>
              <w:right w:val="nil"/>
            </w:tcBorders>
            <w:shd w:val="clear" w:color="auto" w:fill="auto"/>
            <w:vAlign w:val="center"/>
            <w:hideMark/>
          </w:tcPr>
          <w:p w14:paraId="404ACAB5" w14:textId="77777777" w:rsidR="0097090C" w:rsidRPr="00305786" w:rsidRDefault="0097090C" w:rsidP="0097090C">
            <w:pPr>
              <w:jc w:val="right"/>
              <w:rPr>
                <w:rFonts w:cs="Arial"/>
                <w:b/>
                <w:bCs/>
                <w:color w:val="000000"/>
              </w:rPr>
            </w:pPr>
            <w:r w:rsidRPr="00305786">
              <w:rPr>
                <w:rFonts w:cs="Arial"/>
                <w:b/>
                <w:bCs/>
                <w:color w:val="000000"/>
              </w:rPr>
              <w:t>84,377</w:t>
            </w:r>
          </w:p>
        </w:tc>
      </w:tr>
    </w:tbl>
    <w:p w14:paraId="4CBC4772" w14:textId="77777777" w:rsidR="0097090C" w:rsidRDefault="0097090C" w:rsidP="0097090C">
      <w:pPr>
        <w:rPr>
          <w:rFonts w:cs="Arial"/>
        </w:rPr>
      </w:pPr>
    </w:p>
    <w:p w14:paraId="6E0DC1E5" w14:textId="77777777" w:rsidR="0097090C" w:rsidRPr="00400949" w:rsidRDefault="0097090C" w:rsidP="0097090C">
      <w:pPr>
        <w:pStyle w:val="Heading4"/>
      </w:pPr>
      <w:r>
        <w:t xml:space="preserve">3. </w:t>
      </w:r>
      <w:r w:rsidRPr="00400949">
        <w:t>Other Grants</w:t>
      </w:r>
    </w:p>
    <w:tbl>
      <w:tblPr>
        <w:tblW w:w="9360" w:type="dxa"/>
        <w:tblInd w:w="93" w:type="dxa"/>
        <w:tblLook w:val="04A0" w:firstRow="1" w:lastRow="0" w:firstColumn="1" w:lastColumn="0" w:noHBand="0" w:noVBand="1"/>
      </w:tblPr>
      <w:tblGrid>
        <w:gridCol w:w="6120"/>
        <w:gridCol w:w="720"/>
        <w:gridCol w:w="1260"/>
        <w:gridCol w:w="1260"/>
      </w:tblGrid>
      <w:tr w:rsidR="0097090C" w:rsidRPr="00305786" w14:paraId="46C5C7A3"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20D45419" w14:textId="77777777" w:rsidR="0097090C" w:rsidRPr="00305786" w:rsidRDefault="0097090C" w:rsidP="0097090C">
            <w:pPr>
              <w:rPr>
                <w:rFonts w:cs="Arial"/>
                <w:color w:val="000000"/>
              </w:rPr>
            </w:pPr>
            <w:r w:rsidRPr="00305786">
              <w:rPr>
                <w:rFonts w:cs="Arial"/>
                <w:color w:val="000000"/>
              </w:rPr>
              <w:t>Other Grants from Victorian Government Entities</w:t>
            </w:r>
          </w:p>
        </w:tc>
        <w:tc>
          <w:tcPr>
            <w:tcW w:w="720" w:type="dxa"/>
            <w:tcBorders>
              <w:top w:val="single" w:sz="4" w:space="0" w:color="auto"/>
              <w:left w:val="nil"/>
              <w:bottom w:val="nil"/>
              <w:right w:val="nil"/>
            </w:tcBorders>
            <w:shd w:val="clear" w:color="auto" w:fill="auto"/>
            <w:vAlign w:val="center"/>
            <w:hideMark/>
          </w:tcPr>
          <w:p w14:paraId="0CAAF7C3"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15EF9B8E" w14:textId="77777777" w:rsidR="0097090C" w:rsidRPr="00305786" w:rsidRDefault="0097090C" w:rsidP="0097090C">
            <w:pPr>
              <w:jc w:val="right"/>
              <w:rPr>
                <w:rFonts w:cs="Arial"/>
                <w:color w:val="000000"/>
              </w:rPr>
            </w:pPr>
            <w:r>
              <w:rPr>
                <w:rFonts w:cs="Arial"/>
                <w:color w:val="000000"/>
              </w:rPr>
              <w:t>1,579</w:t>
            </w:r>
          </w:p>
        </w:tc>
        <w:tc>
          <w:tcPr>
            <w:tcW w:w="1260" w:type="dxa"/>
            <w:tcBorders>
              <w:top w:val="single" w:sz="4" w:space="0" w:color="auto"/>
              <w:left w:val="nil"/>
              <w:bottom w:val="nil"/>
              <w:right w:val="nil"/>
            </w:tcBorders>
            <w:shd w:val="clear" w:color="auto" w:fill="auto"/>
            <w:vAlign w:val="center"/>
            <w:hideMark/>
          </w:tcPr>
          <w:p w14:paraId="242F5467" w14:textId="77777777" w:rsidR="0097090C" w:rsidRPr="00305786" w:rsidRDefault="0097090C" w:rsidP="0097090C">
            <w:pPr>
              <w:jc w:val="right"/>
              <w:rPr>
                <w:rFonts w:cs="Arial"/>
                <w:color w:val="000000"/>
              </w:rPr>
            </w:pPr>
            <w:r w:rsidRPr="00305786">
              <w:rPr>
                <w:rFonts w:cs="Arial"/>
                <w:color w:val="000000"/>
              </w:rPr>
              <w:t>1,713</w:t>
            </w:r>
          </w:p>
        </w:tc>
      </w:tr>
      <w:tr w:rsidR="0097090C" w:rsidRPr="00305786" w14:paraId="341DD920" w14:textId="77777777" w:rsidTr="0097090C">
        <w:trPr>
          <w:trHeight w:val="255"/>
        </w:trPr>
        <w:tc>
          <w:tcPr>
            <w:tcW w:w="6120" w:type="dxa"/>
            <w:tcBorders>
              <w:top w:val="nil"/>
              <w:left w:val="nil"/>
              <w:bottom w:val="nil"/>
              <w:right w:val="nil"/>
            </w:tcBorders>
            <w:shd w:val="clear" w:color="auto" w:fill="auto"/>
            <w:vAlign w:val="center"/>
            <w:hideMark/>
          </w:tcPr>
          <w:p w14:paraId="2C889859" w14:textId="77777777" w:rsidR="0097090C" w:rsidRPr="00305786" w:rsidRDefault="0097090C" w:rsidP="0097090C">
            <w:pPr>
              <w:rPr>
                <w:rFonts w:cs="Arial"/>
                <w:color w:val="000000"/>
              </w:rPr>
            </w:pPr>
            <w:r w:rsidRPr="00305786">
              <w:rPr>
                <w:rFonts w:cs="Arial"/>
                <w:color w:val="000000"/>
              </w:rPr>
              <w:t>Commonwealth Grants</w:t>
            </w:r>
          </w:p>
        </w:tc>
        <w:tc>
          <w:tcPr>
            <w:tcW w:w="720" w:type="dxa"/>
            <w:tcBorders>
              <w:top w:val="nil"/>
              <w:left w:val="nil"/>
              <w:bottom w:val="nil"/>
              <w:right w:val="nil"/>
            </w:tcBorders>
            <w:shd w:val="clear" w:color="auto" w:fill="auto"/>
            <w:vAlign w:val="center"/>
            <w:hideMark/>
          </w:tcPr>
          <w:p w14:paraId="0F4969E6"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E704EAF" w14:textId="77777777" w:rsidR="0097090C" w:rsidRPr="00305786" w:rsidRDefault="0097090C" w:rsidP="0097090C">
            <w:pPr>
              <w:jc w:val="right"/>
              <w:rPr>
                <w:rFonts w:cs="Arial"/>
                <w:color w:val="000000"/>
              </w:rPr>
            </w:pPr>
            <w:r w:rsidRPr="00305786">
              <w:rPr>
                <w:rFonts w:cs="Arial"/>
                <w:color w:val="000000"/>
              </w:rPr>
              <w:t>569</w:t>
            </w:r>
          </w:p>
        </w:tc>
        <w:tc>
          <w:tcPr>
            <w:tcW w:w="1260" w:type="dxa"/>
            <w:tcBorders>
              <w:top w:val="nil"/>
              <w:left w:val="nil"/>
              <w:bottom w:val="nil"/>
              <w:right w:val="nil"/>
            </w:tcBorders>
            <w:shd w:val="clear" w:color="auto" w:fill="auto"/>
            <w:vAlign w:val="center"/>
            <w:hideMark/>
          </w:tcPr>
          <w:p w14:paraId="058756E9" w14:textId="77777777" w:rsidR="0097090C" w:rsidRPr="00305786" w:rsidRDefault="0097090C" w:rsidP="0097090C">
            <w:pPr>
              <w:jc w:val="right"/>
              <w:rPr>
                <w:rFonts w:cs="Arial"/>
                <w:color w:val="000000"/>
              </w:rPr>
            </w:pPr>
            <w:r w:rsidRPr="00305786">
              <w:rPr>
                <w:rFonts w:cs="Arial"/>
                <w:color w:val="000000"/>
              </w:rPr>
              <w:t>771</w:t>
            </w:r>
          </w:p>
        </w:tc>
      </w:tr>
      <w:tr w:rsidR="0097090C" w:rsidRPr="00305786" w14:paraId="25057757"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781F681A" w14:textId="77777777" w:rsidR="0097090C" w:rsidRPr="00305786" w:rsidRDefault="0097090C" w:rsidP="0097090C">
            <w:pPr>
              <w:rPr>
                <w:rFonts w:cs="Arial"/>
                <w:color w:val="000000"/>
              </w:rPr>
            </w:pPr>
            <w:r w:rsidRPr="00305786">
              <w:rPr>
                <w:rFonts w:cs="Arial"/>
                <w:color w:val="000000"/>
              </w:rPr>
              <w:t>Other Grants</w:t>
            </w:r>
          </w:p>
        </w:tc>
        <w:tc>
          <w:tcPr>
            <w:tcW w:w="720" w:type="dxa"/>
            <w:tcBorders>
              <w:top w:val="nil"/>
              <w:left w:val="nil"/>
              <w:bottom w:val="single" w:sz="4" w:space="0" w:color="auto"/>
              <w:right w:val="nil"/>
            </w:tcBorders>
            <w:shd w:val="clear" w:color="auto" w:fill="auto"/>
            <w:vAlign w:val="center"/>
            <w:hideMark/>
          </w:tcPr>
          <w:p w14:paraId="67E9B896"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0C5B382C" w14:textId="77777777" w:rsidR="0097090C" w:rsidRPr="00305786" w:rsidRDefault="0097090C" w:rsidP="0097090C">
            <w:pPr>
              <w:jc w:val="right"/>
              <w:rPr>
                <w:rFonts w:cs="Arial"/>
                <w:color w:val="000000"/>
              </w:rPr>
            </w:pPr>
            <w:r>
              <w:rPr>
                <w:rFonts w:cs="Arial"/>
                <w:color w:val="000000"/>
              </w:rPr>
              <w:t>1,336</w:t>
            </w:r>
          </w:p>
        </w:tc>
        <w:tc>
          <w:tcPr>
            <w:tcW w:w="1260" w:type="dxa"/>
            <w:tcBorders>
              <w:top w:val="nil"/>
              <w:left w:val="nil"/>
              <w:bottom w:val="single" w:sz="4" w:space="0" w:color="auto"/>
              <w:right w:val="nil"/>
            </w:tcBorders>
            <w:shd w:val="clear" w:color="auto" w:fill="auto"/>
            <w:vAlign w:val="center"/>
            <w:hideMark/>
          </w:tcPr>
          <w:p w14:paraId="2286B61F" w14:textId="77777777" w:rsidR="0097090C" w:rsidRPr="00305786" w:rsidRDefault="0097090C" w:rsidP="0097090C">
            <w:pPr>
              <w:jc w:val="right"/>
              <w:rPr>
                <w:rFonts w:cs="Arial"/>
                <w:color w:val="000000"/>
              </w:rPr>
            </w:pPr>
            <w:r w:rsidRPr="00305786">
              <w:rPr>
                <w:rFonts w:cs="Arial"/>
                <w:color w:val="000000"/>
              </w:rPr>
              <w:t>823</w:t>
            </w:r>
          </w:p>
        </w:tc>
      </w:tr>
      <w:tr w:rsidR="0097090C" w:rsidRPr="00305786" w14:paraId="1B45C53B"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5DC0014C" w14:textId="77777777" w:rsidR="0097090C" w:rsidRPr="00305786" w:rsidRDefault="0097090C" w:rsidP="0097090C">
            <w:pPr>
              <w:rPr>
                <w:rFonts w:cs="Arial"/>
                <w:b/>
                <w:bCs/>
                <w:color w:val="000000"/>
              </w:rPr>
            </w:pPr>
            <w:r w:rsidRPr="00305786">
              <w:rPr>
                <w:rFonts w:cs="Arial"/>
                <w:b/>
                <w:bCs/>
                <w:color w:val="000000"/>
              </w:rPr>
              <w:t>Total Other Grants</w:t>
            </w:r>
          </w:p>
        </w:tc>
        <w:tc>
          <w:tcPr>
            <w:tcW w:w="720" w:type="dxa"/>
            <w:tcBorders>
              <w:top w:val="nil"/>
              <w:left w:val="nil"/>
              <w:bottom w:val="single" w:sz="4" w:space="0" w:color="auto"/>
              <w:right w:val="nil"/>
            </w:tcBorders>
            <w:shd w:val="clear" w:color="auto" w:fill="auto"/>
            <w:vAlign w:val="center"/>
            <w:hideMark/>
          </w:tcPr>
          <w:p w14:paraId="29FE9F65"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2835B6EA" w14:textId="77777777" w:rsidR="0097090C" w:rsidRPr="00305786" w:rsidRDefault="0097090C" w:rsidP="0097090C">
            <w:pPr>
              <w:jc w:val="right"/>
              <w:rPr>
                <w:rFonts w:cs="Arial"/>
                <w:b/>
                <w:bCs/>
                <w:color w:val="000000"/>
              </w:rPr>
            </w:pPr>
            <w:r>
              <w:rPr>
                <w:rFonts w:cs="Arial"/>
                <w:b/>
                <w:bCs/>
                <w:color w:val="000000"/>
              </w:rPr>
              <w:t>3,484</w:t>
            </w:r>
          </w:p>
        </w:tc>
        <w:tc>
          <w:tcPr>
            <w:tcW w:w="1260" w:type="dxa"/>
            <w:tcBorders>
              <w:top w:val="nil"/>
              <w:left w:val="nil"/>
              <w:bottom w:val="single" w:sz="4" w:space="0" w:color="auto"/>
              <w:right w:val="nil"/>
            </w:tcBorders>
            <w:shd w:val="clear" w:color="auto" w:fill="auto"/>
            <w:vAlign w:val="center"/>
            <w:hideMark/>
          </w:tcPr>
          <w:p w14:paraId="2FB704F4" w14:textId="77777777" w:rsidR="0097090C" w:rsidRPr="00305786" w:rsidRDefault="0097090C" w:rsidP="0097090C">
            <w:pPr>
              <w:jc w:val="right"/>
              <w:rPr>
                <w:rFonts w:cs="Arial"/>
                <w:b/>
                <w:bCs/>
                <w:color w:val="000000"/>
              </w:rPr>
            </w:pPr>
            <w:r w:rsidRPr="00305786">
              <w:rPr>
                <w:rFonts w:cs="Arial"/>
                <w:b/>
                <w:bCs/>
                <w:color w:val="000000"/>
              </w:rPr>
              <w:t>3,307</w:t>
            </w:r>
          </w:p>
        </w:tc>
      </w:tr>
    </w:tbl>
    <w:p w14:paraId="5EAC31F0" w14:textId="77777777" w:rsidR="0097090C" w:rsidRDefault="0097090C" w:rsidP="0097090C">
      <w:pPr>
        <w:rPr>
          <w:rFonts w:cs="Arial"/>
        </w:rPr>
      </w:pPr>
    </w:p>
    <w:p w14:paraId="0F04A54C" w14:textId="0A6EF7AB" w:rsidR="0097090C" w:rsidRPr="00400949" w:rsidRDefault="00F131C1" w:rsidP="0097090C">
      <w:pPr>
        <w:pStyle w:val="Heading4"/>
      </w:pPr>
      <w:r>
        <w:t xml:space="preserve">4. </w:t>
      </w:r>
      <w:r w:rsidR="0097090C" w:rsidRPr="00400949">
        <w:t>Other Income</w:t>
      </w:r>
    </w:p>
    <w:tbl>
      <w:tblPr>
        <w:tblW w:w="9360" w:type="dxa"/>
        <w:tblInd w:w="108" w:type="dxa"/>
        <w:tblLook w:val="04A0" w:firstRow="1" w:lastRow="0" w:firstColumn="1" w:lastColumn="0" w:noHBand="0" w:noVBand="1"/>
      </w:tblPr>
      <w:tblGrid>
        <w:gridCol w:w="6120"/>
        <w:gridCol w:w="720"/>
        <w:gridCol w:w="1260"/>
        <w:gridCol w:w="1260"/>
      </w:tblGrid>
      <w:tr w:rsidR="0097090C" w:rsidRPr="00B46ABB" w14:paraId="4730BF69"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404617AC" w14:textId="77777777" w:rsidR="0097090C" w:rsidRPr="00B46ABB" w:rsidRDefault="0097090C" w:rsidP="0097090C">
            <w:pPr>
              <w:rPr>
                <w:rFonts w:cs="Arial"/>
                <w:color w:val="000000"/>
              </w:rPr>
            </w:pPr>
            <w:r w:rsidRPr="00B46ABB">
              <w:rPr>
                <w:rFonts w:cs="Arial"/>
                <w:color w:val="000000"/>
              </w:rPr>
              <w:t>Interest Revenue from Financial Assets</w:t>
            </w:r>
          </w:p>
        </w:tc>
        <w:tc>
          <w:tcPr>
            <w:tcW w:w="720" w:type="dxa"/>
            <w:tcBorders>
              <w:top w:val="single" w:sz="4" w:space="0" w:color="auto"/>
              <w:left w:val="nil"/>
              <w:bottom w:val="nil"/>
              <w:right w:val="nil"/>
            </w:tcBorders>
            <w:shd w:val="clear" w:color="auto" w:fill="auto"/>
            <w:vAlign w:val="center"/>
            <w:hideMark/>
          </w:tcPr>
          <w:p w14:paraId="5C06EAC3" w14:textId="77777777" w:rsidR="0097090C" w:rsidRPr="00B46ABB" w:rsidRDefault="0097090C" w:rsidP="0097090C">
            <w:pPr>
              <w:jc w:val="center"/>
              <w:rPr>
                <w:rFonts w:cs="Arial"/>
                <w:color w:val="000000"/>
              </w:rPr>
            </w:pPr>
            <w:r w:rsidRPr="00B46ABB">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10692D69" w14:textId="77777777" w:rsidR="0097090C" w:rsidRPr="00B46ABB" w:rsidRDefault="0097090C" w:rsidP="0097090C">
            <w:pPr>
              <w:jc w:val="right"/>
              <w:rPr>
                <w:rFonts w:cs="Arial"/>
                <w:color w:val="000000"/>
              </w:rPr>
            </w:pPr>
            <w:r w:rsidRPr="00B46ABB">
              <w:rPr>
                <w:rFonts w:cs="Arial"/>
                <w:color w:val="000000"/>
              </w:rPr>
              <w:t>885</w:t>
            </w:r>
          </w:p>
        </w:tc>
        <w:tc>
          <w:tcPr>
            <w:tcW w:w="1260" w:type="dxa"/>
            <w:tcBorders>
              <w:top w:val="single" w:sz="4" w:space="0" w:color="auto"/>
              <w:left w:val="nil"/>
              <w:bottom w:val="nil"/>
              <w:right w:val="nil"/>
            </w:tcBorders>
            <w:shd w:val="clear" w:color="auto" w:fill="auto"/>
            <w:vAlign w:val="center"/>
            <w:hideMark/>
          </w:tcPr>
          <w:p w14:paraId="2DFFBE35" w14:textId="77777777" w:rsidR="0097090C" w:rsidRPr="00B46ABB" w:rsidRDefault="0097090C" w:rsidP="0097090C">
            <w:pPr>
              <w:jc w:val="right"/>
              <w:rPr>
                <w:rFonts w:cs="Arial"/>
                <w:color w:val="000000"/>
              </w:rPr>
            </w:pPr>
            <w:r w:rsidRPr="00B46ABB">
              <w:rPr>
                <w:rFonts w:cs="Arial"/>
                <w:color w:val="000000"/>
              </w:rPr>
              <w:t>1,056</w:t>
            </w:r>
          </w:p>
        </w:tc>
      </w:tr>
      <w:tr w:rsidR="0097090C" w:rsidRPr="00B46ABB" w14:paraId="17257A4E"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342BF5EA" w14:textId="77777777" w:rsidR="0097090C" w:rsidRPr="00B46ABB" w:rsidRDefault="0097090C" w:rsidP="0097090C">
            <w:pPr>
              <w:rPr>
                <w:rFonts w:cs="Arial"/>
                <w:color w:val="000000"/>
              </w:rPr>
            </w:pPr>
            <w:r w:rsidRPr="00B46ABB">
              <w:rPr>
                <w:rFonts w:cs="Arial"/>
                <w:color w:val="000000"/>
              </w:rPr>
              <w:t>Miscellaneous Income</w:t>
            </w:r>
          </w:p>
        </w:tc>
        <w:tc>
          <w:tcPr>
            <w:tcW w:w="720" w:type="dxa"/>
            <w:tcBorders>
              <w:top w:val="nil"/>
              <w:left w:val="nil"/>
              <w:bottom w:val="single" w:sz="4" w:space="0" w:color="auto"/>
              <w:right w:val="nil"/>
            </w:tcBorders>
            <w:shd w:val="clear" w:color="auto" w:fill="auto"/>
            <w:vAlign w:val="center"/>
            <w:hideMark/>
          </w:tcPr>
          <w:p w14:paraId="1585D286" w14:textId="77777777" w:rsidR="0097090C" w:rsidRPr="00B46ABB" w:rsidRDefault="0097090C" w:rsidP="0097090C">
            <w:pPr>
              <w:jc w:val="center"/>
              <w:rPr>
                <w:rFonts w:cs="Arial"/>
                <w:color w:val="000000"/>
              </w:rPr>
            </w:pPr>
            <w:r w:rsidRPr="00B46ABB">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49EA2137" w14:textId="77777777" w:rsidR="0097090C" w:rsidRPr="00B46ABB" w:rsidRDefault="0097090C" w:rsidP="0097090C">
            <w:pPr>
              <w:jc w:val="right"/>
              <w:rPr>
                <w:rFonts w:cs="Arial"/>
                <w:color w:val="000000"/>
              </w:rPr>
            </w:pPr>
            <w:r>
              <w:rPr>
                <w:rFonts w:cs="Arial"/>
                <w:color w:val="000000"/>
              </w:rPr>
              <w:t>4,597</w:t>
            </w:r>
          </w:p>
        </w:tc>
        <w:tc>
          <w:tcPr>
            <w:tcW w:w="1260" w:type="dxa"/>
            <w:tcBorders>
              <w:top w:val="nil"/>
              <w:left w:val="nil"/>
              <w:bottom w:val="single" w:sz="4" w:space="0" w:color="auto"/>
              <w:right w:val="nil"/>
            </w:tcBorders>
            <w:shd w:val="clear" w:color="auto" w:fill="auto"/>
            <w:vAlign w:val="center"/>
            <w:hideMark/>
          </w:tcPr>
          <w:p w14:paraId="36092036" w14:textId="77777777" w:rsidR="0097090C" w:rsidRPr="00B46ABB" w:rsidRDefault="0097090C" w:rsidP="0097090C">
            <w:pPr>
              <w:jc w:val="right"/>
              <w:rPr>
                <w:rFonts w:cs="Arial"/>
                <w:color w:val="000000"/>
              </w:rPr>
            </w:pPr>
            <w:r w:rsidRPr="00B46ABB">
              <w:rPr>
                <w:rFonts w:cs="Arial"/>
                <w:color w:val="000000"/>
              </w:rPr>
              <w:t>3,717</w:t>
            </w:r>
          </w:p>
        </w:tc>
      </w:tr>
      <w:tr w:rsidR="0097090C" w:rsidRPr="00B46ABB" w14:paraId="110FA81B"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13D1CF24" w14:textId="77777777" w:rsidR="0097090C" w:rsidRPr="00B46ABB" w:rsidRDefault="0097090C" w:rsidP="0097090C">
            <w:pPr>
              <w:rPr>
                <w:rFonts w:cs="Arial"/>
                <w:b/>
                <w:bCs/>
                <w:color w:val="000000"/>
              </w:rPr>
            </w:pPr>
            <w:r w:rsidRPr="00B46ABB">
              <w:rPr>
                <w:rFonts w:cs="Arial"/>
                <w:b/>
                <w:bCs/>
                <w:color w:val="000000"/>
              </w:rPr>
              <w:t>Total Other Income</w:t>
            </w:r>
          </w:p>
        </w:tc>
        <w:tc>
          <w:tcPr>
            <w:tcW w:w="720" w:type="dxa"/>
            <w:tcBorders>
              <w:top w:val="nil"/>
              <w:left w:val="nil"/>
              <w:bottom w:val="single" w:sz="4" w:space="0" w:color="auto"/>
              <w:right w:val="nil"/>
            </w:tcBorders>
            <w:shd w:val="clear" w:color="auto" w:fill="auto"/>
            <w:vAlign w:val="center"/>
            <w:hideMark/>
          </w:tcPr>
          <w:p w14:paraId="73045285" w14:textId="77777777" w:rsidR="0097090C" w:rsidRPr="00B46ABB" w:rsidRDefault="0097090C" w:rsidP="0097090C">
            <w:pPr>
              <w:jc w:val="center"/>
              <w:rPr>
                <w:rFonts w:cs="Arial"/>
                <w:color w:val="000000"/>
              </w:rPr>
            </w:pPr>
            <w:r w:rsidRPr="00B46ABB">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07DEAC3C" w14:textId="77777777" w:rsidR="0097090C" w:rsidRPr="00B46ABB" w:rsidRDefault="0097090C" w:rsidP="0097090C">
            <w:pPr>
              <w:jc w:val="right"/>
              <w:rPr>
                <w:rFonts w:cs="Arial"/>
                <w:b/>
                <w:bCs/>
                <w:color w:val="000000"/>
              </w:rPr>
            </w:pPr>
            <w:r>
              <w:rPr>
                <w:rFonts w:cs="Arial"/>
                <w:b/>
                <w:bCs/>
                <w:color w:val="000000"/>
              </w:rPr>
              <w:t>5,482</w:t>
            </w:r>
          </w:p>
        </w:tc>
        <w:tc>
          <w:tcPr>
            <w:tcW w:w="1260" w:type="dxa"/>
            <w:tcBorders>
              <w:top w:val="nil"/>
              <w:left w:val="nil"/>
              <w:bottom w:val="single" w:sz="4" w:space="0" w:color="auto"/>
              <w:right w:val="nil"/>
            </w:tcBorders>
            <w:shd w:val="clear" w:color="auto" w:fill="auto"/>
            <w:vAlign w:val="center"/>
            <w:hideMark/>
          </w:tcPr>
          <w:p w14:paraId="04822D47" w14:textId="77777777" w:rsidR="0097090C" w:rsidRPr="00B46ABB" w:rsidRDefault="0097090C" w:rsidP="0097090C">
            <w:pPr>
              <w:jc w:val="right"/>
              <w:rPr>
                <w:rFonts w:cs="Arial"/>
                <w:b/>
                <w:bCs/>
                <w:color w:val="000000"/>
              </w:rPr>
            </w:pPr>
            <w:r w:rsidRPr="00B46ABB">
              <w:rPr>
                <w:rFonts w:cs="Arial"/>
                <w:b/>
                <w:bCs/>
                <w:color w:val="000000"/>
              </w:rPr>
              <w:t>4,773</w:t>
            </w:r>
          </w:p>
        </w:tc>
      </w:tr>
    </w:tbl>
    <w:p w14:paraId="20B0C6D6" w14:textId="77777777" w:rsidR="0097090C" w:rsidRDefault="0097090C" w:rsidP="0097090C">
      <w:pPr>
        <w:rPr>
          <w:rFonts w:cs="Arial"/>
        </w:rPr>
      </w:pPr>
    </w:p>
    <w:p w14:paraId="38C8CDF8" w14:textId="77777777" w:rsidR="0097090C" w:rsidRPr="00400949" w:rsidRDefault="0097090C" w:rsidP="0097090C">
      <w:pPr>
        <w:pStyle w:val="Heading4"/>
      </w:pPr>
      <w:r>
        <w:t xml:space="preserve">5. </w:t>
      </w:r>
      <w:r w:rsidRPr="00400949">
        <w:t>Expenses from transactions</w:t>
      </w:r>
    </w:p>
    <w:tbl>
      <w:tblPr>
        <w:tblW w:w="9360" w:type="dxa"/>
        <w:tblInd w:w="93" w:type="dxa"/>
        <w:tblLook w:val="04A0" w:firstRow="1" w:lastRow="0" w:firstColumn="1" w:lastColumn="0" w:noHBand="0" w:noVBand="1"/>
      </w:tblPr>
      <w:tblGrid>
        <w:gridCol w:w="6120"/>
        <w:gridCol w:w="720"/>
        <w:gridCol w:w="1260"/>
        <w:gridCol w:w="1260"/>
      </w:tblGrid>
      <w:tr w:rsidR="0097090C" w:rsidRPr="00305786" w14:paraId="51724D72" w14:textId="77777777" w:rsidTr="0097090C">
        <w:trPr>
          <w:trHeight w:val="255"/>
        </w:trPr>
        <w:tc>
          <w:tcPr>
            <w:tcW w:w="6120" w:type="dxa"/>
            <w:tcBorders>
              <w:top w:val="single" w:sz="4" w:space="0" w:color="auto"/>
              <w:left w:val="nil"/>
              <w:bottom w:val="nil"/>
              <w:right w:val="nil"/>
            </w:tcBorders>
            <w:shd w:val="clear" w:color="auto" w:fill="auto"/>
            <w:noWrap/>
            <w:vAlign w:val="center"/>
            <w:hideMark/>
          </w:tcPr>
          <w:p w14:paraId="0A926EDA" w14:textId="77777777" w:rsidR="0097090C" w:rsidRPr="00305786" w:rsidRDefault="0097090C" w:rsidP="0097090C">
            <w:pPr>
              <w:pStyle w:val="Heading5"/>
            </w:pPr>
            <w:r w:rsidRPr="00305786">
              <w:t>5(a) Employee Expenses</w:t>
            </w:r>
          </w:p>
        </w:tc>
        <w:tc>
          <w:tcPr>
            <w:tcW w:w="720" w:type="dxa"/>
            <w:tcBorders>
              <w:top w:val="single" w:sz="4" w:space="0" w:color="auto"/>
              <w:left w:val="nil"/>
              <w:bottom w:val="nil"/>
              <w:right w:val="nil"/>
            </w:tcBorders>
            <w:shd w:val="clear" w:color="auto" w:fill="auto"/>
            <w:noWrap/>
            <w:vAlign w:val="center"/>
            <w:hideMark/>
          </w:tcPr>
          <w:p w14:paraId="2EB346D0" w14:textId="77777777" w:rsidR="0097090C" w:rsidRPr="00305786" w:rsidRDefault="0097090C" w:rsidP="0097090C">
            <w:pPr>
              <w:rPr>
                <w:rFonts w:cs="Arial"/>
                <w:color w:val="000000"/>
              </w:rPr>
            </w:pPr>
            <w:r w:rsidRPr="00305786">
              <w:rPr>
                <w:rFonts w:cs="Arial"/>
                <w:color w:val="000000"/>
              </w:rPr>
              <w:t> </w:t>
            </w:r>
          </w:p>
        </w:tc>
        <w:tc>
          <w:tcPr>
            <w:tcW w:w="1260" w:type="dxa"/>
            <w:tcBorders>
              <w:top w:val="single" w:sz="4" w:space="0" w:color="auto"/>
              <w:left w:val="nil"/>
              <w:bottom w:val="nil"/>
              <w:right w:val="nil"/>
            </w:tcBorders>
            <w:shd w:val="clear" w:color="000000" w:fill="D9D9D9"/>
            <w:noWrap/>
            <w:vAlign w:val="center"/>
            <w:hideMark/>
          </w:tcPr>
          <w:p w14:paraId="2EB05415" w14:textId="77777777" w:rsidR="0097090C" w:rsidRPr="00305786" w:rsidRDefault="0097090C" w:rsidP="0097090C">
            <w:pPr>
              <w:rPr>
                <w:rFonts w:cs="Arial"/>
                <w:color w:val="000000"/>
              </w:rPr>
            </w:pPr>
            <w:r w:rsidRPr="00305786">
              <w:rPr>
                <w:rFonts w:cs="Arial"/>
                <w:color w:val="000000"/>
              </w:rPr>
              <w:t> </w:t>
            </w:r>
          </w:p>
        </w:tc>
        <w:tc>
          <w:tcPr>
            <w:tcW w:w="1260" w:type="dxa"/>
            <w:tcBorders>
              <w:top w:val="single" w:sz="4" w:space="0" w:color="auto"/>
              <w:left w:val="nil"/>
              <w:bottom w:val="nil"/>
              <w:right w:val="nil"/>
            </w:tcBorders>
            <w:shd w:val="clear" w:color="auto" w:fill="auto"/>
            <w:noWrap/>
            <w:vAlign w:val="center"/>
            <w:hideMark/>
          </w:tcPr>
          <w:p w14:paraId="3D967E26" w14:textId="77777777" w:rsidR="0097090C" w:rsidRPr="00305786" w:rsidRDefault="0097090C" w:rsidP="0097090C">
            <w:pPr>
              <w:rPr>
                <w:rFonts w:cs="Arial"/>
                <w:color w:val="000000"/>
              </w:rPr>
            </w:pPr>
            <w:r w:rsidRPr="00305786">
              <w:rPr>
                <w:rFonts w:cs="Arial"/>
                <w:color w:val="000000"/>
              </w:rPr>
              <w:t> </w:t>
            </w:r>
          </w:p>
        </w:tc>
      </w:tr>
      <w:tr w:rsidR="0097090C" w:rsidRPr="00305786" w14:paraId="44EE13FF" w14:textId="77777777" w:rsidTr="0097090C">
        <w:trPr>
          <w:trHeight w:val="255"/>
        </w:trPr>
        <w:tc>
          <w:tcPr>
            <w:tcW w:w="6120" w:type="dxa"/>
            <w:tcBorders>
              <w:top w:val="nil"/>
              <w:left w:val="nil"/>
              <w:bottom w:val="nil"/>
              <w:right w:val="nil"/>
            </w:tcBorders>
            <w:shd w:val="clear" w:color="auto" w:fill="auto"/>
            <w:vAlign w:val="center"/>
            <w:hideMark/>
          </w:tcPr>
          <w:p w14:paraId="2911FFDB" w14:textId="77777777" w:rsidR="0097090C" w:rsidRPr="00305786" w:rsidRDefault="0097090C" w:rsidP="0097090C">
            <w:pPr>
              <w:rPr>
                <w:rFonts w:cs="Arial"/>
                <w:color w:val="000000"/>
              </w:rPr>
            </w:pPr>
            <w:r w:rsidRPr="00305786">
              <w:rPr>
                <w:rFonts w:cs="Arial"/>
                <w:color w:val="000000"/>
              </w:rPr>
              <w:t>Salaries, wages and associated costs</w:t>
            </w:r>
          </w:p>
        </w:tc>
        <w:tc>
          <w:tcPr>
            <w:tcW w:w="720" w:type="dxa"/>
            <w:tcBorders>
              <w:top w:val="nil"/>
              <w:left w:val="nil"/>
              <w:bottom w:val="nil"/>
              <w:right w:val="nil"/>
            </w:tcBorders>
            <w:shd w:val="clear" w:color="auto" w:fill="auto"/>
            <w:vAlign w:val="center"/>
            <w:hideMark/>
          </w:tcPr>
          <w:p w14:paraId="32914E8C"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B7F3079" w14:textId="77777777" w:rsidR="0097090C" w:rsidRPr="00305786" w:rsidRDefault="0097090C" w:rsidP="0097090C">
            <w:pPr>
              <w:jc w:val="right"/>
              <w:rPr>
                <w:rFonts w:cs="Arial"/>
                <w:color w:val="000000"/>
              </w:rPr>
            </w:pPr>
            <w:r w:rsidRPr="00305786">
              <w:rPr>
                <w:rFonts w:cs="Arial"/>
                <w:color w:val="000000"/>
              </w:rPr>
              <w:t>39,380</w:t>
            </w:r>
          </w:p>
        </w:tc>
        <w:tc>
          <w:tcPr>
            <w:tcW w:w="1260" w:type="dxa"/>
            <w:tcBorders>
              <w:top w:val="nil"/>
              <w:left w:val="nil"/>
              <w:bottom w:val="nil"/>
              <w:right w:val="nil"/>
            </w:tcBorders>
            <w:shd w:val="clear" w:color="auto" w:fill="auto"/>
            <w:vAlign w:val="center"/>
            <w:hideMark/>
          </w:tcPr>
          <w:p w14:paraId="29733CBE" w14:textId="77777777" w:rsidR="0097090C" w:rsidRPr="00305786" w:rsidRDefault="0097090C" w:rsidP="0097090C">
            <w:pPr>
              <w:jc w:val="right"/>
              <w:rPr>
                <w:rFonts w:cs="Arial"/>
                <w:color w:val="000000"/>
              </w:rPr>
            </w:pPr>
            <w:r w:rsidRPr="00305786">
              <w:rPr>
                <w:rFonts w:cs="Arial"/>
                <w:color w:val="000000"/>
              </w:rPr>
              <w:t>37,279</w:t>
            </w:r>
          </w:p>
        </w:tc>
      </w:tr>
      <w:tr w:rsidR="0097090C" w:rsidRPr="00305786" w14:paraId="21C2EE2C"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7C8208B5" w14:textId="77777777" w:rsidR="0097090C" w:rsidRPr="00305786" w:rsidRDefault="0097090C" w:rsidP="0097090C">
            <w:pPr>
              <w:rPr>
                <w:rFonts w:cs="Arial"/>
                <w:color w:val="000000"/>
              </w:rPr>
            </w:pPr>
            <w:r w:rsidRPr="00305786">
              <w:rPr>
                <w:rFonts w:cs="Arial"/>
                <w:color w:val="000000"/>
              </w:rPr>
              <w:t>Superannuation</w:t>
            </w:r>
          </w:p>
        </w:tc>
        <w:tc>
          <w:tcPr>
            <w:tcW w:w="720" w:type="dxa"/>
            <w:tcBorders>
              <w:top w:val="nil"/>
              <w:left w:val="nil"/>
              <w:bottom w:val="single" w:sz="4" w:space="0" w:color="auto"/>
              <w:right w:val="nil"/>
            </w:tcBorders>
            <w:shd w:val="clear" w:color="auto" w:fill="auto"/>
            <w:vAlign w:val="center"/>
            <w:hideMark/>
          </w:tcPr>
          <w:p w14:paraId="2394F740"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24DE1084" w14:textId="77777777" w:rsidR="0097090C" w:rsidRPr="00305786" w:rsidRDefault="0097090C" w:rsidP="0097090C">
            <w:pPr>
              <w:jc w:val="right"/>
              <w:rPr>
                <w:rFonts w:cs="Arial"/>
                <w:color w:val="000000"/>
              </w:rPr>
            </w:pPr>
            <w:r w:rsidRPr="00305786">
              <w:rPr>
                <w:rFonts w:cs="Arial"/>
                <w:color w:val="000000"/>
              </w:rPr>
              <w:t>3,412</w:t>
            </w:r>
          </w:p>
        </w:tc>
        <w:tc>
          <w:tcPr>
            <w:tcW w:w="1260" w:type="dxa"/>
            <w:tcBorders>
              <w:top w:val="nil"/>
              <w:left w:val="nil"/>
              <w:bottom w:val="single" w:sz="4" w:space="0" w:color="auto"/>
              <w:right w:val="nil"/>
            </w:tcBorders>
            <w:shd w:val="clear" w:color="auto" w:fill="auto"/>
            <w:vAlign w:val="center"/>
            <w:hideMark/>
          </w:tcPr>
          <w:p w14:paraId="762C6F9E" w14:textId="77777777" w:rsidR="0097090C" w:rsidRPr="00305786" w:rsidRDefault="0097090C" w:rsidP="0097090C">
            <w:pPr>
              <w:jc w:val="right"/>
              <w:rPr>
                <w:rFonts w:cs="Arial"/>
                <w:color w:val="000000"/>
              </w:rPr>
            </w:pPr>
            <w:r w:rsidRPr="00305786">
              <w:rPr>
                <w:rFonts w:cs="Arial"/>
                <w:color w:val="000000"/>
              </w:rPr>
              <w:t>3,251</w:t>
            </w:r>
          </w:p>
        </w:tc>
      </w:tr>
      <w:tr w:rsidR="0097090C" w:rsidRPr="00305786" w14:paraId="4A5D27F6"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4E37C581" w14:textId="77777777" w:rsidR="0097090C" w:rsidRPr="00305786" w:rsidRDefault="0097090C" w:rsidP="0097090C">
            <w:pPr>
              <w:rPr>
                <w:rFonts w:cs="Arial"/>
                <w:b/>
                <w:bCs/>
                <w:color w:val="000000"/>
              </w:rPr>
            </w:pPr>
            <w:r w:rsidRPr="00305786">
              <w:rPr>
                <w:rFonts w:cs="Arial"/>
                <w:b/>
                <w:bCs/>
                <w:color w:val="000000"/>
              </w:rPr>
              <w:t>Total Employee Expenses</w:t>
            </w:r>
          </w:p>
        </w:tc>
        <w:tc>
          <w:tcPr>
            <w:tcW w:w="720" w:type="dxa"/>
            <w:tcBorders>
              <w:top w:val="nil"/>
              <w:left w:val="nil"/>
              <w:bottom w:val="single" w:sz="4" w:space="0" w:color="auto"/>
              <w:right w:val="nil"/>
            </w:tcBorders>
            <w:shd w:val="clear" w:color="auto" w:fill="auto"/>
            <w:vAlign w:val="center"/>
            <w:hideMark/>
          </w:tcPr>
          <w:p w14:paraId="4CA0D68E"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5153E69E" w14:textId="77777777" w:rsidR="0097090C" w:rsidRPr="00305786" w:rsidRDefault="0097090C" w:rsidP="0097090C">
            <w:pPr>
              <w:jc w:val="right"/>
              <w:rPr>
                <w:rFonts w:cs="Arial"/>
                <w:b/>
                <w:bCs/>
                <w:color w:val="000000"/>
              </w:rPr>
            </w:pPr>
            <w:r w:rsidRPr="00305786">
              <w:rPr>
                <w:rFonts w:cs="Arial"/>
                <w:b/>
                <w:bCs/>
                <w:color w:val="000000"/>
              </w:rPr>
              <w:t>42,792</w:t>
            </w:r>
          </w:p>
        </w:tc>
        <w:tc>
          <w:tcPr>
            <w:tcW w:w="1260" w:type="dxa"/>
            <w:tcBorders>
              <w:top w:val="nil"/>
              <w:left w:val="nil"/>
              <w:bottom w:val="single" w:sz="4" w:space="0" w:color="auto"/>
              <w:right w:val="nil"/>
            </w:tcBorders>
            <w:shd w:val="clear" w:color="auto" w:fill="auto"/>
            <w:vAlign w:val="center"/>
            <w:hideMark/>
          </w:tcPr>
          <w:p w14:paraId="1AC31DDB" w14:textId="77777777" w:rsidR="0097090C" w:rsidRPr="00305786" w:rsidRDefault="0097090C" w:rsidP="0097090C">
            <w:pPr>
              <w:jc w:val="right"/>
              <w:rPr>
                <w:rFonts w:cs="Arial"/>
                <w:b/>
                <w:bCs/>
                <w:color w:val="000000"/>
              </w:rPr>
            </w:pPr>
            <w:r w:rsidRPr="00305786">
              <w:rPr>
                <w:rFonts w:cs="Arial"/>
                <w:b/>
                <w:bCs/>
                <w:color w:val="000000"/>
              </w:rPr>
              <w:t>40,530</w:t>
            </w:r>
          </w:p>
        </w:tc>
      </w:tr>
      <w:tr w:rsidR="0097090C" w:rsidRPr="00305786" w14:paraId="276B6702" w14:textId="77777777" w:rsidTr="0097090C">
        <w:trPr>
          <w:trHeight w:val="255"/>
        </w:trPr>
        <w:tc>
          <w:tcPr>
            <w:tcW w:w="6120" w:type="dxa"/>
            <w:tcBorders>
              <w:top w:val="nil"/>
              <w:left w:val="nil"/>
              <w:bottom w:val="nil"/>
              <w:right w:val="nil"/>
            </w:tcBorders>
            <w:shd w:val="clear" w:color="auto" w:fill="auto"/>
            <w:vAlign w:val="center"/>
            <w:hideMark/>
          </w:tcPr>
          <w:p w14:paraId="72D2D431" w14:textId="77777777" w:rsidR="0097090C" w:rsidRPr="00305786" w:rsidRDefault="0097090C" w:rsidP="0097090C">
            <w:pPr>
              <w:rPr>
                <w:rFonts w:cs="Arial"/>
                <w:color w:val="000000"/>
              </w:rPr>
            </w:pPr>
          </w:p>
        </w:tc>
        <w:tc>
          <w:tcPr>
            <w:tcW w:w="720" w:type="dxa"/>
            <w:tcBorders>
              <w:top w:val="nil"/>
              <w:left w:val="nil"/>
              <w:bottom w:val="nil"/>
              <w:right w:val="nil"/>
            </w:tcBorders>
            <w:shd w:val="clear" w:color="auto" w:fill="auto"/>
            <w:vAlign w:val="center"/>
            <w:hideMark/>
          </w:tcPr>
          <w:p w14:paraId="1D23551D"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F84F001" w14:textId="77777777" w:rsidR="0097090C" w:rsidRPr="00305786" w:rsidRDefault="0097090C" w:rsidP="0097090C">
            <w:pPr>
              <w:jc w:val="right"/>
              <w:rPr>
                <w:rFonts w:cs="Arial"/>
                <w:color w:val="000000"/>
              </w:rPr>
            </w:pPr>
            <w:r w:rsidRPr="00305786">
              <w:rPr>
                <w:rFonts w:cs="Arial"/>
                <w:color w:val="000000"/>
              </w:rPr>
              <w:t> </w:t>
            </w:r>
          </w:p>
        </w:tc>
        <w:tc>
          <w:tcPr>
            <w:tcW w:w="1260" w:type="dxa"/>
            <w:tcBorders>
              <w:top w:val="nil"/>
              <w:left w:val="nil"/>
              <w:bottom w:val="nil"/>
              <w:right w:val="nil"/>
            </w:tcBorders>
            <w:shd w:val="clear" w:color="auto" w:fill="auto"/>
            <w:vAlign w:val="center"/>
            <w:hideMark/>
          </w:tcPr>
          <w:p w14:paraId="59F85896" w14:textId="77777777" w:rsidR="0097090C" w:rsidRPr="00305786" w:rsidRDefault="0097090C" w:rsidP="0097090C">
            <w:pPr>
              <w:jc w:val="right"/>
              <w:rPr>
                <w:rFonts w:cs="Arial"/>
                <w:color w:val="000000"/>
              </w:rPr>
            </w:pPr>
          </w:p>
        </w:tc>
      </w:tr>
      <w:tr w:rsidR="0097090C" w:rsidRPr="00305786" w14:paraId="4CBB1677" w14:textId="77777777" w:rsidTr="0097090C">
        <w:trPr>
          <w:trHeight w:val="255"/>
        </w:trPr>
        <w:tc>
          <w:tcPr>
            <w:tcW w:w="6120" w:type="dxa"/>
            <w:tcBorders>
              <w:top w:val="nil"/>
              <w:left w:val="nil"/>
              <w:bottom w:val="nil"/>
              <w:right w:val="nil"/>
            </w:tcBorders>
            <w:shd w:val="clear" w:color="auto" w:fill="auto"/>
            <w:vAlign w:val="center"/>
            <w:hideMark/>
          </w:tcPr>
          <w:p w14:paraId="5E5B7C82" w14:textId="77777777" w:rsidR="0097090C" w:rsidRPr="00305786" w:rsidRDefault="0097090C" w:rsidP="0097090C">
            <w:pPr>
              <w:pStyle w:val="Heading5"/>
            </w:pPr>
            <w:r w:rsidRPr="00305786">
              <w:t>5(b) Other Operating Expenses</w:t>
            </w:r>
          </w:p>
        </w:tc>
        <w:tc>
          <w:tcPr>
            <w:tcW w:w="720" w:type="dxa"/>
            <w:tcBorders>
              <w:top w:val="nil"/>
              <w:left w:val="nil"/>
              <w:bottom w:val="nil"/>
              <w:right w:val="nil"/>
            </w:tcBorders>
            <w:shd w:val="clear" w:color="auto" w:fill="auto"/>
            <w:vAlign w:val="center"/>
            <w:hideMark/>
          </w:tcPr>
          <w:p w14:paraId="76C47DAF"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B16A971" w14:textId="77777777" w:rsidR="0097090C" w:rsidRPr="00305786" w:rsidRDefault="0097090C" w:rsidP="0097090C">
            <w:pPr>
              <w:jc w:val="right"/>
              <w:rPr>
                <w:rFonts w:cs="Arial"/>
                <w:color w:val="000000"/>
              </w:rPr>
            </w:pPr>
            <w:r w:rsidRPr="00305786">
              <w:rPr>
                <w:rFonts w:cs="Arial"/>
                <w:color w:val="000000"/>
              </w:rPr>
              <w:t> </w:t>
            </w:r>
          </w:p>
        </w:tc>
        <w:tc>
          <w:tcPr>
            <w:tcW w:w="1260" w:type="dxa"/>
            <w:tcBorders>
              <w:top w:val="nil"/>
              <w:left w:val="nil"/>
              <w:bottom w:val="nil"/>
              <w:right w:val="nil"/>
            </w:tcBorders>
            <w:shd w:val="clear" w:color="auto" w:fill="auto"/>
            <w:vAlign w:val="center"/>
            <w:hideMark/>
          </w:tcPr>
          <w:p w14:paraId="5F6F5274" w14:textId="77777777" w:rsidR="0097090C" w:rsidRPr="00305786" w:rsidRDefault="0097090C" w:rsidP="0097090C">
            <w:pPr>
              <w:jc w:val="right"/>
              <w:rPr>
                <w:rFonts w:cs="Arial"/>
                <w:color w:val="000000"/>
              </w:rPr>
            </w:pPr>
          </w:p>
        </w:tc>
      </w:tr>
      <w:tr w:rsidR="0097090C" w:rsidRPr="00305786" w14:paraId="426051DE" w14:textId="77777777" w:rsidTr="0097090C">
        <w:trPr>
          <w:trHeight w:val="255"/>
        </w:trPr>
        <w:tc>
          <w:tcPr>
            <w:tcW w:w="6120" w:type="dxa"/>
            <w:tcBorders>
              <w:top w:val="nil"/>
              <w:left w:val="nil"/>
              <w:bottom w:val="nil"/>
              <w:right w:val="nil"/>
            </w:tcBorders>
            <w:shd w:val="clear" w:color="auto" w:fill="auto"/>
            <w:vAlign w:val="center"/>
            <w:hideMark/>
          </w:tcPr>
          <w:p w14:paraId="4059A367" w14:textId="77777777" w:rsidR="0097090C" w:rsidRPr="00305786" w:rsidRDefault="0097090C" w:rsidP="0097090C">
            <w:pPr>
              <w:rPr>
                <w:rFonts w:cs="Arial"/>
                <w:color w:val="000000"/>
              </w:rPr>
            </w:pPr>
            <w:r w:rsidRPr="00305786">
              <w:rPr>
                <w:rFonts w:cs="Arial"/>
                <w:color w:val="000000"/>
              </w:rPr>
              <w:t>Marketing and promotion</w:t>
            </w:r>
          </w:p>
        </w:tc>
        <w:tc>
          <w:tcPr>
            <w:tcW w:w="720" w:type="dxa"/>
            <w:tcBorders>
              <w:top w:val="nil"/>
              <w:left w:val="nil"/>
              <w:bottom w:val="nil"/>
              <w:right w:val="nil"/>
            </w:tcBorders>
            <w:shd w:val="clear" w:color="auto" w:fill="auto"/>
            <w:vAlign w:val="center"/>
            <w:hideMark/>
          </w:tcPr>
          <w:p w14:paraId="49DE8DE5"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79F65E1C" w14:textId="77777777" w:rsidR="0097090C" w:rsidRPr="00305786" w:rsidRDefault="0097090C" w:rsidP="0097090C">
            <w:pPr>
              <w:jc w:val="right"/>
              <w:rPr>
                <w:rFonts w:cs="Arial"/>
                <w:color w:val="000000"/>
              </w:rPr>
            </w:pPr>
            <w:r w:rsidRPr="00305786">
              <w:rPr>
                <w:rFonts w:cs="Arial"/>
                <w:color w:val="000000"/>
              </w:rPr>
              <w:t>2,258</w:t>
            </w:r>
          </w:p>
        </w:tc>
        <w:tc>
          <w:tcPr>
            <w:tcW w:w="1260" w:type="dxa"/>
            <w:tcBorders>
              <w:top w:val="nil"/>
              <w:left w:val="nil"/>
              <w:bottom w:val="nil"/>
              <w:right w:val="nil"/>
            </w:tcBorders>
            <w:shd w:val="clear" w:color="auto" w:fill="auto"/>
            <w:vAlign w:val="center"/>
            <w:hideMark/>
          </w:tcPr>
          <w:p w14:paraId="7B8542CB" w14:textId="77777777" w:rsidR="0097090C" w:rsidRPr="00305786" w:rsidRDefault="0097090C" w:rsidP="0097090C">
            <w:pPr>
              <w:jc w:val="right"/>
              <w:rPr>
                <w:rFonts w:cs="Arial"/>
                <w:color w:val="000000"/>
              </w:rPr>
            </w:pPr>
            <w:r w:rsidRPr="00305786">
              <w:rPr>
                <w:rFonts w:cs="Arial"/>
                <w:color w:val="000000"/>
              </w:rPr>
              <w:t>1,412</w:t>
            </w:r>
          </w:p>
        </w:tc>
      </w:tr>
      <w:tr w:rsidR="0097090C" w:rsidRPr="00305786" w14:paraId="55387748" w14:textId="77777777" w:rsidTr="0097090C">
        <w:trPr>
          <w:trHeight w:val="255"/>
        </w:trPr>
        <w:tc>
          <w:tcPr>
            <w:tcW w:w="6120" w:type="dxa"/>
            <w:tcBorders>
              <w:top w:val="nil"/>
              <w:left w:val="nil"/>
              <w:bottom w:val="nil"/>
              <w:right w:val="nil"/>
            </w:tcBorders>
            <w:shd w:val="clear" w:color="auto" w:fill="auto"/>
            <w:vAlign w:val="center"/>
            <w:hideMark/>
          </w:tcPr>
          <w:p w14:paraId="04318FB0" w14:textId="77777777" w:rsidR="0097090C" w:rsidRPr="00305786" w:rsidRDefault="0097090C" w:rsidP="0097090C">
            <w:pPr>
              <w:rPr>
                <w:rFonts w:cs="Arial"/>
                <w:color w:val="000000"/>
              </w:rPr>
            </w:pPr>
            <w:r w:rsidRPr="00305786">
              <w:rPr>
                <w:rFonts w:cs="Arial"/>
                <w:color w:val="000000"/>
              </w:rPr>
              <w:t>Contractors and Exhibition Display Costs</w:t>
            </w:r>
          </w:p>
        </w:tc>
        <w:tc>
          <w:tcPr>
            <w:tcW w:w="720" w:type="dxa"/>
            <w:tcBorders>
              <w:top w:val="nil"/>
              <w:left w:val="nil"/>
              <w:bottom w:val="nil"/>
              <w:right w:val="nil"/>
            </w:tcBorders>
            <w:shd w:val="clear" w:color="auto" w:fill="auto"/>
            <w:vAlign w:val="center"/>
            <w:hideMark/>
          </w:tcPr>
          <w:p w14:paraId="7C6204D6"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76084E5" w14:textId="77777777" w:rsidR="0097090C" w:rsidRPr="00305786" w:rsidRDefault="0097090C" w:rsidP="0097090C">
            <w:pPr>
              <w:jc w:val="right"/>
              <w:rPr>
                <w:rFonts w:cs="Arial"/>
                <w:color w:val="000000"/>
              </w:rPr>
            </w:pPr>
            <w:r w:rsidRPr="00305786">
              <w:rPr>
                <w:rFonts w:cs="Arial"/>
                <w:color w:val="000000"/>
              </w:rPr>
              <w:t>8,882</w:t>
            </w:r>
          </w:p>
        </w:tc>
        <w:tc>
          <w:tcPr>
            <w:tcW w:w="1260" w:type="dxa"/>
            <w:tcBorders>
              <w:top w:val="nil"/>
              <w:left w:val="nil"/>
              <w:bottom w:val="nil"/>
              <w:right w:val="nil"/>
            </w:tcBorders>
            <w:shd w:val="clear" w:color="auto" w:fill="auto"/>
            <w:vAlign w:val="center"/>
            <w:hideMark/>
          </w:tcPr>
          <w:p w14:paraId="2CD72879" w14:textId="77777777" w:rsidR="0097090C" w:rsidRPr="00305786" w:rsidRDefault="0097090C" w:rsidP="0097090C">
            <w:pPr>
              <w:jc w:val="right"/>
              <w:rPr>
                <w:rFonts w:cs="Arial"/>
                <w:color w:val="000000"/>
              </w:rPr>
            </w:pPr>
            <w:r w:rsidRPr="00305786">
              <w:rPr>
                <w:rFonts w:cs="Arial"/>
                <w:color w:val="000000"/>
              </w:rPr>
              <w:t>7,533</w:t>
            </w:r>
          </w:p>
        </w:tc>
      </w:tr>
      <w:tr w:rsidR="0097090C" w:rsidRPr="00305786" w14:paraId="45F6F745" w14:textId="77777777" w:rsidTr="0097090C">
        <w:trPr>
          <w:trHeight w:val="255"/>
        </w:trPr>
        <w:tc>
          <w:tcPr>
            <w:tcW w:w="6120" w:type="dxa"/>
            <w:tcBorders>
              <w:top w:val="nil"/>
              <w:left w:val="nil"/>
              <w:bottom w:val="nil"/>
              <w:right w:val="nil"/>
            </w:tcBorders>
            <w:shd w:val="clear" w:color="auto" w:fill="auto"/>
            <w:vAlign w:val="center"/>
            <w:hideMark/>
          </w:tcPr>
          <w:p w14:paraId="7244F060" w14:textId="77777777" w:rsidR="0097090C" w:rsidRPr="00305786" w:rsidRDefault="0097090C" w:rsidP="0097090C">
            <w:pPr>
              <w:rPr>
                <w:rFonts w:cs="Arial"/>
                <w:color w:val="000000"/>
              </w:rPr>
            </w:pPr>
            <w:r w:rsidRPr="00305786">
              <w:rPr>
                <w:rFonts w:cs="Arial"/>
                <w:color w:val="000000"/>
              </w:rPr>
              <w:t>Collections Management</w:t>
            </w:r>
          </w:p>
        </w:tc>
        <w:tc>
          <w:tcPr>
            <w:tcW w:w="720" w:type="dxa"/>
            <w:tcBorders>
              <w:top w:val="nil"/>
              <w:left w:val="nil"/>
              <w:bottom w:val="nil"/>
              <w:right w:val="nil"/>
            </w:tcBorders>
            <w:shd w:val="clear" w:color="auto" w:fill="auto"/>
            <w:vAlign w:val="center"/>
            <w:hideMark/>
          </w:tcPr>
          <w:p w14:paraId="59C6904E" w14:textId="77777777" w:rsidR="0097090C" w:rsidRPr="00305786"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19ADCE0" w14:textId="77777777" w:rsidR="0097090C" w:rsidRPr="00305786" w:rsidRDefault="0097090C" w:rsidP="0097090C">
            <w:pPr>
              <w:jc w:val="right"/>
              <w:rPr>
                <w:rFonts w:cs="Arial"/>
                <w:color w:val="000000"/>
              </w:rPr>
            </w:pPr>
            <w:r w:rsidRPr="00305786">
              <w:rPr>
                <w:rFonts w:cs="Arial"/>
                <w:color w:val="000000"/>
              </w:rPr>
              <w:t>97</w:t>
            </w:r>
          </w:p>
        </w:tc>
        <w:tc>
          <w:tcPr>
            <w:tcW w:w="1260" w:type="dxa"/>
            <w:tcBorders>
              <w:top w:val="nil"/>
              <w:left w:val="nil"/>
              <w:bottom w:val="nil"/>
              <w:right w:val="nil"/>
            </w:tcBorders>
            <w:shd w:val="clear" w:color="auto" w:fill="auto"/>
            <w:vAlign w:val="center"/>
            <w:hideMark/>
          </w:tcPr>
          <w:p w14:paraId="1D183D5E" w14:textId="77777777" w:rsidR="0097090C" w:rsidRPr="00305786" w:rsidRDefault="0097090C" w:rsidP="0097090C">
            <w:pPr>
              <w:jc w:val="right"/>
              <w:rPr>
                <w:rFonts w:cs="Arial"/>
                <w:color w:val="000000"/>
              </w:rPr>
            </w:pPr>
            <w:r w:rsidRPr="00305786">
              <w:rPr>
                <w:rFonts w:cs="Arial"/>
                <w:color w:val="000000"/>
              </w:rPr>
              <w:t>75</w:t>
            </w:r>
          </w:p>
        </w:tc>
      </w:tr>
      <w:tr w:rsidR="0097090C" w:rsidRPr="00305786" w14:paraId="0EB20713" w14:textId="77777777" w:rsidTr="0097090C">
        <w:trPr>
          <w:trHeight w:val="285"/>
        </w:trPr>
        <w:tc>
          <w:tcPr>
            <w:tcW w:w="6120" w:type="dxa"/>
            <w:tcBorders>
              <w:top w:val="single" w:sz="4" w:space="0" w:color="auto"/>
              <w:left w:val="nil"/>
              <w:bottom w:val="single" w:sz="4" w:space="0" w:color="auto"/>
              <w:right w:val="nil"/>
            </w:tcBorders>
            <w:shd w:val="clear" w:color="auto" w:fill="auto"/>
            <w:vAlign w:val="center"/>
            <w:hideMark/>
          </w:tcPr>
          <w:p w14:paraId="2E78EDC8" w14:textId="77777777" w:rsidR="0097090C" w:rsidRPr="00305786" w:rsidRDefault="0097090C" w:rsidP="0097090C">
            <w:pPr>
              <w:rPr>
                <w:rFonts w:cs="Arial"/>
                <w:b/>
                <w:bCs/>
                <w:color w:val="000000"/>
              </w:rPr>
            </w:pPr>
            <w:r w:rsidRPr="00305786">
              <w:rPr>
                <w:rFonts w:cs="Arial"/>
                <w:b/>
                <w:bCs/>
                <w:color w:val="000000"/>
              </w:rPr>
              <w:t>Total Other Operating Expenses</w:t>
            </w:r>
          </w:p>
        </w:tc>
        <w:tc>
          <w:tcPr>
            <w:tcW w:w="720" w:type="dxa"/>
            <w:tcBorders>
              <w:top w:val="single" w:sz="4" w:space="0" w:color="auto"/>
              <w:left w:val="nil"/>
              <w:bottom w:val="single" w:sz="4" w:space="0" w:color="auto"/>
              <w:right w:val="nil"/>
            </w:tcBorders>
            <w:shd w:val="clear" w:color="auto" w:fill="auto"/>
            <w:vAlign w:val="center"/>
            <w:hideMark/>
          </w:tcPr>
          <w:p w14:paraId="7046D1B8"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single" w:sz="4" w:space="0" w:color="auto"/>
              <w:left w:val="nil"/>
              <w:bottom w:val="single" w:sz="4" w:space="0" w:color="auto"/>
              <w:right w:val="nil"/>
            </w:tcBorders>
            <w:shd w:val="clear" w:color="000000" w:fill="D9D9D9"/>
            <w:vAlign w:val="center"/>
            <w:hideMark/>
          </w:tcPr>
          <w:p w14:paraId="67E8654B" w14:textId="77777777" w:rsidR="0097090C" w:rsidRPr="00305786" w:rsidRDefault="0097090C" w:rsidP="0097090C">
            <w:pPr>
              <w:jc w:val="right"/>
              <w:rPr>
                <w:rFonts w:cs="Arial"/>
                <w:b/>
                <w:bCs/>
                <w:color w:val="000000"/>
              </w:rPr>
            </w:pPr>
            <w:r w:rsidRPr="00305786">
              <w:rPr>
                <w:rFonts w:cs="Arial"/>
                <w:b/>
                <w:bCs/>
                <w:color w:val="000000"/>
              </w:rPr>
              <w:t>11,237</w:t>
            </w:r>
          </w:p>
        </w:tc>
        <w:tc>
          <w:tcPr>
            <w:tcW w:w="1260" w:type="dxa"/>
            <w:tcBorders>
              <w:top w:val="single" w:sz="4" w:space="0" w:color="auto"/>
              <w:left w:val="nil"/>
              <w:bottom w:val="single" w:sz="4" w:space="0" w:color="auto"/>
              <w:right w:val="nil"/>
            </w:tcBorders>
            <w:shd w:val="clear" w:color="auto" w:fill="auto"/>
            <w:vAlign w:val="center"/>
            <w:hideMark/>
          </w:tcPr>
          <w:p w14:paraId="5982EC59" w14:textId="77777777" w:rsidR="0097090C" w:rsidRPr="00305786" w:rsidRDefault="0097090C" w:rsidP="0097090C">
            <w:pPr>
              <w:jc w:val="right"/>
              <w:rPr>
                <w:rFonts w:cs="Arial"/>
                <w:b/>
                <w:bCs/>
                <w:color w:val="000000"/>
              </w:rPr>
            </w:pPr>
            <w:r w:rsidRPr="00305786">
              <w:rPr>
                <w:rFonts w:cs="Arial"/>
                <w:b/>
                <w:bCs/>
                <w:color w:val="000000"/>
              </w:rPr>
              <w:t>9,020</w:t>
            </w:r>
          </w:p>
        </w:tc>
      </w:tr>
    </w:tbl>
    <w:p w14:paraId="5EC6173A" w14:textId="77777777" w:rsidR="0097090C" w:rsidRDefault="0097090C" w:rsidP="0097090C">
      <w:pPr>
        <w:rPr>
          <w:rFonts w:cs="Arial"/>
        </w:rPr>
      </w:pPr>
    </w:p>
    <w:p w14:paraId="7075F62B" w14:textId="77777777" w:rsidR="0097090C" w:rsidRPr="00400949" w:rsidRDefault="0097090C" w:rsidP="0097090C">
      <w:pPr>
        <w:pStyle w:val="Heading4"/>
      </w:pPr>
      <w:r>
        <w:t xml:space="preserve">6. </w:t>
      </w:r>
      <w:r w:rsidRPr="00400949">
        <w:t>Cash and Deposits</w:t>
      </w:r>
    </w:p>
    <w:tbl>
      <w:tblPr>
        <w:tblW w:w="9360" w:type="dxa"/>
        <w:tblInd w:w="108" w:type="dxa"/>
        <w:tblLook w:val="04A0" w:firstRow="1" w:lastRow="0" w:firstColumn="1" w:lastColumn="0" w:noHBand="0" w:noVBand="1"/>
      </w:tblPr>
      <w:tblGrid>
        <w:gridCol w:w="6120"/>
        <w:gridCol w:w="720"/>
        <w:gridCol w:w="1260"/>
        <w:gridCol w:w="1260"/>
      </w:tblGrid>
      <w:tr w:rsidR="0097090C" w:rsidRPr="00B46ABB" w14:paraId="4CF85A81"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7871B140" w14:textId="77777777" w:rsidR="0097090C" w:rsidRPr="00B46ABB" w:rsidRDefault="0097090C" w:rsidP="0097090C">
            <w:pPr>
              <w:rPr>
                <w:rFonts w:cs="Arial"/>
                <w:color w:val="000000"/>
              </w:rPr>
            </w:pPr>
            <w:r w:rsidRPr="00D54857">
              <w:rPr>
                <w:rFonts w:cs="Arial"/>
                <w:color w:val="000000"/>
              </w:rPr>
              <w:t>Short term deposits</w:t>
            </w:r>
          </w:p>
        </w:tc>
        <w:tc>
          <w:tcPr>
            <w:tcW w:w="720" w:type="dxa"/>
            <w:tcBorders>
              <w:top w:val="single" w:sz="4" w:space="0" w:color="auto"/>
              <w:left w:val="nil"/>
              <w:bottom w:val="nil"/>
              <w:right w:val="nil"/>
            </w:tcBorders>
            <w:shd w:val="clear" w:color="auto" w:fill="auto"/>
            <w:vAlign w:val="center"/>
            <w:hideMark/>
          </w:tcPr>
          <w:p w14:paraId="3CA9D82A" w14:textId="77777777" w:rsidR="0097090C" w:rsidRPr="00B46ABB" w:rsidRDefault="0097090C" w:rsidP="0097090C">
            <w:pPr>
              <w:jc w:val="center"/>
              <w:rPr>
                <w:rFonts w:cs="Arial"/>
                <w:color w:val="000000"/>
              </w:rPr>
            </w:pPr>
            <w:r w:rsidRPr="00B46ABB">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5AD69D18" w14:textId="77777777" w:rsidR="0097090C" w:rsidRPr="00B46ABB" w:rsidRDefault="0097090C" w:rsidP="0097090C">
            <w:pPr>
              <w:jc w:val="right"/>
              <w:rPr>
                <w:rFonts w:cs="Arial"/>
                <w:color w:val="000000"/>
              </w:rPr>
            </w:pPr>
            <w:r w:rsidRPr="00B46ABB">
              <w:rPr>
                <w:rFonts w:cs="Arial"/>
                <w:color w:val="000000"/>
              </w:rPr>
              <w:t>39,000</w:t>
            </w:r>
          </w:p>
        </w:tc>
        <w:tc>
          <w:tcPr>
            <w:tcW w:w="1260" w:type="dxa"/>
            <w:tcBorders>
              <w:top w:val="single" w:sz="4" w:space="0" w:color="auto"/>
              <w:left w:val="nil"/>
              <w:bottom w:val="nil"/>
              <w:right w:val="nil"/>
            </w:tcBorders>
            <w:shd w:val="clear" w:color="auto" w:fill="auto"/>
            <w:vAlign w:val="center"/>
            <w:hideMark/>
          </w:tcPr>
          <w:p w14:paraId="765599C0" w14:textId="77777777" w:rsidR="0097090C" w:rsidRPr="00B46ABB" w:rsidRDefault="0097090C" w:rsidP="0097090C">
            <w:pPr>
              <w:jc w:val="right"/>
              <w:rPr>
                <w:rFonts w:cs="Arial"/>
                <w:color w:val="000000"/>
              </w:rPr>
            </w:pPr>
            <w:r w:rsidRPr="00B46ABB">
              <w:rPr>
                <w:rFonts w:cs="Arial"/>
                <w:color w:val="000000"/>
              </w:rPr>
              <w:t>29,400</w:t>
            </w:r>
          </w:p>
        </w:tc>
      </w:tr>
      <w:tr w:rsidR="0097090C" w:rsidRPr="00B46ABB" w14:paraId="1C269ED4"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6EB4D529" w14:textId="77777777" w:rsidR="0097090C" w:rsidRPr="00B46ABB" w:rsidRDefault="0097090C" w:rsidP="0097090C">
            <w:pPr>
              <w:rPr>
                <w:rFonts w:cs="Arial"/>
                <w:color w:val="000000"/>
              </w:rPr>
            </w:pPr>
            <w:r w:rsidRPr="00B46ABB">
              <w:rPr>
                <w:rFonts w:cs="Arial"/>
                <w:color w:val="000000"/>
              </w:rPr>
              <w:t>Cash</w:t>
            </w:r>
          </w:p>
        </w:tc>
        <w:tc>
          <w:tcPr>
            <w:tcW w:w="720" w:type="dxa"/>
            <w:tcBorders>
              <w:top w:val="nil"/>
              <w:left w:val="nil"/>
              <w:bottom w:val="single" w:sz="4" w:space="0" w:color="auto"/>
              <w:right w:val="nil"/>
            </w:tcBorders>
            <w:shd w:val="clear" w:color="auto" w:fill="auto"/>
            <w:vAlign w:val="center"/>
            <w:hideMark/>
          </w:tcPr>
          <w:p w14:paraId="2A627EFB" w14:textId="77777777" w:rsidR="0097090C" w:rsidRPr="00B46ABB" w:rsidRDefault="0097090C" w:rsidP="0097090C">
            <w:pPr>
              <w:jc w:val="center"/>
              <w:rPr>
                <w:rFonts w:cs="Arial"/>
                <w:color w:val="000000"/>
              </w:rPr>
            </w:pPr>
            <w:r w:rsidRPr="00B46ABB">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1FAE2B0B" w14:textId="77777777" w:rsidR="0097090C" w:rsidRPr="00B46ABB" w:rsidRDefault="0097090C" w:rsidP="0097090C">
            <w:pPr>
              <w:jc w:val="right"/>
              <w:rPr>
                <w:rFonts w:cs="Arial"/>
                <w:color w:val="000000"/>
              </w:rPr>
            </w:pPr>
            <w:r w:rsidRPr="00B46ABB">
              <w:rPr>
                <w:rFonts w:cs="Arial"/>
                <w:color w:val="000000"/>
              </w:rPr>
              <w:t>1,789</w:t>
            </w:r>
          </w:p>
        </w:tc>
        <w:tc>
          <w:tcPr>
            <w:tcW w:w="1260" w:type="dxa"/>
            <w:tcBorders>
              <w:top w:val="nil"/>
              <w:left w:val="nil"/>
              <w:bottom w:val="single" w:sz="4" w:space="0" w:color="auto"/>
              <w:right w:val="nil"/>
            </w:tcBorders>
            <w:shd w:val="clear" w:color="auto" w:fill="auto"/>
            <w:vAlign w:val="center"/>
            <w:hideMark/>
          </w:tcPr>
          <w:p w14:paraId="77B5FFE3" w14:textId="77777777" w:rsidR="0097090C" w:rsidRPr="00B46ABB" w:rsidRDefault="0097090C" w:rsidP="0097090C">
            <w:pPr>
              <w:jc w:val="right"/>
              <w:rPr>
                <w:rFonts w:cs="Arial"/>
                <w:color w:val="000000"/>
              </w:rPr>
            </w:pPr>
            <w:r w:rsidRPr="00B46ABB">
              <w:rPr>
                <w:rFonts w:cs="Arial"/>
                <w:color w:val="000000"/>
              </w:rPr>
              <w:t>836</w:t>
            </w:r>
          </w:p>
        </w:tc>
      </w:tr>
      <w:tr w:rsidR="0097090C" w:rsidRPr="00B46ABB" w14:paraId="58FEC2B9"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10A7EC22" w14:textId="77777777" w:rsidR="0097090C" w:rsidRPr="00B46ABB" w:rsidRDefault="0097090C" w:rsidP="0097090C">
            <w:pPr>
              <w:rPr>
                <w:rFonts w:cs="Arial"/>
                <w:b/>
                <w:bCs/>
                <w:color w:val="000000"/>
              </w:rPr>
            </w:pPr>
            <w:r w:rsidRPr="00B46ABB">
              <w:rPr>
                <w:rFonts w:cs="Arial"/>
                <w:b/>
                <w:bCs/>
                <w:color w:val="000000"/>
              </w:rPr>
              <w:t>Total Cash and Deposits</w:t>
            </w:r>
          </w:p>
        </w:tc>
        <w:tc>
          <w:tcPr>
            <w:tcW w:w="720" w:type="dxa"/>
            <w:tcBorders>
              <w:top w:val="nil"/>
              <w:left w:val="nil"/>
              <w:bottom w:val="single" w:sz="4" w:space="0" w:color="auto"/>
              <w:right w:val="nil"/>
            </w:tcBorders>
            <w:shd w:val="clear" w:color="auto" w:fill="auto"/>
            <w:vAlign w:val="center"/>
            <w:hideMark/>
          </w:tcPr>
          <w:p w14:paraId="151A81E9" w14:textId="77777777" w:rsidR="0097090C" w:rsidRPr="00B46ABB" w:rsidRDefault="0097090C" w:rsidP="0097090C">
            <w:pPr>
              <w:jc w:val="center"/>
              <w:rPr>
                <w:rFonts w:cs="Arial"/>
                <w:color w:val="000000"/>
              </w:rPr>
            </w:pPr>
            <w:r w:rsidRPr="00B46ABB">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34F68BE8" w14:textId="77777777" w:rsidR="0097090C" w:rsidRPr="00B46ABB" w:rsidRDefault="0097090C" w:rsidP="0097090C">
            <w:pPr>
              <w:jc w:val="right"/>
              <w:rPr>
                <w:rFonts w:cs="Arial"/>
                <w:b/>
                <w:bCs/>
                <w:color w:val="000000"/>
              </w:rPr>
            </w:pPr>
            <w:r w:rsidRPr="00B46ABB">
              <w:rPr>
                <w:rFonts w:cs="Arial"/>
                <w:b/>
                <w:bCs/>
                <w:color w:val="000000"/>
              </w:rPr>
              <w:t>40,789</w:t>
            </w:r>
          </w:p>
        </w:tc>
        <w:tc>
          <w:tcPr>
            <w:tcW w:w="1260" w:type="dxa"/>
            <w:tcBorders>
              <w:top w:val="nil"/>
              <w:left w:val="nil"/>
              <w:bottom w:val="single" w:sz="4" w:space="0" w:color="auto"/>
              <w:right w:val="nil"/>
            </w:tcBorders>
            <w:shd w:val="clear" w:color="auto" w:fill="auto"/>
            <w:vAlign w:val="center"/>
            <w:hideMark/>
          </w:tcPr>
          <w:p w14:paraId="716208F6" w14:textId="77777777" w:rsidR="0097090C" w:rsidRPr="00B46ABB" w:rsidRDefault="0097090C" w:rsidP="0097090C">
            <w:pPr>
              <w:jc w:val="right"/>
              <w:rPr>
                <w:rFonts w:cs="Arial"/>
                <w:b/>
                <w:bCs/>
                <w:color w:val="000000"/>
              </w:rPr>
            </w:pPr>
            <w:r w:rsidRPr="00B46ABB">
              <w:rPr>
                <w:rFonts w:cs="Arial"/>
                <w:b/>
                <w:bCs/>
                <w:color w:val="000000"/>
              </w:rPr>
              <w:t>30,236</w:t>
            </w:r>
          </w:p>
        </w:tc>
      </w:tr>
    </w:tbl>
    <w:p w14:paraId="408108B3" w14:textId="77777777" w:rsidR="0097090C" w:rsidRDefault="0097090C" w:rsidP="0097090C">
      <w:pPr>
        <w:rPr>
          <w:rFonts w:cs="Arial"/>
        </w:rPr>
      </w:pPr>
    </w:p>
    <w:p w14:paraId="31379E89" w14:textId="0D5021B3" w:rsidR="0097090C" w:rsidRDefault="00F131C1" w:rsidP="0097090C">
      <w:pPr>
        <w:pStyle w:val="Heading4"/>
      </w:pPr>
      <w:r>
        <w:t xml:space="preserve">7. </w:t>
      </w:r>
      <w:r w:rsidR="0097090C" w:rsidRPr="00400949">
        <w:t>Receivables</w:t>
      </w:r>
    </w:p>
    <w:tbl>
      <w:tblPr>
        <w:tblW w:w="9360" w:type="dxa"/>
        <w:tblInd w:w="108" w:type="dxa"/>
        <w:tblLook w:val="04A0" w:firstRow="1" w:lastRow="0" w:firstColumn="1" w:lastColumn="0" w:noHBand="0" w:noVBand="1"/>
      </w:tblPr>
      <w:tblGrid>
        <w:gridCol w:w="6095"/>
        <w:gridCol w:w="731"/>
        <w:gridCol w:w="1267"/>
        <w:gridCol w:w="1267"/>
      </w:tblGrid>
      <w:tr w:rsidR="0097090C" w:rsidRPr="00FA16C7" w14:paraId="47926568" w14:textId="77777777" w:rsidTr="0097090C">
        <w:trPr>
          <w:trHeight w:val="255"/>
        </w:trPr>
        <w:tc>
          <w:tcPr>
            <w:tcW w:w="6095" w:type="dxa"/>
            <w:tcBorders>
              <w:top w:val="single" w:sz="4" w:space="0" w:color="auto"/>
              <w:left w:val="nil"/>
              <w:bottom w:val="nil"/>
              <w:right w:val="nil"/>
            </w:tcBorders>
            <w:shd w:val="clear" w:color="auto" w:fill="auto"/>
            <w:noWrap/>
            <w:vAlign w:val="center"/>
            <w:hideMark/>
          </w:tcPr>
          <w:p w14:paraId="3DC9A9A3" w14:textId="77777777" w:rsidR="0097090C" w:rsidRPr="00FA16C7" w:rsidRDefault="0097090C" w:rsidP="0097090C">
            <w:pPr>
              <w:rPr>
                <w:rFonts w:cs="Arial"/>
                <w:b/>
                <w:bCs/>
                <w:color w:val="000000"/>
              </w:rPr>
            </w:pPr>
            <w:r w:rsidRPr="00FA16C7">
              <w:rPr>
                <w:rFonts w:cs="Arial"/>
                <w:b/>
                <w:bCs/>
                <w:color w:val="000000"/>
              </w:rPr>
              <w:t xml:space="preserve">Current </w:t>
            </w:r>
          </w:p>
        </w:tc>
        <w:tc>
          <w:tcPr>
            <w:tcW w:w="731" w:type="dxa"/>
            <w:tcBorders>
              <w:top w:val="single" w:sz="4" w:space="0" w:color="auto"/>
              <w:left w:val="nil"/>
              <w:bottom w:val="nil"/>
              <w:right w:val="nil"/>
            </w:tcBorders>
            <w:shd w:val="clear" w:color="auto" w:fill="auto"/>
            <w:noWrap/>
            <w:vAlign w:val="center"/>
            <w:hideMark/>
          </w:tcPr>
          <w:p w14:paraId="7C7DB112" w14:textId="77777777" w:rsidR="0097090C" w:rsidRPr="00FA16C7" w:rsidRDefault="0097090C" w:rsidP="0097090C">
            <w:pPr>
              <w:rPr>
                <w:rFonts w:cs="Arial"/>
                <w:color w:val="000000"/>
              </w:rPr>
            </w:pPr>
            <w:r w:rsidRPr="00FA16C7">
              <w:rPr>
                <w:rFonts w:cs="Arial"/>
                <w:color w:val="000000"/>
              </w:rPr>
              <w:t> </w:t>
            </w:r>
          </w:p>
        </w:tc>
        <w:tc>
          <w:tcPr>
            <w:tcW w:w="1267" w:type="dxa"/>
            <w:tcBorders>
              <w:top w:val="single" w:sz="4" w:space="0" w:color="auto"/>
              <w:left w:val="nil"/>
              <w:bottom w:val="nil"/>
              <w:right w:val="nil"/>
            </w:tcBorders>
            <w:shd w:val="clear" w:color="000000" w:fill="D9D9D9"/>
            <w:noWrap/>
            <w:vAlign w:val="center"/>
            <w:hideMark/>
          </w:tcPr>
          <w:p w14:paraId="7CFEFE17" w14:textId="77777777" w:rsidR="0097090C" w:rsidRPr="00FA16C7" w:rsidRDefault="0097090C" w:rsidP="0097090C">
            <w:pPr>
              <w:rPr>
                <w:rFonts w:cs="Arial"/>
                <w:color w:val="000000"/>
              </w:rPr>
            </w:pPr>
            <w:r w:rsidRPr="00FA16C7">
              <w:rPr>
                <w:rFonts w:cs="Arial"/>
                <w:color w:val="000000"/>
              </w:rPr>
              <w:t> </w:t>
            </w:r>
          </w:p>
        </w:tc>
        <w:tc>
          <w:tcPr>
            <w:tcW w:w="1267" w:type="dxa"/>
            <w:tcBorders>
              <w:top w:val="single" w:sz="4" w:space="0" w:color="auto"/>
              <w:left w:val="nil"/>
              <w:bottom w:val="nil"/>
              <w:right w:val="nil"/>
            </w:tcBorders>
            <w:shd w:val="clear" w:color="auto" w:fill="auto"/>
            <w:noWrap/>
            <w:vAlign w:val="center"/>
            <w:hideMark/>
          </w:tcPr>
          <w:p w14:paraId="5D66B09D" w14:textId="77777777" w:rsidR="0097090C" w:rsidRPr="00FA16C7" w:rsidRDefault="0097090C" w:rsidP="0097090C">
            <w:pPr>
              <w:rPr>
                <w:rFonts w:cs="Arial"/>
                <w:color w:val="000000"/>
              </w:rPr>
            </w:pPr>
            <w:r w:rsidRPr="00FA16C7">
              <w:rPr>
                <w:rFonts w:cs="Arial"/>
                <w:color w:val="000000"/>
              </w:rPr>
              <w:t> </w:t>
            </w:r>
          </w:p>
        </w:tc>
      </w:tr>
      <w:tr w:rsidR="0097090C" w:rsidRPr="00FA16C7" w14:paraId="68E8F0BE" w14:textId="77777777" w:rsidTr="0097090C">
        <w:trPr>
          <w:trHeight w:val="255"/>
        </w:trPr>
        <w:tc>
          <w:tcPr>
            <w:tcW w:w="6095" w:type="dxa"/>
            <w:tcBorders>
              <w:top w:val="nil"/>
              <w:left w:val="nil"/>
              <w:bottom w:val="nil"/>
              <w:right w:val="nil"/>
            </w:tcBorders>
            <w:shd w:val="clear" w:color="auto" w:fill="auto"/>
            <w:noWrap/>
            <w:vAlign w:val="center"/>
            <w:hideMark/>
          </w:tcPr>
          <w:p w14:paraId="56490F9C" w14:textId="77777777" w:rsidR="0097090C" w:rsidRPr="00FA16C7" w:rsidRDefault="0097090C" w:rsidP="0097090C">
            <w:pPr>
              <w:rPr>
                <w:rFonts w:cs="Arial"/>
                <w:b/>
                <w:bCs/>
                <w:color w:val="000000"/>
              </w:rPr>
            </w:pPr>
            <w:r w:rsidRPr="00FA16C7">
              <w:rPr>
                <w:rFonts w:cs="Arial"/>
                <w:b/>
                <w:bCs/>
                <w:color w:val="000000"/>
              </w:rPr>
              <w:t>Contractual</w:t>
            </w:r>
          </w:p>
        </w:tc>
        <w:tc>
          <w:tcPr>
            <w:tcW w:w="731" w:type="dxa"/>
            <w:tcBorders>
              <w:top w:val="nil"/>
              <w:left w:val="nil"/>
              <w:bottom w:val="nil"/>
              <w:right w:val="nil"/>
            </w:tcBorders>
            <w:shd w:val="clear" w:color="auto" w:fill="auto"/>
            <w:noWrap/>
            <w:vAlign w:val="center"/>
            <w:hideMark/>
          </w:tcPr>
          <w:p w14:paraId="4BE8C2CA" w14:textId="77777777" w:rsidR="0097090C" w:rsidRPr="00FA16C7"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3B85A789" w14:textId="77777777" w:rsidR="0097090C" w:rsidRPr="00FA16C7" w:rsidRDefault="0097090C" w:rsidP="0097090C">
            <w:pPr>
              <w:rPr>
                <w:rFonts w:cs="Arial"/>
                <w:color w:val="000000"/>
              </w:rPr>
            </w:pPr>
            <w:r w:rsidRPr="00FA16C7">
              <w:rPr>
                <w:rFonts w:cs="Arial"/>
                <w:color w:val="000000"/>
              </w:rPr>
              <w:t> </w:t>
            </w:r>
          </w:p>
        </w:tc>
        <w:tc>
          <w:tcPr>
            <w:tcW w:w="1267" w:type="dxa"/>
            <w:tcBorders>
              <w:top w:val="nil"/>
              <w:left w:val="nil"/>
              <w:bottom w:val="nil"/>
              <w:right w:val="nil"/>
            </w:tcBorders>
            <w:shd w:val="clear" w:color="auto" w:fill="auto"/>
            <w:noWrap/>
            <w:vAlign w:val="center"/>
            <w:hideMark/>
          </w:tcPr>
          <w:p w14:paraId="1178F8AE" w14:textId="77777777" w:rsidR="0097090C" w:rsidRPr="00FA16C7" w:rsidRDefault="0097090C" w:rsidP="0097090C">
            <w:pPr>
              <w:rPr>
                <w:rFonts w:cs="Arial"/>
                <w:color w:val="000000"/>
              </w:rPr>
            </w:pPr>
          </w:p>
        </w:tc>
      </w:tr>
      <w:tr w:rsidR="0097090C" w:rsidRPr="00FA16C7" w14:paraId="34605A65"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4B689871" w14:textId="77777777" w:rsidR="0097090C" w:rsidRPr="00FA16C7" w:rsidRDefault="0097090C" w:rsidP="0097090C">
            <w:pPr>
              <w:rPr>
                <w:rFonts w:cs="Arial"/>
                <w:color w:val="000000"/>
              </w:rPr>
            </w:pPr>
            <w:r w:rsidRPr="00FA16C7">
              <w:rPr>
                <w:rFonts w:cs="Arial"/>
                <w:color w:val="000000"/>
              </w:rPr>
              <w:t>Debtors</w:t>
            </w:r>
          </w:p>
        </w:tc>
        <w:tc>
          <w:tcPr>
            <w:tcW w:w="731" w:type="dxa"/>
            <w:tcBorders>
              <w:top w:val="nil"/>
              <w:left w:val="nil"/>
              <w:bottom w:val="single" w:sz="4" w:space="0" w:color="auto"/>
              <w:right w:val="nil"/>
            </w:tcBorders>
            <w:shd w:val="clear" w:color="auto" w:fill="auto"/>
            <w:vAlign w:val="center"/>
            <w:hideMark/>
          </w:tcPr>
          <w:p w14:paraId="06AD04B7" w14:textId="77777777" w:rsidR="0097090C" w:rsidRPr="00FA16C7" w:rsidRDefault="0097090C" w:rsidP="0097090C">
            <w:pPr>
              <w:jc w:val="center"/>
              <w:rPr>
                <w:rFonts w:cs="Arial"/>
                <w:color w:val="000000"/>
              </w:rPr>
            </w:pPr>
            <w:r w:rsidRPr="00FA16C7">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369A95E8" w14:textId="77777777" w:rsidR="0097090C" w:rsidRPr="00FA16C7" w:rsidRDefault="0097090C" w:rsidP="0097090C">
            <w:pPr>
              <w:jc w:val="right"/>
              <w:rPr>
                <w:rFonts w:cs="Arial"/>
                <w:color w:val="000000"/>
              </w:rPr>
            </w:pPr>
            <w:r w:rsidRPr="00FA16C7">
              <w:rPr>
                <w:rFonts w:cs="Arial"/>
                <w:color w:val="000000"/>
              </w:rPr>
              <w:t>620</w:t>
            </w:r>
          </w:p>
        </w:tc>
        <w:tc>
          <w:tcPr>
            <w:tcW w:w="1267" w:type="dxa"/>
            <w:tcBorders>
              <w:top w:val="nil"/>
              <w:left w:val="nil"/>
              <w:bottom w:val="single" w:sz="4" w:space="0" w:color="auto"/>
              <w:right w:val="nil"/>
            </w:tcBorders>
            <w:shd w:val="clear" w:color="auto" w:fill="auto"/>
            <w:vAlign w:val="center"/>
            <w:hideMark/>
          </w:tcPr>
          <w:p w14:paraId="6375AC50" w14:textId="77777777" w:rsidR="0097090C" w:rsidRPr="00FA16C7" w:rsidRDefault="0097090C" w:rsidP="0097090C">
            <w:pPr>
              <w:jc w:val="right"/>
              <w:rPr>
                <w:rFonts w:cs="Arial"/>
                <w:color w:val="000000"/>
              </w:rPr>
            </w:pPr>
            <w:r w:rsidRPr="00FA16C7">
              <w:rPr>
                <w:rFonts w:cs="Arial"/>
                <w:color w:val="000000"/>
              </w:rPr>
              <w:t>1,378</w:t>
            </w:r>
          </w:p>
        </w:tc>
      </w:tr>
      <w:tr w:rsidR="0097090C" w:rsidRPr="00FA16C7" w14:paraId="4DA4E565" w14:textId="77777777" w:rsidTr="0097090C">
        <w:trPr>
          <w:trHeight w:val="285"/>
        </w:trPr>
        <w:tc>
          <w:tcPr>
            <w:tcW w:w="6095" w:type="dxa"/>
            <w:tcBorders>
              <w:top w:val="single" w:sz="4" w:space="0" w:color="auto"/>
              <w:left w:val="nil"/>
              <w:bottom w:val="nil"/>
              <w:right w:val="nil"/>
            </w:tcBorders>
            <w:shd w:val="clear" w:color="auto" w:fill="auto"/>
            <w:vAlign w:val="center"/>
            <w:hideMark/>
          </w:tcPr>
          <w:p w14:paraId="6F78ACA8" w14:textId="77777777" w:rsidR="0097090C" w:rsidRPr="00FA16C7" w:rsidRDefault="0097090C" w:rsidP="0097090C">
            <w:pPr>
              <w:rPr>
                <w:rFonts w:cs="Arial"/>
                <w:b/>
                <w:bCs/>
                <w:color w:val="000000"/>
              </w:rPr>
            </w:pPr>
            <w:r w:rsidRPr="00FA16C7">
              <w:rPr>
                <w:rFonts w:cs="Arial"/>
                <w:b/>
                <w:bCs/>
                <w:color w:val="000000"/>
              </w:rPr>
              <w:t> </w:t>
            </w:r>
          </w:p>
        </w:tc>
        <w:tc>
          <w:tcPr>
            <w:tcW w:w="731" w:type="dxa"/>
            <w:tcBorders>
              <w:top w:val="single" w:sz="4" w:space="0" w:color="auto"/>
              <w:left w:val="nil"/>
              <w:bottom w:val="nil"/>
              <w:right w:val="nil"/>
            </w:tcBorders>
            <w:shd w:val="clear" w:color="auto" w:fill="auto"/>
            <w:vAlign w:val="center"/>
            <w:hideMark/>
          </w:tcPr>
          <w:p w14:paraId="03848C51" w14:textId="77777777" w:rsidR="0097090C" w:rsidRPr="00FA16C7" w:rsidRDefault="0097090C" w:rsidP="0097090C">
            <w:pPr>
              <w:jc w:val="center"/>
              <w:rPr>
                <w:rFonts w:cs="Arial"/>
                <w:color w:val="000000"/>
              </w:rPr>
            </w:pPr>
            <w:r w:rsidRPr="00FA16C7">
              <w:rPr>
                <w:rFonts w:cs="Arial"/>
                <w:color w:val="000000"/>
              </w:rPr>
              <w:t> </w:t>
            </w:r>
          </w:p>
        </w:tc>
        <w:tc>
          <w:tcPr>
            <w:tcW w:w="1267" w:type="dxa"/>
            <w:tcBorders>
              <w:top w:val="single" w:sz="4" w:space="0" w:color="auto"/>
              <w:left w:val="nil"/>
              <w:bottom w:val="nil"/>
              <w:right w:val="nil"/>
            </w:tcBorders>
            <w:shd w:val="clear" w:color="000000" w:fill="D9D9D9"/>
            <w:vAlign w:val="center"/>
            <w:hideMark/>
          </w:tcPr>
          <w:p w14:paraId="0F07A677" w14:textId="77777777" w:rsidR="0097090C" w:rsidRPr="00FA16C7" w:rsidRDefault="0097090C" w:rsidP="0097090C">
            <w:pPr>
              <w:jc w:val="right"/>
              <w:rPr>
                <w:rFonts w:cs="Arial"/>
                <w:b/>
                <w:bCs/>
                <w:color w:val="000000"/>
              </w:rPr>
            </w:pPr>
            <w:r w:rsidRPr="00FA16C7">
              <w:rPr>
                <w:rFonts w:cs="Arial"/>
                <w:b/>
                <w:bCs/>
                <w:color w:val="000000"/>
              </w:rPr>
              <w:t>620</w:t>
            </w:r>
          </w:p>
        </w:tc>
        <w:tc>
          <w:tcPr>
            <w:tcW w:w="1267" w:type="dxa"/>
            <w:tcBorders>
              <w:top w:val="single" w:sz="4" w:space="0" w:color="auto"/>
              <w:left w:val="nil"/>
              <w:bottom w:val="nil"/>
              <w:right w:val="nil"/>
            </w:tcBorders>
            <w:shd w:val="clear" w:color="auto" w:fill="auto"/>
            <w:vAlign w:val="center"/>
            <w:hideMark/>
          </w:tcPr>
          <w:p w14:paraId="3389EF0F" w14:textId="77777777" w:rsidR="0097090C" w:rsidRPr="00FA16C7" w:rsidRDefault="0097090C" w:rsidP="0097090C">
            <w:pPr>
              <w:jc w:val="right"/>
              <w:rPr>
                <w:rFonts w:cs="Arial"/>
                <w:b/>
                <w:bCs/>
                <w:color w:val="000000"/>
              </w:rPr>
            </w:pPr>
            <w:r w:rsidRPr="00FA16C7">
              <w:rPr>
                <w:rFonts w:cs="Arial"/>
                <w:b/>
                <w:bCs/>
                <w:color w:val="000000"/>
              </w:rPr>
              <w:t>1,378</w:t>
            </w:r>
          </w:p>
        </w:tc>
      </w:tr>
      <w:tr w:rsidR="0097090C" w:rsidRPr="00FA16C7" w14:paraId="3C1D021F" w14:textId="77777777" w:rsidTr="0097090C">
        <w:trPr>
          <w:trHeight w:val="255"/>
        </w:trPr>
        <w:tc>
          <w:tcPr>
            <w:tcW w:w="6095" w:type="dxa"/>
            <w:tcBorders>
              <w:top w:val="nil"/>
              <w:left w:val="nil"/>
              <w:bottom w:val="nil"/>
              <w:right w:val="nil"/>
            </w:tcBorders>
            <w:shd w:val="clear" w:color="auto" w:fill="auto"/>
            <w:vAlign w:val="center"/>
            <w:hideMark/>
          </w:tcPr>
          <w:p w14:paraId="4A013074" w14:textId="77777777" w:rsidR="0097090C" w:rsidRPr="00FA16C7" w:rsidRDefault="0097090C" w:rsidP="0097090C">
            <w:pPr>
              <w:rPr>
                <w:rFonts w:cs="Arial"/>
                <w:color w:val="000000"/>
              </w:rPr>
            </w:pPr>
            <w:r w:rsidRPr="00FA16C7">
              <w:rPr>
                <w:rFonts w:cs="Arial"/>
                <w:color w:val="000000"/>
              </w:rPr>
              <w:t>Interest Receivable</w:t>
            </w:r>
          </w:p>
        </w:tc>
        <w:tc>
          <w:tcPr>
            <w:tcW w:w="731" w:type="dxa"/>
            <w:tcBorders>
              <w:top w:val="nil"/>
              <w:left w:val="nil"/>
              <w:bottom w:val="nil"/>
              <w:right w:val="nil"/>
            </w:tcBorders>
            <w:shd w:val="clear" w:color="auto" w:fill="auto"/>
            <w:vAlign w:val="center"/>
            <w:hideMark/>
          </w:tcPr>
          <w:p w14:paraId="2AACA709" w14:textId="77777777" w:rsidR="0097090C" w:rsidRPr="00FA16C7"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C90D664" w14:textId="77777777" w:rsidR="0097090C" w:rsidRPr="00FA16C7" w:rsidRDefault="0097090C" w:rsidP="0097090C">
            <w:pPr>
              <w:jc w:val="right"/>
              <w:rPr>
                <w:rFonts w:cs="Arial"/>
                <w:color w:val="000000"/>
              </w:rPr>
            </w:pPr>
            <w:r w:rsidRPr="00FA16C7">
              <w:rPr>
                <w:rFonts w:cs="Arial"/>
                <w:color w:val="000000"/>
              </w:rPr>
              <w:t>34</w:t>
            </w:r>
          </w:p>
        </w:tc>
        <w:tc>
          <w:tcPr>
            <w:tcW w:w="1267" w:type="dxa"/>
            <w:tcBorders>
              <w:top w:val="nil"/>
              <w:left w:val="nil"/>
              <w:bottom w:val="nil"/>
              <w:right w:val="nil"/>
            </w:tcBorders>
            <w:shd w:val="clear" w:color="auto" w:fill="auto"/>
            <w:vAlign w:val="center"/>
            <w:hideMark/>
          </w:tcPr>
          <w:p w14:paraId="1B7D972B" w14:textId="77777777" w:rsidR="0097090C" w:rsidRPr="00FA16C7" w:rsidRDefault="0097090C" w:rsidP="0097090C">
            <w:pPr>
              <w:jc w:val="right"/>
              <w:rPr>
                <w:rFonts w:cs="Arial"/>
                <w:color w:val="000000"/>
              </w:rPr>
            </w:pPr>
            <w:r w:rsidRPr="00FA16C7">
              <w:rPr>
                <w:rFonts w:cs="Arial"/>
                <w:color w:val="000000"/>
              </w:rPr>
              <w:t>36</w:t>
            </w:r>
          </w:p>
        </w:tc>
      </w:tr>
      <w:tr w:rsidR="0097090C" w:rsidRPr="00FA16C7" w14:paraId="5D0E769F" w14:textId="77777777" w:rsidTr="0097090C">
        <w:trPr>
          <w:trHeight w:val="255"/>
        </w:trPr>
        <w:tc>
          <w:tcPr>
            <w:tcW w:w="6095" w:type="dxa"/>
            <w:tcBorders>
              <w:top w:val="single" w:sz="4" w:space="0" w:color="auto"/>
              <w:left w:val="nil"/>
              <w:bottom w:val="nil"/>
              <w:right w:val="nil"/>
            </w:tcBorders>
            <w:shd w:val="clear" w:color="auto" w:fill="auto"/>
            <w:vAlign w:val="center"/>
            <w:hideMark/>
          </w:tcPr>
          <w:p w14:paraId="3FE72D43" w14:textId="77777777" w:rsidR="0097090C" w:rsidRPr="00FA16C7" w:rsidRDefault="0097090C" w:rsidP="0097090C">
            <w:pPr>
              <w:rPr>
                <w:rFonts w:cs="Arial"/>
                <w:b/>
                <w:bCs/>
                <w:color w:val="000000"/>
              </w:rPr>
            </w:pPr>
            <w:r w:rsidRPr="00FA16C7">
              <w:rPr>
                <w:rFonts w:cs="Arial"/>
                <w:b/>
                <w:bCs/>
                <w:color w:val="000000"/>
              </w:rPr>
              <w:t> </w:t>
            </w:r>
          </w:p>
        </w:tc>
        <w:tc>
          <w:tcPr>
            <w:tcW w:w="731" w:type="dxa"/>
            <w:tcBorders>
              <w:top w:val="single" w:sz="4" w:space="0" w:color="auto"/>
              <w:left w:val="nil"/>
              <w:bottom w:val="nil"/>
              <w:right w:val="nil"/>
            </w:tcBorders>
            <w:shd w:val="clear" w:color="auto" w:fill="auto"/>
            <w:vAlign w:val="center"/>
            <w:hideMark/>
          </w:tcPr>
          <w:p w14:paraId="22C0408E" w14:textId="77777777" w:rsidR="0097090C" w:rsidRPr="00FA16C7" w:rsidRDefault="0097090C" w:rsidP="0097090C">
            <w:pPr>
              <w:jc w:val="center"/>
              <w:rPr>
                <w:rFonts w:cs="Arial"/>
                <w:color w:val="000000"/>
              </w:rPr>
            </w:pPr>
            <w:r w:rsidRPr="00FA16C7">
              <w:rPr>
                <w:rFonts w:cs="Arial"/>
                <w:color w:val="000000"/>
              </w:rPr>
              <w:t> </w:t>
            </w:r>
          </w:p>
        </w:tc>
        <w:tc>
          <w:tcPr>
            <w:tcW w:w="1267" w:type="dxa"/>
            <w:tcBorders>
              <w:top w:val="single" w:sz="4" w:space="0" w:color="auto"/>
              <w:left w:val="nil"/>
              <w:bottom w:val="nil"/>
              <w:right w:val="nil"/>
            </w:tcBorders>
            <w:shd w:val="clear" w:color="000000" w:fill="D9D9D9"/>
            <w:vAlign w:val="center"/>
            <w:hideMark/>
          </w:tcPr>
          <w:p w14:paraId="44793990" w14:textId="77777777" w:rsidR="0097090C" w:rsidRPr="00FA16C7" w:rsidRDefault="0097090C" w:rsidP="0097090C">
            <w:pPr>
              <w:jc w:val="right"/>
              <w:rPr>
                <w:rFonts w:cs="Arial"/>
                <w:b/>
                <w:bCs/>
                <w:color w:val="000000"/>
              </w:rPr>
            </w:pPr>
            <w:r w:rsidRPr="00FA16C7">
              <w:rPr>
                <w:rFonts w:cs="Arial"/>
                <w:b/>
                <w:bCs/>
                <w:color w:val="000000"/>
              </w:rPr>
              <w:t>654</w:t>
            </w:r>
          </w:p>
        </w:tc>
        <w:tc>
          <w:tcPr>
            <w:tcW w:w="1267" w:type="dxa"/>
            <w:tcBorders>
              <w:top w:val="single" w:sz="4" w:space="0" w:color="auto"/>
              <w:left w:val="nil"/>
              <w:bottom w:val="nil"/>
              <w:right w:val="nil"/>
            </w:tcBorders>
            <w:shd w:val="clear" w:color="auto" w:fill="auto"/>
            <w:vAlign w:val="center"/>
            <w:hideMark/>
          </w:tcPr>
          <w:p w14:paraId="79A22911" w14:textId="77777777" w:rsidR="0097090C" w:rsidRPr="00FA16C7" w:rsidRDefault="0097090C" w:rsidP="0097090C">
            <w:pPr>
              <w:jc w:val="right"/>
              <w:rPr>
                <w:rFonts w:cs="Arial"/>
                <w:b/>
                <w:bCs/>
                <w:color w:val="000000"/>
              </w:rPr>
            </w:pPr>
            <w:r w:rsidRPr="00FA16C7">
              <w:rPr>
                <w:rFonts w:cs="Arial"/>
                <w:b/>
                <w:bCs/>
                <w:color w:val="000000"/>
              </w:rPr>
              <w:t>1,414</w:t>
            </w:r>
          </w:p>
        </w:tc>
      </w:tr>
      <w:tr w:rsidR="0097090C" w:rsidRPr="00FA16C7" w14:paraId="22834AA1" w14:textId="77777777" w:rsidTr="0097090C">
        <w:trPr>
          <w:trHeight w:val="255"/>
        </w:trPr>
        <w:tc>
          <w:tcPr>
            <w:tcW w:w="6095" w:type="dxa"/>
            <w:tcBorders>
              <w:top w:val="nil"/>
              <w:left w:val="nil"/>
              <w:bottom w:val="nil"/>
              <w:right w:val="nil"/>
            </w:tcBorders>
            <w:shd w:val="clear" w:color="auto" w:fill="auto"/>
            <w:noWrap/>
            <w:vAlign w:val="center"/>
            <w:hideMark/>
          </w:tcPr>
          <w:p w14:paraId="0EE99EF0" w14:textId="77777777" w:rsidR="0097090C" w:rsidRPr="00FA16C7" w:rsidRDefault="0097090C" w:rsidP="0097090C">
            <w:pPr>
              <w:rPr>
                <w:rFonts w:cs="Arial"/>
                <w:b/>
                <w:bCs/>
                <w:color w:val="000000"/>
              </w:rPr>
            </w:pPr>
            <w:r w:rsidRPr="00FA16C7">
              <w:rPr>
                <w:rFonts w:cs="Arial"/>
                <w:b/>
                <w:bCs/>
                <w:color w:val="000000"/>
              </w:rPr>
              <w:t>Statutory</w:t>
            </w:r>
          </w:p>
        </w:tc>
        <w:tc>
          <w:tcPr>
            <w:tcW w:w="731" w:type="dxa"/>
            <w:tcBorders>
              <w:top w:val="nil"/>
              <w:left w:val="nil"/>
              <w:bottom w:val="nil"/>
              <w:right w:val="nil"/>
            </w:tcBorders>
            <w:shd w:val="clear" w:color="auto" w:fill="auto"/>
            <w:noWrap/>
            <w:vAlign w:val="center"/>
            <w:hideMark/>
          </w:tcPr>
          <w:p w14:paraId="33830341" w14:textId="77777777" w:rsidR="0097090C" w:rsidRPr="00FA16C7"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44209294" w14:textId="77777777" w:rsidR="0097090C" w:rsidRPr="00FA16C7" w:rsidRDefault="0097090C" w:rsidP="0097090C">
            <w:pPr>
              <w:rPr>
                <w:rFonts w:cs="Arial"/>
                <w:color w:val="000000"/>
              </w:rPr>
            </w:pPr>
            <w:r w:rsidRPr="00FA16C7">
              <w:rPr>
                <w:rFonts w:cs="Arial"/>
                <w:color w:val="000000"/>
              </w:rPr>
              <w:t> </w:t>
            </w:r>
          </w:p>
        </w:tc>
        <w:tc>
          <w:tcPr>
            <w:tcW w:w="1267" w:type="dxa"/>
            <w:tcBorders>
              <w:top w:val="nil"/>
              <w:left w:val="nil"/>
              <w:bottom w:val="nil"/>
              <w:right w:val="nil"/>
            </w:tcBorders>
            <w:shd w:val="clear" w:color="auto" w:fill="auto"/>
            <w:noWrap/>
            <w:vAlign w:val="center"/>
            <w:hideMark/>
          </w:tcPr>
          <w:p w14:paraId="30A419EC" w14:textId="77777777" w:rsidR="0097090C" w:rsidRPr="00FA16C7" w:rsidRDefault="0097090C" w:rsidP="0097090C">
            <w:pPr>
              <w:rPr>
                <w:rFonts w:cs="Arial"/>
                <w:color w:val="000000"/>
              </w:rPr>
            </w:pPr>
          </w:p>
        </w:tc>
      </w:tr>
      <w:tr w:rsidR="0097090C" w:rsidRPr="00FA16C7" w14:paraId="41AD0187" w14:textId="77777777" w:rsidTr="0097090C">
        <w:trPr>
          <w:trHeight w:val="255"/>
        </w:trPr>
        <w:tc>
          <w:tcPr>
            <w:tcW w:w="6095" w:type="dxa"/>
            <w:tcBorders>
              <w:top w:val="nil"/>
              <w:left w:val="nil"/>
              <w:bottom w:val="nil"/>
              <w:right w:val="nil"/>
            </w:tcBorders>
            <w:shd w:val="clear" w:color="auto" w:fill="auto"/>
            <w:noWrap/>
            <w:vAlign w:val="center"/>
            <w:hideMark/>
          </w:tcPr>
          <w:p w14:paraId="21D2B870" w14:textId="77777777" w:rsidR="0097090C" w:rsidRPr="00FA16C7" w:rsidRDefault="0097090C" w:rsidP="0097090C">
            <w:pPr>
              <w:rPr>
                <w:rFonts w:cs="Arial"/>
                <w:color w:val="000000"/>
              </w:rPr>
            </w:pPr>
            <w:r w:rsidRPr="00FA16C7">
              <w:rPr>
                <w:rFonts w:cs="Arial"/>
                <w:color w:val="000000"/>
              </w:rPr>
              <w:t>GST input tax recoverable</w:t>
            </w:r>
          </w:p>
        </w:tc>
        <w:tc>
          <w:tcPr>
            <w:tcW w:w="731" w:type="dxa"/>
            <w:tcBorders>
              <w:top w:val="nil"/>
              <w:left w:val="nil"/>
              <w:bottom w:val="nil"/>
              <w:right w:val="nil"/>
            </w:tcBorders>
            <w:shd w:val="clear" w:color="auto" w:fill="auto"/>
            <w:noWrap/>
            <w:vAlign w:val="center"/>
            <w:hideMark/>
          </w:tcPr>
          <w:p w14:paraId="2BFA7223" w14:textId="77777777" w:rsidR="0097090C" w:rsidRPr="00FA16C7"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41F96D33" w14:textId="77777777" w:rsidR="0097090C" w:rsidRPr="00FA16C7" w:rsidRDefault="0097090C" w:rsidP="0097090C">
            <w:pPr>
              <w:jc w:val="right"/>
              <w:rPr>
                <w:rFonts w:cs="Arial"/>
                <w:color w:val="000000"/>
              </w:rPr>
            </w:pPr>
            <w:r w:rsidRPr="00FA16C7">
              <w:rPr>
                <w:rFonts w:cs="Arial"/>
                <w:color w:val="000000"/>
              </w:rPr>
              <w:t>397</w:t>
            </w:r>
          </w:p>
        </w:tc>
        <w:tc>
          <w:tcPr>
            <w:tcW w:w="1267" w:type="dxa"/>
            <w:tcBorders>
              <w:top w:val="nil"/>
              <w:left w:val="nil"/>
              <w:bottom w:val="nil"/>
              <w:right w:val="nil"/>
            </w:tcBorders>
            <w:shd w:val="clear" w:color="auto" w:fill="auto"/>
            <w:noWrap/>
            <w:vAlign w:val="center"/>
            <w:hideMark/>
          </w:tcPr>
          <w:p w14:paraId="18DF181E" w14:textId="77777777" w:rsidR="0097090C" w:rsidRPr="00FA16C7" w:rsidRDefault="0097090C" w:rsidP="0097090C">
            <w:pPr>
              <w:jc w:val="right"/>
              <w:rPr>
                <w:rFonts w:cs="Arial"/>
                <w:color w:val="000000"/>
              </w:rPr>
            </w:pPr>
            <w:r w:rsidRPr="00FA16C7">
              <w:rPr>
                <w:rFonts w:cs="Arial"/>
                <w:color w:val="000000"/>
              </w:rPr>
              <w:t>245</w:t>
            </w:r>
          </w:p>
        </w:tc>
      </w:tr>
      <w:tr w:rsidR="0097090C" w:rsidRPr="00FA16C7" w14:paraId="373E31F8"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25206E96" w14:textId="77777777" w:rsidR="0097090C" w:rsidRPr="00FA16C7" w:rsidRDefault="0097090C" w:rsidP="0097090C">
            <w:pPr>
              <w:rPr>
                <w:rFonts w:cs="Arial"/>
                <w:b/>
                <w:bCs/>
                <w:color w:val="000000"/>
              </w:rPr>
            </w:pPr>
            <w:r w:rsidRPr="00FA16C7">
              <w:rPr>
                <w:rFonts w:cs="Arial"/>
                <w:b/>
                <w:bCs/>
                <w:color w:val="000000"/>
              </w:rPr>
              <w:t>Total Receivables</w:t>
            </w:r>
          </w:p>
        </w:tc>
        <w:tc>
          <w:tcPr>
            <w:tcW w:w="731" w:type="dxa"/>
            <w:tcBorders>
              <w:top w:val="single" w:sz="4" w:space="0" w:color="auto"/>
              <w:left w:val="nil"/>
              <w:bottom w:val="single" w:sz="4" w:space="0" w:color="auto"/>
              <w:right w:val="nil"/>
            </w:tcBorders>
            <w:shd w:val="clear" w:color="auto" w:fill="auto"/>
            <w:vAlign w:val="center"/>
            <w:hideMark/>
          </w:tcPr>
          <w:p w14:paraId="683F4276" w14:textId="77777777" w:rsidR="0097090C" w:rsidRPr="00FA16C7" w:rsidRDefault="0097090C" w:rsidP="0097090C">
            <w:pPr>
              <w:jc w:val="center"/>
              <w:rPr>
                <w:rFonts w:cs="Arial"/>
                <w:color w:val="000000"/>
              </w:rPr>
            </w:pPr>
            <w:r w:rsidRPr="00FA16C7">
              <w:rPr>
                <w:rFonts w:cs="Arial"/>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5DE59E21" w14:textId="77777777" w:rsidR="0097090C" w:rsidRPr="00FA16C7" w:rsidRDefault="0097090C" w:rsidP="0097090C">
            <w:pPr>
              <w:jc w:val="right"/>
              <w:rPr>
                <w:rFonts w:cs="Arial"/>
                <w:b/>
                <w:bCs/>
                <w:color w:val="000000"/>
              </w:rPr>
            </w:pPr>
            <w:r w:rsidRPr="00FA16C7">
              <w:rPr>
                <w:rFonts w:cs="Arial"/>
                <w:b/>
                <w:bCs/>
                <w:color w:val="000000"/>
              </w:rPr>
              <w:t>1,051</w:t>
            </w:r>
          </w:p>
        </w:tc>
        <w:tc>
          <w:tcPr>
            <w:tcW w:w="1267" w:type="dxa"/>
            <w:tcBorders>
              <w:top w:val="single" w:sz="4" w:space="0" w:color="auto"/>
              <w:left w:val="nil"/>
              <w:bottom w:val="single" w:sz="4" w:space="0" w:color="auto"/>
              <w:right w:val="nil"/>
            </w:tcBorders>
            <w:shd w:val="clear" w:color="auto" w:fill="auto"/>
            <w:vAlign w:val="center"/>
            <w:hideMark/>
          </w:tcPr>
          <w:p w14:paraId="4CF03C18" w14:textId="77777777" w:rsidR="0097090C" w:rsidRPr="00FA16C7" w:rsidRDefault="0097090C" w:rsidP="0097090C">
            <w:pPr>
              <w:jc w:val="right"/>
              <w:rPr>
                <w:rFonts w:cs="Arial"/>
                <w:b/>
                <w:bCs/>
                <w:color w:val="000000"/>
              </w:rPr>
            </w:pPr>
            <w:r w:rsidRPr="00FA16C7">
              <w:rPr>
                <w:rFonts w:cs="Arial"/>
                <w:b/>
                <w:bCs/>
                <w:color w:val="000000"/>
              </w:rPr>
              <w:t>1,659</w:t>
            </w:r>
          </w:p>
        </w:tc>
      </w:tr>
    </w:tbl>
    <w:p w14:paraId="680FDB58" w14:textId="77777777" w:rsidR="0097090C" w:rsidRDefault="0097090C" w:rsidP="0097090C">
      <w:pPr>
        <w:rPr>
          <w:rFonts w:cs="Arial"/>
        </w:rPr>
      </w:pPr>
    </w:p>
    <w:tbl>
      <w:tblPr>
        <w:tblW w:w="9419" w:type="dxa"/>
        <w:tblLook w:val="04A0" w:firstRow="1" w:lastRow="0" w:firstColumn="1" w:lastColumn="0" w:noHBand="0" w:noVBand="1"/>
      </w:tblPr>
      <w:tblGrid>
        <w:gridCol w:w="6160"/>
        <w:gridCol w:w="828"/>
        <w:gridCol w:w="1260"/>
        <w:gridCol w:w="1260"/>
      </w:tblGrid>
      <w:tr w:rsidR="0097090C" w:rsidRPr="00F70079" w14:paraId="52683A69" w14:textId="77777777" w:rsidTr="0097090C">
        <w:trPr>
          <w:trHeight w:val="255"/>
        </w:trPr>
        <w:tc>
          <w:tcPr>
            <w:tcW w:w="6160" w:type="dxa"/>
            <w:tcBorders>
              <w:top w:val="single" w:sz="4" w:space="0" w:color="auto"/>
              <w:left w:val="nil"/>
              <w:bottom w:val="single" w:sz="4" w:space="0" w:color="auto"/>
              <w:right w:val="nil"/>
            </w:tcBorders>
            <w:shd w:val="clear" w:color="auto" w:fill="auto"/>
            <w:noWrap/>
            <w:vAlign w:val="center"/>
            <w:hideMark/>
          </w:tcPr>
          <w:p w14:paraId="435EC085" w14:textId="77777777" w:rsidR="0097090C" w:rsidRPr="00F70079" w:rsidRDefault="0097090C" w:rsidP="0097090C">
            <w:pPr>
              <w:rPr>
                <w:rFonts w:cs="Arial"/>
                <w:b/>
                <w:color w:val="000000"/>
              </w:rPr>
            </w:pPr>
            <w:r w:rsidRPr="00F70079">
              <w:rPr>
                <w:rFonts w:cs="Arial"/>
                <w:b/>
                <w:color w:val="000000"/>
              </w:rPr>
              <w:t> </w:t>
            </w:r>
          </w:p>
        </w:tc>
        <w:tc>
          <w:tcPr>
            <w:tcW w:w="739" w:type="dxa"/>
            <w:tcBorders>
              <w:top w:val="single" w:sz="4" w:space="0" w:color="auto"/>
              <w:left w:val="nil"/>
              <w:bottom w:val="single" w:sz="4" w:space="0" w:color="auto"/>
              <w:right w:val="nil"/>
            </w:tcBorders>
            <w:shd w:val="clear" w:color="auto" w:fill="auto"/>
            <w:noWrap/>
            <w:vAlign w:val="center"/>
            <w:hideMark/>
          </w:tcPr>
          <w:p w14:paraId="250C8A55" w14:textId="77777777" w:rsidR="0097090C" w:rsidRPr="00F70079" w:rsidRDefault="0097090C" w:rsidP="0097090C">
            <w:pPr>
              <w:jc w:val="center"/>
              <w:rPr>
                <w:rFonts w:cs="Arial"/>
                <w:b/>
                <w:color w:val="000000"/>
              </w:rPr>
            </w:pPr>
            <w:r w:rsidRPr="00F70079">
              <w:rPr>
                <w:rFonts w:cs="Arial"/>
                <w:b/>
                <w:color w:val="000000"/>
              </w:rPr>
              <w:t>Notes</w:t>
            </w:r>
          </w:p>
        </w:tc>
        <w:tc>
          <w:tcPr>
            <w:tcW w:w="1260" w:type="dxa"/>
            <w:tcBorders>
              <w:top w:val="single" w:sz="4" w:space="0" w:color="auto"/>
              <w:left w:val="nil"/>
              <w:bottom w:val="single" w:sz="4" w:space="0" w:color="auto"/>
              <w:right w:val="nil"/>
            </w:tcBorders>
            <w:shd w:val="clear" w:color="000000" w:fill="D9D9D9"/>
            <w:noWrap/>
            <w:vAlign w:val="center"/>
            <w:hideMark/>
          </w:tcPr>
          <w:p w14:paraId="6D239473" w14:textId="77777777" w:rsidR="0097090C" w:rsidRPr="00F70079" w:rsidRDefault="0097090C" w:rsidP="0097090C">
            <w:pPr>
              <w:jc w:val="right"/>
              <w:rPr>
                <w:rFonts w:cs="Arial"/>
                <w:b/>
                <w:color w:val="000000"/>
              </w:rPr>
            </w:pPr>
            <w:r w:rsidRPr="00F70079">
              <w:rPr>
                <w:rFonts w:cs="Arial"/>
                <w:b/>
                <w:color w:val="000000"/>
              </w:rPr>
              <w:t>2016</w:t>
            </w:r>
          </w:p>
        </w:tc>
        <w:tc>
          <w:tcPr>
            <w:tcW w:w="1260" w:type="dxa"/>
            <w:tcBorders>
              <w:top w:val="single" w:sz="4" w:space="0" w:color="auto"/>
              <w:left w:val="nil"/>
              <w:bottom w:val="single" w:sz="4" w:space="0" w:color="auto"/>
              <w:right w:val="nil"/>
            </w:tcBorders>
            <w:shd w:val="clear" w:color="auto" w:fill="auto"/>
            <w:noWrap/>
            <w:vAlign w:val="center"/>
            <w:hideMark/>
          </w:tcPr>
          <w:p w14:paraId="0902FB1D" w14:textId="77777777" w:rsidR="0097090C" w:rsidRPr="00F70079" w:rsidRDefault="0097090C" w:rsidP="0097090C">
            <w:pPr>
              <w:jc w:val="right"/>
              <w:rPr>
                <w:rFonts w:cs="Arial"/>
                <w:b/>
                <w:color w:val="000000"/>
              </w:rPr>
            </w:pPr>
            <w:r w:rsidRPr="00F70079">
              <w:rPr>
                <w:rFonts w:cs="Arial"/>
                <w:b/>
                <w:color w:val="000000"/>
              </w:rPr>
              <w:t>2015</w:t>
            </w:r>
          </w:p>
        </w:tc>
      </w:tr>
      <w:tr w:rsidR="0097090C" w:rsidRPr="00F70079" w14:paraId="4F08B388" w14:textId="77777777" w:rsidTr="0097090C">
        <w:trPr>
          <w:trHeight w:val="255"/>
        </w:trPr>
        <w:tc>
          <w:tcPr>
            <w:tcW w:w="6160" w:type="dxa"/>
            <w:tcBorders>
              <w:top w:val="nil"/>
              <w:left w:val="nil"/>
              <w:bottom w:val="single" w:sz="4" w:space="0" w:color="auto"/>
              <w:right w:val="nil"/>
            </w:tcBorders>
            <w:shd w:val="clear" w:color="auto" w:fill="auto"/>
            <w:noWrap/>
            <w:vAlign w:val="center"/>
            <w:hideMark/>
          </w:tcPr>
          <w:p w14:paraId="0395B4CD" w14:textId="77777777" w:rsidR="0097090C" w:rsidRPr="00F70079" w:rsidRDefault="0097090C" w:rsidP="0097090C">
            <w:pPr>
              <w:rPr>
                <w:rFonts w:cs="Arial"/>
                <w:b/>
                <w:color w:val="000000"/>
              </w:rPr>
            </w:pPr>
            <w:r w:rsidRPr="00F70079">
              <w:rPr>
                <w:rFonts w:cs="Arial"/>
                <w:b/>
                <w:color w:val="000000"/>
              </w:rPr>
              <w:t> </w:t>
            </w:r>
          </w:p>
        </w:tc>
        <w:tc>
          <w:tcPr>
            <w:tcW w:w="739" w:type="dxa"/>
            <w:tcBorders>
              <w:top w:val="nil"/>
              <w:left w:val="nil"/>
              <w:bottom w:val="single" w:sz="4" w:space="0" w:color="auto"/>
              <w:right w:val="nil"/>
            </w:tcBorders>
            <w:shd w:val="clear" w:color="auto" w:fill="auto"/>
            <w:noWrap/>
            <w:vAlign w:val="center"/>
            <w:hideMark/>
          </w:tcPr>
          <w:p w14:paraId="2145CA1B" w14:textId="77777777" w:rsidR="0097090C" w:rsidRPr="00F70079" w:rsidRDefault="0097090C" w:rsidP="0097090C">
            <w:pPr>
              <w:rPr>
                <w:rFonts w:cs="Arial"/>
                <w:b/>
                <w:color w:val="000000"/>
              </w:rPr>
            </w:pPr>
            <w:r w:rsidRPr="00F70079">
              <w:rPr>
                <w:rFonts w:cs="Arial"/>
                <w:b/>
                <w:color w:val="000000"/>
              </w:rPr>
              <w:t> </w:t>
            </w:r>
          </w:p>
        </w:tc>
        <w:tc>
          <w:tcPr>
            <w:tcW w:w="1260" w:type="dxa"/>
            <w:tcBorders>
              <w:top w:val="nil"/>
              <w:left w:val="nil"/>
              <w:bottom w:val="single" w:sz="4" w:space="0" w:color="auto"/>
              <w:right w:val="nil"/>
            </w:tcBorders>
            <w:shd w:val="clear" w:color="000000" w:fill="D9D9D9"/>
            <w:noWrap/>
            <w:vAlign w:val="center"/>
            <w:hideMark/>
          </w:tcPr>
          <w:p w14:paraId="0D67390A" w14:textId="77777777" w:rsidR="0097090C" w:rsidRPr="00F70079" w:rsidRDefault="0097090C" w:rsidP="0097090C">
            <w:pPr>
              <w:jc w:val="right"/>
              <w:rPr>
                <w:rFonts w:cs="Arial"/>
                <w:b/>
                <w:color w:val="000000"/>
              </w:rPr>
            </w:pPr>
            <w:r w:rsidRPr="00F70079">
              <w:rPr>
                <w:rFonts w:cs="Arial"/>
                <w:b/>
                <w:color w:val="000000"/>
              </w:rPr>
              <w:t>$'000</w:t>
            </w:r>
          </w:p>
        </w:tc>
        <w:tc>
          <w:tcPr>
            <w:tcW w:w="1260" w:type="dxa"/>
            <w:tcBorders>
              <w:top w:val="nil"/>
              <w:left w:val="nil"/>
              <w:bottom w:val="single" w:sz="4" w:space="0" w:color="auto"/>
              <w:right w:val="nil"/>
            </w:tcBorders>
            <w:shd w:val="clear" w:color="auto" w:fill="auto"/>
            <w:noWrap/>
            <w:vAlign w:val="center"/>
            <w:hideMark/>
          </w:tcPr>
          <w:p w14:paraId="4C03F632" w14:textId="77777777" w:rsidR="0097090C" w:rsidRPr="00F70079" w:rsidRDefault="0097090C" w:rsidP="0097090C">
            <w:pPr>
              <w:jc w:val="right"/>
              <w:rPr>
                <w:rFonts w:cs="Arial"/>
                <w:b/>
                <w:color w:val="000000"/>
              </w:rPr>
            </w:pPr>
            <w:r w:rsidRPr="00F70079">
              <w:rPr>
                <w:rFonts w:cs="Arial"/>
                <w:b/>
                <w:color w:val="000000"/>
              </w:rPr>
              <w:t>$'000</w:t>
            </w:r>
          </w:p>
        </w:tc>
      </w:tr>
    </w:tbl>
    <w:p w14:paraId="1BDC3A4E" w14:textId="77777777" w:rsidR="0097090C" w:rsidRPr="00F70079" w:rsidRDefault="0097090C" w:rsidP="0097090C">
      <w:pPr>
        <w:rPr>
          <w:rFonts w:cs="Arial"/>
          <w:b/>
        </w:rPr>
      </w:pPr>
    </w:p>
    <w:p w14:paraId="6AB58A44" w14:textId="77777777" w:rsidR="0097090C" w:rsidRPr="00400949" w:rsidRDefault="0097090C" w:rsidP="0097090C">
      <w:pPr>
        <w:pStyle w:val="Heading4"/>
      </w:pPr>
      <w:r>
        <w:t xml:space="preserve">8. </w:t>
      </w:r>
      <w:r w:rsidRPr="00400949">
        <w:t>Prepayments</w:t>
      </w:r>
    </w:p>
    <w:tbl>
      <w:tblPr>
        <w:tblW w:w="9360" w:type="dxa"/>
        <w:tblInd w:w="93" w:type="dxa"/>
        <w:tblLook w:val="04A0" w:firstRow="1" w:lastRow="0" w:firstColumn="1" w:lastColumn="0" w:noHBand="0" w:noVBand="1"/>
      </w:tblPr>
      <w:tblGrid>
        <w:gridCol w:w="6120"/>
        <w:gridCol w:w="720"/>
        <w:gridCol w:w="1260"/>
        <w:gridCol w:w="1260"/>
      </w:tblGrid>
      <w:tr w:rsidR="0097090C" w:rsidRPr="00305786" w14:paraId="024C2008"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51863AED" w14:textId="77777777" w:rsidR="0097090C" w:rsidRPr="00305786" w:rsidRDefault="0097090C" w:rsidP="0097090C">
            <w:pPr>
              <w:rPr>
                <w:rFonts w:cs="Arial"/>
                <w:b/>
                <w:bCs/>
                <w:color w:val="000000"/>
              </w:rPr>
            </w:pPr>
            <w:r w:rsidRPr="00305786">
              <w:rPr>
                <w:rFonts w:cs="Arial"/>
                <w:b/>
                <w:bCs/>
                <w:color w:val="000000"/>
              </w:rPr>
              <w:t xml:space="preserve">Current </w:t>
            </w:r>
          </w:p>
        </w:tc>
        <w:tc>
          <w:tcPr>
            <w:tcW w:w="720" w:type="dxa"/>
            <w:tcBorders>
              <w:top w:val="single" w:sz="4" w:space="0" w:color="auto"/>
              <w:left w:val="nil"/>
              <w:bottom w:val="nil"/>
              <w:right w:val="nil"/>
            </w:tcBorders>
            <w:shd w:val="clear" w:color="auto" w:fill="auto"/>
            <w:vAlign w:val="center"/>
            <w:hideMark/>
          </w:tcPr>
          <w:p w14:paraId="258F8957"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0E949005" w14:textId="77777777" w:rsidR="0097090C" w:rsidRPr="00305786" w:rsidRDefault="0097090C" w:rsidP="0097090C">
            <w:pPr>
              <w:jc w:val="right"/>
              <w:rPr>
                <w:rFonts w:cs="Arial"/>
                <w:color w:val="000000"/>
              </w:rPr>
            </w:pPr>
            <w:r w:rsidRPr="00305786">
              <w:rPr>
                <w:rFonts w:cs="Arial"/>
                <w:color w:val="000000"/>
              </w:rPr>
              <w:t> </w:t>
            </w:r>
          </w:p>
        </w:tc>
        <w:tc>
          <w:tcPr>
            <w:tcW w:w="1260" w:type="dxa"/>
            <w:tcBorders>
              <w:top w:val="single" w:sz="4" w:space="0" w:color="auto"/>
              <w:left w:val="nil"/>
              <w:bottom w:val="nil"/>
              <w:right w:val="nil"/>
            </w:tcBorders>
            <w:shd w:val="clear" w:color="auto" w:fill="auto"/>
            <w:vAlign w:val="center"/>
            <w:hideMark/>
          </w:tcPr>
          <w:p w14:paraId="7465D93E" w14:textId="77777777" w:rsidR="0097090C" w:rsidRPr="00305786" w:rsidRDefault="0097090C" w:rsidP="0097090C">
            <w:pPr>
              <w:jc w:val="right"/>
              <w:rPr>
                <w:rFonts w:cs="Arial"/>
                <w:color w:val="000000"/>
              </w:rPr>
            </w:pPr>
            <w:r w:rsidRPr="00305786">
              <w:rPr>
                <w:rFonts w:cs="Arial"/>
                <w:color w:val="000000"/>
              </w:rPr>
              <w:t> </w:t>
            </w:r>
          </w:p>
        </w:tc>
      </w:tr>
      <w:tr w:rsidR="0097090C" w:rsidRPr="00305786" w14:paraId="1638CBA2"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3D7573CD" w14:textId="77777777" w:rsidR="0097090C" w:rsidRPr="00305786" w:rsidRDefault="0097090C" w:rsidP="0097090C">
            <w:pPr>
              <w:rPr>
                <w:rFonts w:cs="Arial"/>
                <w:color w:val="000000"/>
              </w:rPr>
            </w:pPr>
            <w:r w:rsidRPr="00305786">
              <w:rPr>
                <w:rFonts w:cs="Arial"/>
                <w:color w:val="000000"/>
              </w:rPr>
              <w:t>Prepaid expenses</w:t>
            </w:r>
          </w:p>
        </w:tc>
        <w:tc>
          <w:tcPr>
            <w:tcW w:w="720" w:type="dxa"/>
            <w:tcBorders>
              <w:top w:val="nil"/>
              <w:left w:val="nil"/>
              <w:bottom w:val="single" w:sz="4" w:space="0" w:color="auto"/>
              <w:right w:val="nil"/>
            </w:tcBorders>
            <w:shd w:val="clear" w:color="auto" w:fill="auto"/>
            <w:vAlign w:val="center"/>
            <w:hideMark/>
          </w:tcPr>
          <w:p w14:paraId="5DE84F59"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3438EBF0" w14:textId="77777777" w:rsidR="0097090C" w:rsidRPr="00305786" w:rsidRDefault="0097090C" w:rsidP="0097090C">
            <w:pPr>
              <w:jc w:val="right"/>
              <w:rPr>
                <w:rFonts w:cs="Arial"/>
                <w:color w:val="000000"/>
              </w:rPr>
            </w:pPr>
            <w:r>
              <w:rPr>
                <w:rFonts w:cs="Arial"/>
                <w:color w:val="000000"/>
              </w:rPr>
              <w:t>214</w:t>
            </w:r>
          </w:p>
        </w:tc>
        <w:tc>
          <w:tcPr>
            <w:tcW w:w="1260" w:type="dxa"/>
            <w:tcBorders>
              <w:top w:val="nil"/>
              <w:left w:val="nil"/>
              <w:bottom w:val="single" w:sz="4" w:space="0" w:color="auto"/>
              <w:right w:val="nil"/>
            </w:tcBorders>
            <w:shd w:val="clear" w:color="auto" w:fill="auto"/>
            <w:vAlign w:val="center"/>
            <w:hideMark/>
          </w:tcPr>
          <w:p w14:paraId="06C03187" w14:textId="77777777" w:rsidR="0097090C" w:rsidRPr="00305786" w:rsidRDefault="0097090C" w:rsidP="0097090C">
            <w:pPr>
              <w:jc w:val="right"/>
              <w:rPr>
                <w:rFonts w:cs="Arial"/>
                <w:color w:val="000000"/>
              </w:rPr>
            </w:pPr>
            <w:r w:rsidRPr="00305786">
              <w:rPr>
                <w:rFonts w:cs="Arial"/>
                <w:color w:val="000000"/>
              </w:rPr>
              <w:t>215</w:t>
            </w:r>
          </w:p>
        </w:tc>
      </w:tr>
      <w:tr w:rsidR="0097090C" w:rsidRPr="00305786" w14:paraId="20DF6C05"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1BE8B330" w14:textId="77777777" w:rsidR="0097090C" w:rsidRPr="00305786" w:rsidRDefault="0097090C" w:rsidP="0097090C">
            <w:pPr>
              <w:rPr>
                <w:rFonts w:cs="Arial"/>
                <w:b/>
                <w:bCs/>
                <w:color w:val="000000"/>
              </w:rPr>
            </w:pPr>
            <w:r w:rsidRPr="00305786">
              <w:rPr>
                <w:rFonts w:cs="Arial"/>
                <w:b/>
                <w:bCs/>
                <w:color w:val="000000"/>
              </w:rPr>
              <w:t>Total Prepayments</w:t>
            </w:r>
          </w:p>
        </w:tc>
        <w:tc>
          <w:tcPr>
            <w:tcW w:w="720" w:type="dxa"/>
            <w:tcBorders>
              <w:top w:val="nil"/>
              <w:left w:val="nil"/>
              <w:bottom w:val="single" w:sz="4" w:space="0" w:color="auto"/>
              <w:right w:val="nil"/>
            </w:tcBorders>
            <w:shd w:val="clear" w:color="auto" w:fill="auto"/>
            <w:vAlign w:val="center"/>
            <w:hideMark/>
          </w:tcPr>
          <w:p w14:paraId="492EE7CB" w14:textId="77777777" w:rsidR="0097090C" w:rsidRPr="00305786" w:rsidRDefault="0097090C" w:rsidP="0097090C">
            <w:pPr>
              <w:jc w:val="center"/>
              <w:rPr>
                <w:rFonts w:cs="Arial"/>
                <w:color w:val="000000"/>
              </w:rPr>
            </w:pPr>
            <w:r w:rsidRPr="0030578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277F28CB" w14:textId="77777777" w:rsidR="0097090C" w:rsidRPr="00305786" w:rsidRDefault="0097090C" w:rsidP="0097090C">
            <w:pPr>
              <w:jc w:val="right"/>
              <w:rPr>
                <w:rFonts w:cs="Arial"/>
                <w:b/>
                <w:bCs/>
                <w:color w:val="000000"/>
              </w:rPr>
            </w:pPr>
            <w:r>
              <w:rPr>
                <w:rFonts w:cs="Arial"/>
                <w:b/>
                <w:bCs/>
                <w:color w:val="000000"/>
              </w:rPr>
              <w:t>214</w:t>
            </w:r>
          </w:p>
        </w:tc>
        <w:tc>
          <w:tcPr>
            <w:tcW w:w="1260" w:type="dxa"/>
            <w:tcBorders>
              <w:top w:val="nil"/>
              <w:left w:val="nil"/>
              <w:bottom w:val="single" w:sz="4" w:space="0" w:color="auto"/>
              <w:right w:val="nil"/>
            </w:tcBorders>
            <w:shd w:val="clear" w:color="auto" w:fill="auto"/>
            <w:vAlign w:val="center"/>
            <w:hideMark/>
          </w:tcPr>
          <w:p w14:paraId="544CC99D" w14:textId="77777777" w:rsidR="0097090C" w:rsidRPr="00305786" w:rsidRDefault="0097090C" w:rsidP="0097090C">
            <w:pPr>
              <w:jc w:val="right"/>
              <w:rPr>
                <w:rFonts w:cs="Arial"/>
                <w:b/>
                <w:bCs/>
                <w:color w:val="000000"/>
              </w:rPr>
            </w:pPr>
            <w:r w:rsidRPr="00305786">
              <w:rPr>
                <w:rFonts w:cs="Arial"/>
                <w:b/>
                <w:bCs/>
                <w:color w:val="000000"/>
              </w:rPr>
              <w:t>215</w:t>
            </w:r>
          </w:p>
        </w:tc>
      </w:tr>
    </w:tbl>
    <w:p w14:paraId="363FC971" w14:textId="77777777" w:rsidR="0097090C" w:rsidRDefault="0097090C" w:rsidP="0097090C">
      <w:pPr>
        <w:rPr>
          <w:rFonts w:cs="Arial"/>
        </w:rPr>
      </w:pPr>
    </w:p>
    <w:p w14:paraId="481FD4C8" w14:textId="77777777" w:rsidR="0097090C" w:rsidRPr="00387BE6" w:rsidRDefault="0097090C" w:rsidP="0097090C">
      <w:pPr>
        <w:pStyle w:val="Heading4"/>
      </w:pPr>
      <w:r>
        <w:t xml:space="preserve">9. </w:t>
      </w:r>
      <w:r w:rsidRPr="00387BE6">
        <w:t>Non-current Physical Assets</w:t>
      </w:r>
    </w:p>
    <w:p w14:paraId="0832E99B" w14:textId="77777777" w:rsidR="0097090C" w:rsidRDefault="0097090C" w:rsidP="0097090C">
      <w:pPr>
        <w:rPr>
          <w:rFonts w:cs="Arial"/>
        </w:rPr>
      </w:pPr>
      <w:r w:rsidRPr="003B04BC">
        <w:rPr>
          <w:rFonts w:cs="Arial"/>
        </w:rPr>
        <w:t>Fair value in the sub-sections below for this note is represented by values at valuation less accumulated depreciation and at cost less accumulated depreciation where applicable under Note 1(d) Non-Current</w:t>
      </w:r>
      <w:r>
        <w:rPr>
          <w:rFonts w:cs="Arial"/>
        </w:rPr>
        <w:t xml:space="preserve"> </w:t>
      </w:r>
      <w:r w:rsidRPr="003B04BC">
        <w:rPr>
          <w:rFonts w:cs="Arial"/>
        </w:rPr>
        <w:t>Physical Assets.</w:t>
      </w:r>
    </w:p>
    <w:p w14:paraId="243896D5" w14:textId="77777777" w:rsidR="0097090C" w:rsidRDefault="0097090C" w:rsidP="0097090C">
      <w:pPr>
        <w:rPr>
          <w:rFonts w:cs="Arial"/>
        </w:rPr>
      </w:pPr>
    </w:p>
    <w:p w14:paraId="29FF33B6" w14:textId="77777777" w:rsidR="0097090C" w:rsidRDefault="0097090C" w:rsidP="0097090C">
      <w:pPr>
        <w:pStyle w:val="Heading5"/>
      </w:pPr>
      <w:r w:rsidRPr="00F97F8E">
        <w:t xml:space="preserve">9(a) </w:t>
      </w:r>
      <w:r w:rsidRPr="00742513">
        <w:t>Collections</w:t>
      </w:r>
    </w:p>
    <w:tbl>
      <w:tblPr>
        <w:tblW w:w="9360" w:type="dxa"/>
        <w:tblInd w:w="108" w:type="dxa"/>
        <w:tblLook w:val="04A0" w:firstRow="1" w:lastRow="0" w:firstColumn="1" w:lastColumn="0" w:noHBand="0" w:noVBand="1"/>
      </w:tblPr>
      <w:tblGrid>
        <w:gridCol w:w="6120"/>
        <w:gridCol w:w="720"/>
        <w:gridCol w:w="1260"/>
        <w:gridCol w:w="1260"/>
      </w:tblGrid>
      <w:tr w:rsidR="0097090C" w:rsidRPr="00D258EA" w14:paraId="116A3638"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3E6F87C9" w14:textId="77777777" w:rsidR="0097090C" w:rsidRPr="00D258EA" w:rsidRDefault="0097090C" w:rsidP="0097090C">
            <w:pPr>
              <w:rPr>
                <w:rFonts w:cs="Arial"/>
                <w:color w:val="000000"/>
              </w:rPr>
            </w:pPr>
            <w:r w:rsidRPr="00D258EA">
              <w:rPr>
                <w:rFonts w:cs="Arial"/>
                <w:color w:val="000000"/>
              </w:rPr>
              <w:t xml:space="preserve">Indigenous Collections* </w:t>
            </w:r>
          </w:p>
        </w:tc>
        <w:tc>
          <w:tcPr>
            <w:tcW w:w="720" w:type="dxa"/>
            <w:tcBorders>
              <w:top w:val="single" w:sz="4" w:space="0" w:color="auto"/>
              <w:left w:val="nil"/>
              <w:bottom w:val="nil"/>
              <w:right w:val="nil"/>
            </w:tcBorders>
            <w:shd w:val="clear" w:color="auto" w:fill="auto"/>
            <w:vAlign w:val="center"/>
            <w:hideMark/>
          </w:tcPr>
          <w:p w14:paraId="57B90C79" w14:textId="77777777" w:rsidR="0097090C" w:rsidRPr="00D258EA" w:rsidRDefault="0097090C" w:rsidP="0097090C">
            <w:pPr>
              <w:jc w:val="center"/>
              <w:rPr>
                <w:rFonts w:cs="Arial"/>
                <w:color w:val="000000"/>
              </w:rPr>
            </w:pPr>
            <w:r w:rsidRPr="00D258EA">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712071B8" w14:textId="77777777" w:rsidR="0097090C" w:rsidRPr="00D258EA" w:rsidRDefault="0097090C" w:rsidP="0097090C">
            <w:pPr>
              <w:jc w:val="right"/>
              <w:rPr>
                <w:rFonts w:cs="Arial"/>
                <w:color w:val="000000"/>
              </w:rPr>
            </w:pPr>
            <w:r w:rsidRPr="00D258EA">
              <w:rPr>
                <w:rFonts w:cs="Arial"/>
                <w:color w:val="000000"/>
              </w:rPr>
              <w:t>167,912</w:t>
            </w:r>
          </w:p>
        </w:tc>
        <w:tc>
          <w:tcPr>
            <w:tcW w:w="1260" w:type="dxa"/>
            <w:tcBorders>
              <w:top w:val="single" w:sz="4" w:space="0" w:color="auto"/>
              <w:left w:val="nil"/>
              <w:bottom w:val="nil"/>
              <w:right w:val="nil"/>
            </w:tcBorders>
            <w:shd w:val="clear" w:color="auto" w:fill="auto"/>
            <w:vAlign w:val="center"/>
            <w:hideMark/>
          </w:tcPr>
          <w:p w14:paraId="04B7920A" w14:textId="77777777" w:rsidR="0097090C" w:rsidRPr="00D258EA" w:rsidRDefault="0097090C" w:rsidP="0097090C">
            <w:pPr>
              <w:jc w:val="right"/>
              <w:rPr>
                <w:rFonts w:cs="Arial"/>
                <w:color w:val="000000"/>
              </w:rPr>
            </w:pPr>
            <w:r w:rsidRPr="00D258EA">
              <w:rPr>
                <w:rFonts w:cs="Arial"/>
                <w:color w:val="000000"/>
              </w:rPr>
              <w:t>127,587</w:t>
            </w:r>
          </w:p>
        </w:tc>
      </w:tr>
      <w:tr w:rsidR="0097090C" w:rsidRPr="00D258EA" w14:paraId="21DF0C89" w14:textId="77777777" w:rsidTr="0097090C">
        <w:trPr>
          <w:trHeight w:val="255"/>
        </w:trPr>
        <w:tc>
          <w:tcPr>
            <w:tcW w:w="6120" w:type="dxa"/>
            <w:tcBorders>
              <w:top w:val="nil"/>
              <w:left w:val="nil"/>
              <w:bottom w:val="nil"/>
              <w:right w:val="nil"/>
            </w:tcBorders>
            <w:shd w:val="clear" w:color="auto" w:fill="auto"/>
            <w:vAlign w:val="center"/>
            <w:hideMark/>
          </w:tcPr>
          <w:p w14:paraId="32AEB8BE" w14:textId="77777777" w:rsidR="0097090C" w:rsidRPr="00D258EA" w:rsidRDefault="0097090C" w:rsidP="0097090C">
            <w:pPr>
              <w:rPr>
                <w:rFonts w:cs="Arial"/>
                <w:color w:val="000000"/>
              </w:rPr>
            </w:pPr>
            <w:r w:rsidRPr="00D258EA">
              <w:rPr>
                <w:rFonts w:cs="Arial"/>
                <w:color w:val="000000"/>
              </w:rPr>
              <w:t xml:space="preserve">History and Technology Collections* </w:t>
            </w:r>
          </w:p>
        </w:tc>
        <w:tc>
          <w:tcPr>
            <w:tcW w:w="720" w:type="dxa"/>
            <w:tcBorders>
              <w:top w:val="nil"/>
              <w:left w:val="nil"/>
              <w:bottom w:val="nil"/>
              <w:right w:val="nil"/>
            </w:tcBorders>
            <w:shd w:val="clear" w:color="auto" w:fill="auto"/>
            <w:vAlign w:val="center"/>
            <w:hideMark/>
          </w:tcPr>
          <w:p w14:paraId="73F225EA" w14:textId="77777777" w:rsidR="0097090C" w:rsidRPr="00D258EA"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BA57A7E" w14:textId="77777777" w:rsidR="0097090C" w:rsidRPr="00D258EA" w:rsidRDefault="0097090C" w:rsidP="0097090C">
            <w:pPr>
              <w:jc w:val="right"/>
              <w:rPr>
                <w:rFonts w:cs="Arial"/>
                <w:color w:val="000000"/>
              </w:rPr>
            </w:pPr>
            <w:r w:rsidRPr="00D258EA">
              <w:rPr>
                <w:rFonts w:cs="Arial"/>
                <w:color w:val="000000"/>
              </w:rPr>
              <w:t>92,809</w:t>
            </w:r>
          </w:p>
        </w:tc>
        <w:tc>
          <w:tcPr>
            <w:tcW w:w="1260" w:type="dxa"/>
            <w:tcBorders>
              <w:top w:val="nil"/>
              <w:left w:val="nil"/>
              <w:bottom w:val="nil"/>
              <w:right w:val="nil"/>
            </w:tcBorders>
            <w:shd w:val="clear" w:color="auto" w:fill="auto"/>
            <w:vAlign w:val="center"/>
            <w:hideMark/>
          </w:tcPr>
          <w:p w14:paraId="0659109D" w14:textId="77777777" w:rsidR="0097090C" w:rsidRPr="00D258EA" w:rsidRDefault="0097090C" w:rsidP="0097090C">
            <w:pPr>
              <w:jc w:val="right"/>
              <w:rPr>
                <w:rFonts w:cs="Arial"/>
                <w:color w:val="000000"/>
              </w:rPr>
            </w:pPr>
            <w:r w:rsidRPr="00D258EA">
              <w:rPr>
                <w:rFonts w:cs="Arial"/>
                <w:color w:val="000000"/>
              </w:rPr>
              <w:t>74,211</w:t>
            </w:r>
          </w:p>
        </w:tc>
      </w:tr>
      <w:tr w:rsidR="0097090C" w:rsidRPr="00D258EA" w14:paraId="0F63F2C2" w14:textId="77777777" w:rsidTr="0097090C">
        <w:trPr>
          <w:trHeight w:val="255"/>
        </w:trPr>
        <w:tc>
          <w:tcPr>
            <w:tcW w:w="6120" w:type="dxa"/>
            <w:tcBorders>
              <w:top w:val="nil"/>
              <w:left w:val="nil"/>
              <w:bottom w:val="nil"/>
              <w:right w:val="nil"/>
            </w:tcBorders>
            <w:shd w:val="clear" w:color="auto" w:fill="auto"/>
            <w:vAlign w:val="center"/>
            <w:hideMark/>
          </w:tcPr>
          <w:p w14:paraId="04F0B1C6" w14:textId="77777777" w:rsidR="0097090C" w:rsidRPr="00D258EA" w:rsidRDefault="0097090C" w:rsidP="0097090C">
            <w:pPr>
              <w:rPr>
                <w:rFonts w:cs="Arial"/>
                <w:color w:val="000000"/>
              </w:rPr>
            </w:pPr>
            <w:r w:rsidRPr="00D258EA">
              <w:rPr>
                <w:rFonts w:cs="Arial"/>
                <w:color w:val="000000"/>
              </w:rPr>
              <w:t xml:space="preserve">Natural Science Collections* </w:t>
            </w:r>
          </w:p>
        </w:tc>
        <w:tc>
          <w:tcPr>
            <w:tcW w:w="720" w:type="dxa"/>
            <w:tcBorders>
              <w:top w:val="nil"/>
              <w:left w:val="nil"/>
              <w:bottom w:val="nil"/>
              <w:right w:val="nil"/>
            </w:tcBorders>
            <w:shd w:val="clear" w:color="auto" w:fill="auto"/>
            <w:vAlign w:val="center"/>
            <w:hideMark/>
          </w:tcPr>
          <w:p w14:paraId="20E0AFC8" w14:textId="77777777" w:rsidR="0097090C" w:rsidRPr="00D258EA"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6C43DA2" w14:textId="77777777" w:rsidR="0097090C" w:rsidRPr="00D258EA" w:rsidRDefault="0097090C" w:rsidP="0097090C">
            <w:pPr>
              <w:jc w:val="right"/>
              <w:rPr>
                <w:rFonts w:cs="Arial"/>
                <w:color w:val="000000"/>
              </w:rPr>
            </w:pPr>
            <w:r w:rsidRPr="00D258EA">
              <w:rPr>
                <w:rFonts w:cs="Arial"/>
                <w:color w:val="000000"/>
              </w:rPr>
              <w:t>439,082</w:t>
            </w:r>
          </w:p>
        </w:tc>
        <w:tc>
          <w:tcPr>
            <w:tcW w:w="1260" w:type="dxa"/>
            <w:tcBorders>
              <w:top w:val="nil"/>
              <w:left w:val="nil"/>
              <w:bottom w:val="nil"/>
              <w:right w:val="nil"/>
            </w:tcBorders>
            <w:shd w:val="clear" w:color="auto" w:fill="auto"/>
            <w:vAlign w:val="center"/>
            <w:hideMark/>
          </w:tcPr>
          <w:p w14:paraId="117D4F9D" w14:textId="77777777" w:rsidR="0097090C" w:rsidRPr="00D258EA" w:rsidRDefault="0097090C" w:rsidP="0097090C">
            <w:pPr>
              <w:jc w:val="right"/>
              <w:rPr>
                <w:rFonts w:cs="Arial"/>
                <w:color w:val="000000"/>
              </w:rPr>
            </w:pPr>
            <w:r w:rsidRPr="00D258EA">
              <w:rPr>
                <w:rFonts w:cs="Arial"/>
                <w:color w:val="000000"/>
              </w:rPr>
              <w:t>282,216</w:t>
            </w:r>
          </w:p>
        </w:tc>
      </w:tr>
      <w:tr w:rsidR="0097090C" w:rsidRPr="00D258EA" w14:paraId="7D4B56BB" w14:textId="77777777" w:rsidTr="0097090C">
        <w:trPr>
          <w:trHeight w:val="255"/>
        </w:trPr>
        <w:tc>
          <w:tcPr>
            <w:tcW w:w="6120" w:type="dxa"/>
            <w:tcBorders>
              <w:top w:val="nil"/>
              <w:left w:val="nil"/>
              <w:bottom w:val="nil"/>
              <w:right w:val="nil"/>
            </w:tcBorders>
            <w:shd w:val="clear" w:color="auto" w:fill="auto"/>
            <w:vAlign w:val="center"/>
            <w:hideMark/>
          </w:tcPr>
          <w:p w14:paraId="0864C336" w14:textId="77777777" w:rsidR="0097090C" w:rsidRPr="00D258EA" w:rsidRDefault="0097090C" w:rsidP="0097090C">
            <w:pPr>
              <w:rPr>
                <w:rFonts w:cs="Arial"/>
                <w:color w:val="000000"/>
              </w:rPr>
            </w:pPr>
            <w:r w:rsidRPr="00D258EA">
              <w:rPr>
                <w:rFonts w:cs="Arial"/>
                <w:color w:val="000000"/>
              </w:rPr>
              <w:t>Library Rare and High Value*</w:t>
            </w:r>
          </w:p>
        </w:tc>
        <w:tc>
          <w:tcPr>
            <w:tcW w:w="720" w:type="dxa"/>
            <w:tcBorders>
              <w:top w:val="nil"/>
              <w:left w:val="nil"/>
              <w:bottom w:val="nil"/>
              <w:right w:val="nil"/>
            </w:tcBorders>
            <w:shd w:val="clear" w:color="auto" w:fill="auto"/>
            <w:vAlign w:val="center"/>
            <w:hideMark/>
          </w:tcPr>
          <w:p w14:paraId="1CA1B414" w14:textId="77777777" w:rsidR="0097090C" w:rsidRPr="00D258EA"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286255B" w14:textId="77777777" w:rsidR="0097090C" w:rsidRPr="00D258EA" w:rsidRDefault="0097090C" w:rsidP="0097090C">
            <w:pPr>
              <w:jc w:val="right"/>
              <w:rPr>
                <w:rFonts w:cs="Arial"/>
                <w:color w:val="000000"/>
              </w:rPr>
            </w:pPr>
            <w:r w:rsidRPr="00D258EA">
              <w:rPr>
                <w:rFonts w:cs="Arial"/>
                <w:color w:val="000000"/>
              </w:rPr>
              <w:t>8,519</w:t>
            </w:r>
          </w:p>
        </w:tc>
        <w:tc>
          <w:tcPr>
            <w:tcW w:w="1260" w:type="dxa"/>
            <w:tcBorders>
              <w:top w:val="nil"/>
              <w:left w:val="nil"/>
              <w:bottom w:val="nil"/>
              <w:right w:val="nil"/>
            </w:tcBorders>
            <w:shd w:val="clear" w:color="auto" w:fill="auto"/>
            <w:vAlign w:val="center"/>
            <w:hideMark/>
          </w:tcPr>
          <w:p w14:paraId="6F53CF79" w14:textId="77777777" w:rsidR="0097090C" w:rsidRPr="00D258EA" w:rsidRDefault="0097090C" w:rsidP="0097090C">
            <w:pPr>
              <w:jc w:val="right"/>
              <w:rPr>
                <w:rFonts w:cs="Arial"/>
                <w:color w:val="000000"/>
              </w:rPr>
            </w:pPr>
            <w:r w:rsidRPr="00D258EA">
              <w:rPr>
                <w:rFonts w:cs="Arial"/>
                <w:color w:val="000000"/>
              </w:rPr>
              <w:t>8,309</w:t>
            </w:r>
          </w:p>
        </w:tc>
      </w:tr>
      <w:tr w:rsidR="0097090C" w:rsidRPr="00D258EA" w14:paraId="66B4D2D9" w14:textId="77777777" w:rsidTr="0097090C">
        <w:trPr>
          <w:trHeight w:val="255"/>
        </w:trPr>
        <w:tc>
          <w:tcPr>
            <w:tcW w:w="6120" w:type="dxa"/>
            <w:tcBorders>
              <w:top w:val="nil"/>
              <w:left w:val="nil"/>
              <w:bottom w:val="nil"/>
              <w:right w:val="nil"/>
            </w:tcBorders>
            <w:shd w:val="clear" w:color="auto" w:fill="auto"/>
            <w:vAlign w:val="center"/>
            <w:hideMark/>
          </w:tcPr>
          <w:p w14:paraId="4E4B4BEE" w14:textId="77777777" w:rsidR="0097090C" w:rsidRPr="00D258EA" w:rsidRDefault="0097090C" w:rsidP="0097090C">
            <w:pPr>
              <w:rPr>
                <w:rFonts w:cs="Arial"/>
                <w:color w:val="000000"/>
              </w:rPr>
            </w:pPr>
            <w:r w:rsidRPr="00D258EA">
              <w:rPr>
                <w:rFonts w:cs="Arial"/>
                <w:color w:val="000000"/>
              </w:rPr>
              <w:t>Library non-Rare or High Value</w:t>
            </w:r>
            <w:r>
              <w:rPr>
                <w:rFonts w:cs="Arial"/>
                <w:color w:val="000000"/>
              </w:rPr>
              <w:t>*</w:t>
            </w:r>
          </w:p>
        </w:tc>
        <w:tc>
          <w:tcPr>
            <w:tcW w:w="720" w:type="dxa"/>
            <w:tcBorders>
              <w:top w:val="nil"/>
              <w:left w:val="nil"/>
              <w:bottom w:val="nil"/>
              <w:right w:val="nil"/>
            </w:tcBorders>
            <w:shd w:val="clear" w:color="auto" w:fill="auto"/>
            <w:vAlign w:val="center"/>
            <w:hideMark/>
          </w:tcPr>
          <w:p w14:paraId="39ACB703" w14:textId="77777777" w:rsidR="0097090C" w:rsidRPr="00D258EA"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1F5C7DB" w14:textId="77777777" w:rsidR="0097090C" w:rsidRPr="00D258EA" w:rsidRDefault="0097090C" w:rsidP="0097090C">
            <w:pPr>
              <w:jc w:val="right"/>
              <w:rPr>
                <w:rFonts w:cs="Arial"/>
                <w:color w:val="000000"/>
              </w:rPr>
            </w:pPr>
            <w:r w:rsidRPr="00D258EA">
              <w:rPr>
                <w:rFonts w:cs="Arial"/>
                <w:color w:val="000000"/>
              </w:rPr>
              <w:t>4,871</w:t>
            </w:r>
          </w:p>
        </w:tc>
        <w:tc>
          <w:tcPr>
            <w:tcW w:w="1260" w:type="dxa"/>
            <w:tcBorders>
              <w:top w:val="nil"/>
              <w:left w:val="nil"/>
              <w:bottom w:val="nil"/>
              <w:right w:val="nil"/>
            </w:tcBorders>
            <w:shd w:val="clear" w:color="auto" w:fill="auto"/>
            <w:vAlign w:val="center"/>
            <w:hideMark/>
          </w:tcPr>
          <w:p w14:paraId="3D00E743" w14:textId="77777777" w:rsidR="0097090C" w:rsidRPr="00D258EA" w:rsidRDefault="0097090C" w:rsidP="0097090C">
            <w:pPr>
              <w:jc w:val="right"/>
              <w:rPr>
                <w:rFonts w:cs="Arial"/>
                <w:color w:val="000000"/>
              </w:rPr>
            </w:pPr>
            <w:r w:rsidRPr="00D258EA">
              <w:rPr>
                <w:rFonts w:cs="Arial"/>
                <w:color w:val="000000"/>
              </w:rPr>
              <w:t>5,953</w:t>
            </w:r>
          </w:p>
        </w:tc>
      </w:tr>
      <w:tr w:rsidR="0097090C" w:rsidRPr="00D258EA" w14:paraId="15BC5902" w14:textId="77777777" w:rsidTr="0097090C">
        <w:trPr>
          <w:trHeight w:val="255"/>
        </w:trPr>
        <w:tc>
          <w:tcPr>
            <w:tcW w:w="6120" w:type="dxa"/>
            <w:tcBorders>
              <w:top w:val="nil"/>
              <w:left w:val="nil"/>
              <w:bottom w:val="nil"/>
              <w:right w:val="nil"/>
            </w:tcBorders>
            <w:shd w:val="clear" w:color="auto" w:fill="auto"/>
            <w:noWrap/>
            <w:vAlign w:val="center"/>
            <w:hideMark/>
          </w:tcPr>
          <w:p w14:paraId="4209C30C" w14:textId="77777777" w:rsidR="0097090C" w:rsidRPr="00D258EA" w:rsidRDefault="0097090C" w:rsidP="0097090C">
            <w:pPr>
              <w:rPr>
                <w:rFonts w:cs="Arial"/>
                <w:color w:val="000000"/>
              </w:rPr>
            </w:pPr>
            <w:r w:rsidRPr="00D258EA">
              <w:rPr>
                <w:rFonts w:cs="Arial"/>
                <w:color w:val="000000"/>
              </w:rPr>
              <w:t>Less Accumulated Depreciation Library non-Rare or High Value</w:t>
            </w:r>
          </w:p>
        </w:tc>
        <w:tc>
          <w:tcPr>
            <w:tcW w:w="720" w:type="dxa"/>
            <w:tcBorders>
              <w:top w:val="nil"/>
              <w:left w:val="nil"/>
              <w:bottom w:val="nil"/>
              <w:right w:val="nil"/>
            </w:tcBorders>
            <w:shd w:val="clear" w:color="auto" w:fill="auto"/>
            <w:vAlign w:val="center"/>
            <w:hideMark/>
          </w:tcPr>
          <w:p w14:paraId="0B8C72A3" w14:textId="77777777" w:rsidR="0097090C" w:rsidRPr="00D258EA"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6169170" w14:textId="77777777" w:rsidR="0097090C" w:rsidRPr="00D258EA" w:rsidRDefault="0097090C" w:rsidP="0097090C">
            <w:pPr>
              <w:jc w:val="right"/>
              <w:rPr>
                <w:rFonts w:cs="Arial"/>
                <w:color w:val="000000"/>
              </w:rPr>
            </w:pPr>
            <w:r w:rsidRPr="00D258EA">
              <w:rPr>
                <w:rFonts w:cs="Arial"/>
                <w:color w:val="000000"/>
              </w:rPr>
              <w:t>0</w:t>
            </w:r>
          </w:p>
        </w:tc>
        <w:tc>
          <w:tcPr>
            <w:tcW w:w="1260" w:type="dxa"/>
            <w:tcBorders>
              <w:top w:val="nil"/>
              <w:left w:val="nil"/>
              <w:bottom w:val="nil"/>
              <w:right w:val="nil"/>
            </w:tcBorders>
            <w:shd w:val="clear" w:color="auto" w:fill="auto"/>
            <w:vAlign w:val="center"/>
            <w:hideMark/>
          </w:tcPr>
          <w:p w14:paraId="4AD62E55" w14:textId="77777777" w:rsidR="0097090C" w:rsidRPr="00D258EA" w:rsidRDefault="0097090C" w:rsidP="0097090C">
            <w:pPr>
              <w:jc w:val="right"/>
              <w:rPr>
                <w:rFonts w:cs="Arial"/>
                <w:color w:val="000000"/>
              </w:rPr>
            </w:pPr>
            <w:r w:rsidRPr="00D258EA">
              <w:rPr>
                <w:rFonts w:cs="Arial"/>
                <w:color w:val="000000"/>
              </w:rPr>
              <w:t>(468)</w:t>
            </w:r>
          </w:p>
        </w:tc>
      </w:tr>
      <w:tr w:rsidR="0097090C" w:rsidRPr="00D258EA" w14:paraId="71DF61E5"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75AF6B4E" w14:textId="77777777" w:rsidR="0097090C" w:rsidRPr="00D258EA" w:rsidRDefault="0097090C" w:rsidP="0097090C">
            <w:pPr>
              <w:rPr>
                <w:rFonts w:cs="Arial"/>
                <w:color w:val="000000"/>
              </w:rPr>
            </w:pPr>
            <w:r w:rsidRPr="00D258EA">
              <w:rPr>
                <w:rFonts w:cs="Arial"/>
                <w:color w:val="000000"/>
              </w:rPr>
              <w:t>Additions at Cost</w:t>
            </w:r>
          </w:p>
        </w:tc>
        <w:tc>
          <w:tcPr>
            <w:tcW w:w="720" w:type="dxa"/>
            <w:tcBorders>
              <w:top w:val="nil"/>
              <w:left w:val="nil"/>
              <w:bottom w:val="single" w:sz="4" w:space="0" w:color="auto"/>
              <w:right w:val="nil"/>
            </w:tcBorders>
            <w:shd w:val="clear" w:color="auto" w:fill="auto"/>
            <w:vAlign w:val="center"/>
            <w:hideMark/>
          </w:tcPr>
          <w:p w14:paraId="65B47769" w14:textId="77777777" w:rsidR="0097090C" w:rsidRPr="00D258EA" w:rsidRDefault="0097090C" w:rsidP="0097090C">
            <w:pPr>
              <w:jc w:val="center"/>
              <w:rPr>
                <w:rFonts w:cs="Arial"/>
                <w:color w:val="000000"/>
              </w:rPr>
            </w:pPr>
            <w:r w:rsidRPr="00D258EA">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5755DC85" w14:textId="77777777" w:rsidR="0097090C" w:rsidRPr="00D258EA" w:rsidRDefault="0097090C" w:rsidP="0097090C">
            <w:pPr>
              <w:jc w:val="right"/>
              <w:rPr>
                <w:rFonts w:cs="Arial"/>
                <w:color w:val="000000"/>
              </w:rPr>
            </w:pPr>
            <w:r w:rsidRPr="00D258EA">
              <w:rPr>
                <w:rFonts w:cs="Arial"/>
                <w:color w:val="000000"/>
              </w:rPr>
              <w:t>1,147</w:t>
            </w:r>
          </w:p>
        </w:tc>
        <w:tc>
          <w:tcPr>
            <w:tcW w:w="1260" w:type="dxa"/>
            <w:tcBorders>
              <w:top w:val="nil"/>
              <w:left w:val="nil"/>
              <w:bottom w:val="single" w:sz="4" w:space="0" w:color="auto"/>
              <w:right w:val="nil"/>
            </w:tcBorders>
            <w:shd w:val="clear" w:color="auto" w:fill="auto"/>
            <w:vAlign w:val="center"/>
            <w:hideMark/>
          </w:tcPr>
          <w:p w14:paraId="13F9D14E" w14:textId="77777777" w:rsidR="0097090C" w:rsidRPr="00D258EA" w:rsidRDefault="0097090C" w:rsidP="0097090C">
            <w:pPr>
              <w:jc w:val="right"/>
              <w:rPr>
                <w:rFonts w:cs="Arial"/>
                <w:color w:val="000000"/>
              </w:rPr>
            </w:pPr>
            <w:r w:rsidRPr="00D258EA">
              <w:rPr>
                <w:rFonts w:cs="Arial"/>
                <w:color w:val="000000"/>
              </w:rPr>
              <w:t>5,162</w:t>
            </w:r>
          </w:p>
        </w:tc>
      </w:tr>
      <w:tr w:rsidR="0097090C" w:rsidRPr="00D258EA" w14:paraId="077EBCA5"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21BB6FC0" w14:textId="77777777" w:rsidR="0097090C" w:rsidRPr="00D258EA" w:rsidRDefault="0097090C" w:rsidP="0097090C">
            <w:pPr>
              <w:rPr>
                <w:rFonts w:cs="Arial"/>
                <w:b/>
                <w:bCs/>
                <w:color w:val="000000"/>
              </w:rPr>
            </w:pPr>
            <w:r w:rsidRPr="00D258EA">
              <w:rPr>
                <w:rFonts w:cs="Arial"/>
                <w:b/>
                <w:bCs/>
                <w:color w:val="000000"/>
              </w:rPr>
              <w:t>Total Collections at fair value</w:t>
            </w:r>
          </w:p>
        </w:tc>
        <w:tc>
          <w:tcPr>
            <w:tcW w:w="720" w:type="dxa"/>
            <w:tcBorders>
              <w:top w:val="nil"/>
              <w:left w:val="nil"/>
              <w:bottom w:val="single" w:sz="4" w:space="0" w:color="auto"/>
              <w:right w:val="nil"/>
            </w:tcBorders>
            <w:shd w:val="clear" w:color="auto" w:fill="auto"/>
            <w:vAlign w:val="center"/>
            <w:hideMark/>
          </w:tcPr>
          <w:p w14:paraId="2EBADF69" w14:textId="77777777" w:rsidR="0097090C" w:rsidRPr="00D258EA" w:rsidRDefault="0097090C" w:rsidP="0097090C">
            <w:pPr>
              <w:jc w:val="center"/>
              <w:rPr>
                <w:rFonts w:cs="Arial"/>
                <w:color w:val="000000"/>
              </w:rPr>
            </w:pPr>
            <w:r w:rsidRPr="00D258EA">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52197DA2" w14:textId="77777777" w:rsidR="0097090C" w:rsidRPr="00D258EA" w:rsidRDefault="0097090C" w:rsidP="0097090C">
            <w:pPr>
              <w:jc w:val="right"/>
              <w:rPr>
                <w:rFonts w:cs="Arial"/>
                <w:b/>
                <w:bCs/>
                <w:color w:val="000000"/>
              </w:rPr>
            </w:pPr>
            <w:r w:rsidRPr="00D258EA">
              <w:rPr>
                <w:rFonts w:cs="Arial"/>
                <w:b/>
                <w:bCs/>
                <w:color w:val="000000"/>
              </w:rPr>
              <w:t>714,340</w:t>
            </w:r>
          </w:p>
        </w:tc>
        <w:tc>
          <w:tcPr>
            <w:tcW w:w="1260" w:type="dxa"/>
            <w:tcBorders>
              <w:top w:val="nil"/>
              <w:left w:val="nil"/>
              <w:bottom w:val="single" w:sz="4" w:space="0" w:color="auto"/>
              <w:right w:val="nil"/>
            </w:tcBorders>
            <w:shd w:val="clear" w:color="auto" w:fill="auto"/>
            <w:vAlign w:val="center"/>
            <w:hideMark/>
          </w:tcPr>
          <w:p w14:paraId="36F59C6C" w14:textId="77777777" w:rsidR="0097090C" w:rsidRPr="00D258EA" w:rsidRDefault="0097090C" w:rsidP="0097090C">
            <w:pPr>
              <w:jc w:val="right"/>
              <w:rPr>
                <w:rFonts w:cs="Arial"/>
                <w:b/>
                <w:bCs/>
                <w:color w:val="000000"/>
              </w:rPr>
            </w:pPr>
            <w:r w:rsidRPr="00D258EA">
              <w:rPr>
                <w:rFonts w:cs="Arial"/>
                <w:b/>
                <w:bCs/>
                <w:color w:val="000000"/>
              </w:rPr>
              <w:t>502,970</w:t>
            </w:r>
          </w:p>
        </w:tc>
      </w:tr>
    </w:tbl>
    <w:p w14:paraId="2417BE84" w14:textId="77777777" w:rsidR="0097090C" w:rsidRPr="00394621" w:rsidRDefault="0097090C" w:rsidP="00105DED">
      <w:pPr>
        <w:rPr>
          <w:sz w:val="21"/>
          <w:szCs w:val="21"/>
        </w:rPr>
      </w:pPr>
      <w:r w:rsidRPr="00394621">
        <w:rPr>
          <w:i/>
          <w:sz w:val="21"/>
          <w:szCs w:val="21"/>
        </w:rPr>
        <w:t>* Valued at fair value at 30 June 2016 by the Australian Valuation Solutions.  The valuation methodology for fair value was based on a statistical sampling approach given the extent and diversity of the Collections, and by reference to market based evidence where available and to replacement cost</w:t>
      </w:r>
      <w:r w:rsidRPr="00394621">
        <w:rPr>
          <w:sz w:val="21"/>
          <w:szCs w:val="21"/>
        </w:rPr>
        <w:t>.</w:t>
      </w:r>
    </w:p>
    <w:p w14:paraId="3DF486C0" w14:textId="77777777" w:rsidR="0097090C" w:rsidRDefault="0097090C" w:rsidP="0097090C">
      <w:pPr>
        <w:rPr>
          <w:rFonts w:cs="Arial"/>
        </w:rPr>
      </w:pPr>
    </w:p>
    <w:p w14:paraId="68E24173" w14:textId="77777777" w:rsidR="0097090C" w:rsidRDefault="0097090C" w:rsidP="0097090C">
      <w:pPr>
        <w:pStyle w:val="Heading5"/>
      </w:pPr>
      <w:r w:rsidRPr="009E1518">
        <w:t>9(b) Property</w:t>
      </w:r>
    </w:p>
    <w:tbl>
      <w:tblPr>
        <w:tblW w:w="9360" w:type="dxa"/>
        <w:tblInd w:w="108" w:type="dxa"/>
        <w:tblLook w:val="04A0" w:firstRow="1" w:lastRow="0" w:firstColumn="1" w:lastColumn="0" w:noHBand="0" w:noVBand="1"/>
      </w:tblPr>
      <w:tblGrid>
        <w:gridCol w:w="6120"/>
        <w:gridCol w:w="720"/>
        <w:gridCol w:w="1260"/>
        <w:gridCol w:w="1260"/>
      </w:tblGrid>
      <w:tr w:rsidR="0097090C" w:rsidRPr="00723430" w14:paraId="6AC456F4"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4AF5C07A" w14:textId="77777777" w:rsidR="0097090C" w:rsidRPr="00723430" w:rsidRDefault="0097090C" w:rsidP="0097090C">
            <w:pPr>
              <w:rPr>
                <w:rFonts w:cs="Arial"/>
                <w:b/>
                <w:bCs/>
                <w:color w:val="000000"/>
              </w:rPr>
            </w:pPr>
            <w:r w:rsidRPr="00723430">
              <w:rPr>
                <w:rFonts w:cs="Arial"/>
                <w:b/>
                <w:bCs/>
                <w:color w:val="000000"/>
              </w:rPr>
              <w:t>Land at fair value **</w:t>
            </w:r>
          </w:p>
        </w:tc>
        <w:tc>
          <w:tcPr>
            <w:tcW w:w="720" w:type="dxa"/>
            <w:tcBorders>
              <w:top w:val="single" w:sz="4" w:space="0" w:color="auto"/>
              <w:left w:val="nil"/>
              <w:bottom w:val="nil"/>
              <w:right w:val="nil"/>
            </w:tcBorders>
            <w:shd w:val="clear" w:color="auto" w:fill="auto"/>
            <w:vAlign w:val="center"/>
            <w:hideMark/>
          </w:tcPr>
          <w:p w14:paraId="50E5F125" w14:textId="77777777" w:rsidR="0097090C" w:rsidRPr="00723430" w:rsidRDefault="0097090C" w:rsidP="0097090C">
            <w:pPr>
              <w:jc w:val="center"/>
              <w:rPr>
                <w:rFonts w:cs="Arial"/>
                <w:color w:val="000000"/>
              </w:rPr>
            </w:pPr>
            <w:r w:rsidRPr="00723430">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2060F6B4" w14:textId="77777777" w:rsidR="0097090C" w:rsidRPr="00723430" w:rsidRDefault="0097090C" w:rsidP="0097090C">
            <w:pPr>
              <w:jc w:val="right"/>
              <w:rPr>
                <w:rFonts w:cs="Arial"/>
                <w:color w:val="000000"/>
              </w:rPr>
            </w:pPr>
            <w:r w:rsidRPr="00723430">
              <w:rPr>
                <w:rFonts w:cs="Arial"/>
                <w:color w:val="000000"/>
              </w:rPr>
              <w:t>386,359</w:t>
            </w:r>
          </w:p>
        </w:tc>
        <w:tc>
          <w:tcPr>
            <w:tcW w:w="1260" w:type="dxa"/>
            <w:tcBorders>
              <w:top w:val="single" w:sz="4" w:space="0" w:color="auto"/>
              <w:left w:val="nil"/>
              <w:bottom w:val="nil"/>
              <w:right w:val="nil"/>
            </w:tcBorders>
            <w:shd w:val="clear" w:color="auto" w:fill="auto"/>
            <w:vAlign w:val="center"/>
            <w:hideMark/>
          </w:tcPr>
          <w:p w14:paraId="42E51E33" w14:textId="77777777" w:rsidR="0097090C" w:rsidRPr="00723430" w:rsidRDefault="0097090C" w:rsidP="0097090C">
            <w:pPr>
              <w:jc w:val="right"/>
              <w:rPr>
                <w:rFonts w:cs="Arial"/>
                <w:color w:val="000000"/>
              </w:rPr>
            </w:pPr>
            <w:r w:rsidRPr="00723430">
              <w:rPr>
                <w:rFonts w:cs="Arial"/>
                <w:color w:val="000000"/>
              </w:rPr>
              <w:t>153,982</w:t>
            </w:r>
          </w:p>
        </w:tc>
      </w:tr>
      <w:tr w:rsidR="0097090C" w:rsidRPr="00723430" w14:paraId="68916FFA" w14:textId="77777777" w:rsidTr="0097090C">
        <w:trPr>
          <w:trHeight w:val="255"/>
        </w:trPr>
        <w:tc>
          <w:tcPr>
            <w:tcW w:w="6120" w:type="dxa"/>
            <w:tcBorders>
              <w:top w:val="nil"/>
              <w:left w:val="nil"/>
              <w:bottom w:val="nil"/>
              <w:right w:val="nil"/>
            </w:tcBorders>
            <w:shd w:val="clear" w:color="auto" w:fill="auto"/>
            <w:noWrap/>
            <w:vAlign w:val="center"/>
            <w:hideMark/>
          </w:tcPr>
          <w:p w14:paraId="0948B2F9" w14:textId="77777777" w:rsidR="0097090C" w:rsidRPr="00723430" w:rsidRDefault="0097090C" w:rsidP="0097090C">
            <w:pPr>
              <w:rPr>
                <w:rFonts w:cs="Arial"/>
                <w:b/>
                <w:bCs/>
                <w:color w:val="000000"/>
              </w:rPr>
            </w:pPr>
            <w:r w:rsidRPr="00723430">
              <w:rPr>
                <w:rFonts w:cs="Arial"/>
                <w:b/>
                <w:bCs/>
                <w:color w:val="000000"/>
              </w:rPr>
              <w:t>Buildings at Fair Value **</w:t>
            </w:r>
          </w:p>
        </w:tc>
        <w:tc>
          <w:tcPr>
            <w:tcW w:w="720" w:type="dxa"/>
            <w:tcBorders>
              <w:top w:val="nil"/>
              <w:left w:val="nil"/>
              <w:bottom w:val="nil"/>
              <w:right w:val="nil"/>
            </w:tcBorders>
            <w:shd w:val="clear" w:color="auto" w:fill="auto"/>
            <w:noWrap/>
            <w:vAlign w:val="center"/>
            <w:hideMark/>
          </w:tcPr>
          <w:p w14:paraId="4506B653" w14:textId="77777777" w:rsidR="0097090C" w:rsidRPr="00723430" w:rsidRDefault="0097090C" w:rsidP="0097090C">
            <w:pPr>
              <w:rPr>
                <w:rFonts w:cs="Arial"/>
                <w:color w:val="000000"/>
              </w:rPr>
            </w:pPr>
          </w:p>
        </w:tc>
        <w:tc>
          <w:tcPr>
            <w:tcW w:w="1260" w:type="dxa"/>
            <w:tcBorders>
              <w:top w:val="nil"/>
              <w:left w:val="nil"/>
              <w:bottom w:val="nil"/>
              <w:right w:val="nil"/>
            </w:tcBorders>
            <w:shd w:val="clear" w:color="000000" w:fill="D9D9D9"/>
            <w:noWrap/>
            <w:vAlign w:val="center"/>
            <w:hideMark/>
          </w:tcPr>
          <w:p w14:paraId="2D8D6D03" w14:textId="77777777" w:rsidR="0097090C" w:rsidRPr="00723430" w:rsidRDefault="0097090C" w:rsidP="0097090C">
            <w:pPr>
              <w:rPr>
                <w:rFonts w:cs="Arial"/>
                <w:color w:val="000000"/>
              </w:rPr>
            </w:pPr>
            <w:r w:rsidRPr="00723430">
              <w:rPr>
                <w:rFonts w:cs="Arial"/>
                <w:color w:val="000000"/>
              </w:rPr>
              <w:t> </w:t>
            </w:r>
          </w:p>
        </w:tc>
        <w:tc>
          <w:tcPr>
            <w:tcW w:w="1260" w:type="dxa"/>
            <w:tcBorders>
              <w:top w:val="nil"/>
              <w:left w:val="nil"/>
              <w:bottom w:val="nil"/>
              <w:right w:val="nil"/>
            </w:tcBorders>
            <w:shd w:val="clear" w:color="auto" w:fill="auto"/>
            <w:noWrap/>
            <w:vAlign w:val="center"/>
            <w:hideMark/>
          </w:tcPr>
          <w:p w14:paraId="259BE448" w14:textId="77777777" w:rsidR="0097090C" w:rsidRPr="00723430" w:rsidRDefault="0097090C" w:rsidP="0097090C">
            <w:pPr>
              <w:rPr>
                <w:rFonts w:cs="Arial"/>
                <w:color w:val="000000"/>
              </w:rPr>
            </w:pPr>
          </w:p>
        </w:tc>
      </w:tr>
      <w:tr w:rsidR="0097090C" w:rsidRPr="00723430" w14:paraId="0BBB5918" w14:textId="77777777" w:rsidTr="0097090C">
        <w:trPr>
          <w:trHeight w:val="255"/>
        </w:trPr>
        <w:tc>
          <w:tcPr>
            <w:tcW w:w="6120" w:type="dxa"/>
            <w:tcBorders>
              <w:top w:val="nil"/>
              <w:left w:val="nil"/>
              <w:bottom w:val="nil"/>
              <w:right w:val="nil"/>
            </w:tcBorders>
            <w:shd w:val="clear" w:color="auto" w:fill="auto"/>
            <w:vAlign w:val="center"/>
            <w:hideMark/>
          </w:tcPr>
          <w:p w14:paraId="2E81B126" w14:textId="77777777" w:rsidR="0097090C" w:rsidRPr="00723430" w:rsidRDefault="0097090C" w:rsidP="0097090C">
            <w:pPr>
              <w:rPr>
                <w:rFonts w:cs="Arial"/>
                <w:color w:val="000000"/>
              </w:rPr>
            </w:pPr>
            <w:r w:rsidRPr="00723430">
              <w:rPr>
                <w:rFonts w:cs="Arial"/>
                <w:color w:val="000000"/>
              </w:rPr>
              <w:t>Former ACI Site, including Simcock Avenue Store</w:t>
            </w:r>
          </w:p>
        </w:tc>
        <w:tc>
          <w:tcPr>
            <w:tcW w:w="720" w:type="dxa"/>
            <w:tcBorders>
              <w:top w:val="nil"/>
              <w:left w:val="nil"/>
              <w:bottom w:val="nil"/>
              <w:right w:val="nil"/>
            </w:tcBorders>
            <w:shd w:val="clear" w:color="auto" w:fill="auto"/>
            <w:vAlign w:val="center"/>
            <w:hideMark/>
          </w:tcPr>
          <w:p w14:paraId="4075C4CA"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10B45E4" w14:textId="77777777" w:rsidR="0097090C" w:rsidRPr="00723430" w:rsidRDefault="0097090C" w:rsidP="0097090C">
            <w:pPr>
              <w:jc w:val="right"/>
              <w:rPr>
                <w:rFonts w:cs="Arial"/>
                <w:color w:val="000000"/>
              </w:rPr>
            </w:pPr>
            <w:r w:rsidRPr="00723430">
              <w:rPr>
                <w:rFonts w:cs="Arial"/>
                <w:color w:val="000000"/>
              </w:rPr>
              <w:t>6,510</w:t>
            </w:r>
          </w:p>
        </w:tc>
        <w:tc>
          <w:tcPr>
            <w:tcW w:w="1260" w:type="dxa"/>
            <w:tcBorders>
              <w:top w:val="nil"/>
              <w:left w:val="nil"/>
              <w:bottom w:val="nil"/>
              <w:right w:val="nil"/>
            </w:tcBorders>
            <w:shd w:val="clear" w:color="auto" w:fill="auto"/>
            <w:vAlign w:val="center"/>
            <w:hideMark/>
          </w:tcPr>
          <w:p w14:paraId="2884DA67" w14:textId="77777777" w:rsidR="0097090C" w:rsidRPr="00723430" w:rsidRDefault="0097090C" w:rsidP="0097090C">
            <w:pPr>
              <w:jc w:val="right"/>
              <w:rPr>
                <w:rFonts w:cs="Arial"/>
                <w:color w:val="000000"/>
              </w:rPr>
            </w:pPr>
            <w:r w:rsidRPr="00723430">
              <w:rPr>
                <w:rFonts w:cs="Arial"/>
                <w:color w:val="000000"/>
              </w:rPr>
              <w:t>1,570</w:t>
            </w:r>
          </w:p>
        </w:tc>
      </w:tr>
      <w:tr w:rsidR="0097090C" w:rsidRPr="00723430" w14:paraId="74960F1F" w14:textId="77777777" w:rsidTr="0097090C">
        <w:trPr>
          <w:trHeight w:val="255"/>
        </w:trPr>
        <w:tc>
          <w:tcPr>
            <w:tcW w:w="6120" w:type="dxa"/>
            <w:tcBorders>
              <w:top w:val="nil"/>
              <w:left w:val="nil"/>
              <w:bottom w:val="nil"/>
              <w:right w:val="nil"/>
            </w:tcBorders>
            <w:shd w:val="clear" w:color="auto" w:fill="auto"/>
            <w:vAlign w:val="center"/>
            <w:hideMark/>
          </w:tcPr>
          <w:p w14:paraId="2D55AB20" w14:textId="77777777" w:rsidR="0097090C" w:rsidRPr="00723430" w:rsidRDefault="0097090C" w:rsidP="0097090C">
            <w:pPr>
              <w:rPr>
                <w:rFonts w:cs="Arial"/>
                <w:color w:val="000000"/>
              </w:rPr>
            </w:pPr>
            <w:r w:rsidRPr="00723430">
              <w:rPr>
                <w:rFonts w:cs="Arial"/>
                <w:color w:val="000000"/>
              </w:rPr>
              <w:t>Scienceworks</w:t>
            </w:r>
          </w:p>
        </w:tc>
        <w:tc>
          <w:tcPr>
            <w:tcW w:w="720" w:type="dxa"/>
            <w:tcBorders>
              <w:top w:val="nil"/>
              <w:left w:val="nil"/>
              <w:bottom w:val="nil"/>
              <w:right w:val="nil"/>
            </w:tcBorders>
            <w:shd w:val="clear" w:color="auto" w:fill="auto"/>
            <w:vAlign w:val="center"/>
            <w:hideMark/>
          </w:tcPr>
          <w:p w14:paraId="4A92ABB3"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77D1D5A4" w14:textId="77777777" w:rsidR="0097090C" w:rsidRPr="00723430" w:rsidRDefault="0097090C" w:rsidP="0097090C">
            <w:pPr>
              <w:jc w:val="right"/>
              <w:rPr>
                <w:rFonts w:cs="Arial"/>
                <w:color w:val="000000"/>
              </w:rPr>
            </w:pPr>
            <w:r>
              <w:rPr>
                <w:rFonts w:cs="Arial"/>
                <w:color w:val="000000"/>
              </w:rPr>
              <w:t>28,290</w:t>
            </w:r>
          </w:p>
        </w:tc>
        <w:tc>
          <w:tcPr>
            <w:tcW w:w="1260" w:type="dxa"/>
            <w:tcBorders>
              <w:top w:val="nil"/>
              <w:left w:val="nil"/>
              <w:bottom w:val="nil"/>
              <w:right w:val="nil"/>
            </w:tcBorders>
            <w:shd w:val="clear" w:color="auto" w:fill="auto"/>
            <w:vAlign w:val="center"/>
            <w:hideMark/>
          </w:tcPr>
          <w:p w14:paraId="47FDF468" w14:textId="77777777" w:rsidR="0097090C" w:rsidRPr="00723430" w:rsidRDefault="0097090C" w:rsidP="0097090C">
            <w:pPr>
              <w:jc w:val="right"/>
              <w:rPr>
                <w:rFonts w:cs="Arial"/>
                <w:color w:val="000000"/>
              </w:rPr>
            </w:pPr>
            <w:r w:rsidRPr="00723430">
              <w:rPr>
                <w:rFonts w:cs="Arial"/>
                <w:color w:val="000000"/>
              </w:rPr>
              <w:t>20,192</w:t>
            </w:r>
          </w:p>
        </w:tc>
      </w:tr>
      <w:tr w:rsidR="0097090C" w:rsidRPr="00723430" w14:paraId="4667D539" w14:textId="77777777" w:rsidTr="0097090C">
        <w:trPr>
          <w:trHeight w:val="255"/>
        </w:trPr>
        <w:tc>
          <w:tcPr>
            <w:tcW w:w="6120" w:type="dxa"/>
            <w:tcBorders>
              <w:top w:val="nil"/>
              <w:left w:val="nil"/>
              <w:bottom w:val="nil"/>
              <w:right w:val="nil"/>
            </w:tcBorders>
            <w:shd w:val="clear" w:color="auto" w:fill="auto"/>
            <w:vAlign w:val="center"/>
            <w:hideMark/>
          </w:tcPr>
          <w:p w14:paraId="3BCF1432" w14:textId="77777777" w:rsidR="0097090C" w:rsidRPr="00723430" w:rsidRDefault="0097090C" w:rsidP="0097090C">
            <w:pPr>
              <w:rPr>
                <w:rFonts w:cs="Arial"/>
                <w:color w:val="000000"/>
              </w:rPr>
            </w:pPr>
            <w:r w:rsidRPr="00723430">
              <w:rPr>
                <w:rFonts w:cs="Arial"/>
                <w:color w:val="000000"/>
              </w:rPr>
              <w:t>Royal Exhibition Building</w:t>
            </w:r>
          </w:p>
        </w:tc>
        <w:tc>
          <w:tcPr>
            <w:tcW w:w="720" w:type="dxa"/>
            <w:tcBorders>
              <w:top w:val="nil"/>
              <w:left w:val="nil"/>
              <w:bottom w:val="nil"/>
              <w:right w:val="nil"/>
            </w:tcBorders>
            <w:shd w:val="clear" w:color="auto" w:fill="auto"/>
            <w:vAlign w:val="center"/>
            <w:hideMark/>
          </w:tcPr>
          <w:p w14:paraId="1246866D"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69FC948" w14:textId="77777777" w:rsidR="0097090C" w:rsidRPr="00723430" w:rsidRDefault="0097090C" w:rsidP="0097090C">
            <w:pPr>
              <w:jc w:val="right"/>
              <w:rPr>
                <w:rFonts w:cs="Arial"/>
                <w:color w:val="000000"/>
              </w:rPr>
            </w:pPr>
            <w:r w:rsidRPr="00723430">
              <w:rPr>
                <w:rFonts w:cs="Arial"/>
                <w:color w:val="000000"/>
              </w:rPr>
              <w:t>84,260</w:t>
            </w:r>
          </w:p>
        </w:tc>
        <w:tc>
          <w:tcPr>
            <w:tcW w:w="1260" w:type="dxa"/>
            <w:tcBorders>
              <w:top w:val="nil"/>
              <w:left w:val="nil"/>
              <w:bottom w:val="nil"/>
              <w:right w:val="nil"/>
            </w:tcBorders>
            <w:shd w:val="clear" w:color="auto" w:fill="auto"/>
            <w:vAlign w:val="center"/>
            <w:hideMark/>
          </w:tcPr>
          <w:p w14:paraId="2AF9A626" w14:textId="77777777" w:rsidR="0097090C" w:rsidRPr="00723430" w:rsidRDefault="0097090C" w:rsidP="0097090C">
            <w:pPr>
              <w:jc w:val="right"/>
              <w:rPr>
                <w:rFonts w:cs="Arial"/>
                <w:color w:val="000000"/>
              </w:rPr>
            </w:pPr>
            <w:r w:rsidRPr="00723430">
              <w:rPr>
                <w:rFonts w:cs="Arial"/>
                <w:color w:val="000000"/>
              </w:rPr>
              <w:t>43,111</w:t>
            </w:r>
          </w:p>
        </w:tc>
      </w:tr>
      <w:tr w:rsidR="0097090C" w:rsidRPr="00723430" w14:paraId="72ED1325" w14:textId="77777777" w:rsidTr="0097090C">
        <w:trPr>
          <w:trHeight w:val="255"/>
        </w:trPr>
        <w:tc>
          <w:tcPr>
            <w:tcW w:w="6120" w:type="dxa"/>
            <w:tcBorders>
              <w:top w:val="nil"/>
              <w:left w:val="nil"/>
              <w:bottom w:val="nil"/>
              <w:right w:val="nil"/>
            </w:tcBorders>
            <w:shd w:val="clear" w:color="auto" w:fill="auto"/>
            <w:vAlign w:val="center"/>
            <w:hideMark/>
          </w:tcPr>
          <w:p w14:paraId="186BC83F" w14:textId="77777777" w:rsidR="0097090C" w:rsidRPr="00723430" w:rsidRDefault="0097090C" w:rsidP="0097090C">
            <w:pPr>
              <w:rPr>
                <w:rFonts w:cs="Arial"/>
                <w:color w:val="000000"/>
              </w:rPr>
            </w:pPr>
            <w:r w:rsidRPr="00723430">
              <w:rPr>
                <w:rFonts w:cs="Arial"/>
                <w:color w:val="000000"/>
              </w:rPr>
              <w:t>Immigration Museum</w:t>
            </w:r>
          </w:p>
        </w:tc>
        <w:tc>
          <w:tcPr>
            <w:tcW w:w="720" w:type="dxa"/>
            <w:tcBorders>
              <w:top w:val="nil"/>
              <w:left w:val="nil"/>
              <w:bottom w:val="nil"/>
              <w:right w:val="nil"/>
            </w:tcBorders>
            <w:shd w:val="clear" w:color="auto" w:fill="auto"/>
            <w:vAlign w:val="center"/>
            <w:hideMark/>
          </w:tcPr>
          <w:p w14:paraId="79EDD8DF"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4A5E7DC" w14:textId="77777777" w:rsidR="0097090C" w:rsidRPr="00723430" w:rsidRDefault="0097090C" w:rsidP="0097090C">
            <w:pPr>
              <w:jc w:val="right"/>
              <w:rPr>
                <w:rFonts w:cs="Arial"/>
                <w:color w:val="000000"/>
              </w:rPr>
            </w:pPr>
            <w:r w:rsidRPr="00723430">
              <w:rPr>
                <w:rFonts w:cs="Arial"/>
                <w:color w:val="000000"/>
              </w:rPr>
              <w:t>24,580</w:t>
            </w:r>
          </w:p>
        </w:tc>
        <w:tc>
          <w:tcPr>
            <w:tcW w:w="1260" w:type="dxa"/>
            <w:tcBorders>
              <w:top w:val="nil"/>
              <w:left w:val="nil"/>
              <w:bottom w:val="nil"/>
              <w:right w:val="nil"/>
            </w:tcBorders>
            <w:shd w:val="clear" w:color="auto" w:fill="auto"/>
            <w:vAlign w:val="center"/>
            <w:hideMark/>
          </w:tcPr>
          <w:p w14:paraId="5BBCBEB5" w14:textId="77777777" w:rsidR="0097090C" w:rsidRPr="00723430" w:rsidRDefault="0097090C" w:rsidP="0097090C">
            <w:pPr>
              <w:jc w:val="right"/>
              <w:rPr>
                <w:rFonts w:cs="Arial"/>
                <w:color w:val="000000"/>
              </w:rPr>
            </w:pPr>
            <w:r w:rsidRPr="00723430">
              <w:rPr>
                <w:rFonts w:cs="Arial"/>
                <w:color w:val="000000"/>
              </w:rPr>
              <w:t>13,936</w:t>
            </w:r>
          </w:p>
        </w:tc>
      </w:tr>
      <w:tr w:rsidR="0097090C" w:rsidRPr="00723430" w14:paraId="7356BB81" w14:textId="77777777" w:rsidTr="0097090C">
        <w:trPr>
          <w:trHeight w:val="255"/>
        </w:trPr>
        <w:tc>
          <w:tcPr>
            <w:tcW w:w="6120" w:type="dxa"/>
            <w:tcBorders>
              <w:top w:val="nil"/>
              <w:left w:val="nil"/>
              <w:bottom w:val="nil"/>
              <w:right w:val="nil"/>
            </w:tcBorders>
            <w:shd w:val="clear" w:color="auto" w:fill="auto"/>
            <w:vAlign w:val="center"/>
            <w:hideMark/>
          </w:tcPr>
          <w:p w14:paraId="0C047A24" w14:textId="77777777" w:rsidR="0097090C" w:rsidRPr="00723430" w:rsidRDefault="0097090C" w:rsidP="0097090C">
            <w:pPr>
              <w:rPr>
                <w:rFonts w:cs="Arial"/>
                <w:color w:val="000000"/>
              </w:rPr>
            </w:pPr>
            <w:r w:rsidRPr="00723430">
              <w:rPr>
                <w:rFonts w:cs="Arial"/>
                <w:color w:val="000000"/>
              </w:rPr>
              <w:t>Moreland Store</w:t>
            </w:r>
          </w:p>
        </w:tc>
        <w:tc>
          <w:tcPr>
            <w:tcW w:w="720" w:type="dxa"/>
            <w:tcBorders>
              <w:top w:val="nil"/>
              <w:left w:val="nil"/>
              <w:bottom w:val="nil"/>
              <w:right w:val="nil"/>
            </w:tcBorders>
            <w:shd w:val="clear" w:color="auto" w:fill="auto"/>
            <w:vAlign w:val="center"/>
            <w:hideMark/>
          </w:tcPr>
          <w:p w14:paraId="22CE68C2"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3959E5C" w14:textId="77777777" w:rsidR="0097090C" w:rsidRPr="00723430" w:rsidRDefault="0097090C" w:rsidP="0097090C">
            <w:pPr>
              <w:jc w:val="right"/>
              <w:rPr>
                <w:rFonts w:cs="Arial"/>
                <w:color w:val="000000"/>
              </w:rPr>
            </w:pPr>
            <w:r w:rsidRPr="00723430">
              <w:rPr>
                <w:rFonts w:cs="Arial"/>
                <w:color w:val="000000"/>
              </w:rPr>
              <w:t>12,260</w:t>
            </w:r>
          </w:p>
        </w:tc>
        <w:tc>
          <w:tcPr>
            <w:tcW w:w="1260" w:type="dxa"/>
            <w:tcBorders>
              <w:top w:val="nil"/>
              <w:left w:val="nil"/>
              <w:bottom w:val="nil"/>
              <w:right w:val="nil"/>
            </w:tcBorders>
            <w:shd w:val="clear" w:color="auto" w:fill="auto"/>
            <w:vAlign w:val="center"/>
            <w:hideMark/>
          </w:tcPr>
          <w:p w14:paraId="7DE91EFD" w14:textId="77777777" w:rsidR="0097090C" w:rsidRPr="00723430" w:rsidRDefault="0097090C" w:rsidP="0097090C">
            <w:pPr>
              <w:jc w:val="right"/>
              <w:rPr>
                <w:rFonts w:cs="Arial"/>
                <w:color w:val="000000"/>
              </w:rPr>
            </w:pPr>
            <w:r w:rsidRPr="00723430">
              <w:rPr>
                <w:rFonts w:cs="Arial"/>
                <w:color w:val="000000"/>
              </w:rPr>
              <w:t>7,611</w:t>
            </w:r>
          </w:p>
        </w:tc>
      </w:tr>
      <w:tr w:rsidR="0097090C" w:rsidRPr="00723430" w14:paraId="73B85CC8"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61643DC5" w14:textId="77777777" w:rsidR="0097090C" w:rsidRPr="00723430" w:rsidRDefault="0097090C" w:rsidP="0097090C">
            <w:pPr>
              <w:rPr>
                <w:rFonts w:cs="Arial"/>
                <w:color w:val="000000"/>
              </w:rPr>
            </w:pPr>
            <w:r w:rsidRPr="00723430">
              <w:rPr>
                <w:rFonts w:cs="Arial"/>
                <w:color w:val="000000"/>
              </w:rPr>
              <w:t>Melbourne Museum (including IMAX)</w:t>
            </w:r>
          </w:p>
        </w:tc>
        <w:tc>
          <w:tcPr>
            <w:tcW w:w="720" w:type="dxa"/>
            <w:tcBorders>
              <w:top w:val="nil"/>
              <w:left w:val="nil"/>
              <w:bottom w:val="single" w:sz="4" w:space="0" w:color="auto"/>
              <w:right w:val="nil"/>
            </w:tcBorders>
            <w:shd w:val="clear" w:color="auto" w:fill="auto"/>
            <w:vAlign w:val="center"/>
            <w:hideMark/>
          </w:tcPr>
          <w:p w14:paraId="5DA29CC9" w14:textId="77777777" w:rsidR="0097090C" w:rsidRPr="00723430" w:rsidRDefault="0097090C" w:rsidP="0097090C">
            <w:pPr>
              <w:jc w:val="center"/>
              <w:rPr>
                <w:rFonts w:cs="Arial"/>
                <w:color w:val="000000"/>
              </w:rPr>
            </w:pPr>
            <w:r w:rsidRPr="00723430">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4265AC47" w14:textId="77777777" w:rsidR="0097090C" w:rsidRPr="00723430" w:rsidRDefault="0097090C" w:rsidP="0097090C">
            <w:pPr>
              <w:jc w:val="right"/>
              <w:rPr>
                <w:rFonts w:cs="Arial"/>
                <w:color w:val="000000"/>
              </w:rPr>
            </w:pPr>
            <w:r w:rsidRPr="00723430">
              <w:rPr>
                <w:rFonts w:cs="Arial"/>
                <w:color w:val="000000"/>
              </w:rPr>
              <w:t>356,560</w:t>
            </w:r>
          </w:p>
        </w:tc>
        <w:tc>
          <w:tcPr>
            <w:tcW w:w="1260" w:type="dxa"/>
            <w:tcBorders>
              <w:top w:val="nil"/>
              <w:left w:val="nil"/>
              <w:bottom w:val="single" w:sz="4" w:space="0" w:color="auto"/>
              <w:right w:val="nil"/>
            </w:tcBorders>
            <w:shd w:val="clear" w:color="auto" w:fill="auto"/>
            <w:vAlign w:val="center"/>
            <w:hideMark/>
          </w:tcPr>
          <w:p w14:paraId="518EF0CA" w14:textId="77777777" w:rsidR="0097090C" w:rsidRPr="00723430" w:rsidRDefault="0097090C" w:rsidP="0097090C">
            <w:pPr>
              <w:jc w:val="right"/>
              <w:rPr>
                <w:rFonts w:cs="Arial"/>
                <w:color w:val="000000"/>
              </w:rPr>
            </w:pPr>
            <w:r w:rsidRPr="00723430">
              <w:rPr>
                <w:rFonts w:cs="Arial"/>
                <w:color w:val="000000"/>
              </w:rPr>
              <w:t>299,542</w:t>
            </w:r>
          </w:p>
        </w:tc>
      </w:tr>
      <w:tr w:rsidR="0097090C" w:rsidRPr="00723430" w14:paraId="61F81F35" w14:textId="77777777" w:rsidTr="0097090C">
        <w:trPr>
          <w:trHeight w:val="255"/>
        </w:trPr>
        <w:tc>
          <w:tcPr>
            <w:tcW w:w="6120" w:type="dxa"/>
            <w:tcBorders>
              <w:top w:val="nil"/>
              <w:left w:val="nil"/>
              <w:bottom w:val="nil"/>
              <w:right w:val="nil"/>
            </w:tcBorders>
            <w:shd w:val="clear" w:color="auto" w:fill="auto"/>
            <w:vAlign w:val="center"/>
            <w:hideMark/>
          </w:tcPr>
          <w:p w14:paraId="02CC57FA" w14:textId="77777777" w:rsidR="0097090C" w:rsidRPr="00723430" w:rsidRDefault="0097090C" w:rsidP="0097090C">
            <w:pPr>
              <w:rPr>
                <w:rFonts w:cs="Arial"/>
                <w:color w:val="000000"/>
              </w:rPr>
            </w:pPr>
          </w:p>
        </w:tc>
        <w:tc>
          <w:tcPr>
            <w:tcW w:w="720" w:type="dxa"/>
            <w:tcBorders>
              <w:top w:val="nil"/>
              <w:left w:val="nil"/>
              <w:bottom w:val="nil"/>
              <w:right w:val="nil"/>
            </w:tcBorders>
            <w:shd w:val="clear" w:color="auto" w:fill="auto"/>
            <w:vAlign w:val="center"/>
            <w:hideMark/>
          </w:tcPr>
          <w:p w14:paraId="7457B3E9"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39DE449" w14:textId="77777777" w:rsidR="0097090C" w:rsidRPr="00723430" w:rsidRDefault="0097090C" w:rsidP="0097090C">
            <w:pPr>
              <w:jc w:val="right"/>
              <w:rPr>
                <w:rFonts w:cs="Arial"/>
                <w:color w:val="000000"/>
              </w:rPr>
            </w:pPr>
            <w:r>
              <w:rPr>
                <w:rFonts w:cs="Arial"/>
                <w:color w:val="000000"/>
              </w:rPr>
              <w:t>512,460</w:t>
            </w:r>
          </w:p>
        </w:tc>
        <w:tc>
          <w:tcPr>
            <w:tcW w:w="1260" w:type="dxa"/>
            <w:tcBorders>
              <w:top w:val="nil"/>
              <w:left w:val="nil"/>
              <w:bottom w:val="nil"/>
              <w:right w:val="nil"/>
            </w:tcBorders>
            <w:shd w:val="clear" w:color="auto" w:fill="auto"/>
            <w:vAlign w:val="center"/>
            <w:hideMark/>
          </w:tcPr>
          <w:p w14:paraId="3B4BB1FE" w14:textId="77777777" w:rsidR="0097090C" w:rsidRPr="00723430" w:rsidRDefault="0097090C" w:rsidP="0097090C">
            <w:pPr>
              <w:jc w:val="right"/>
              <w:rPr>
                <w:rFonts w:cs="Arial"/>
                <w:color w:val="000000"/>
              </w:rPr>
            </w:pPr>
            <w:r w:rsidRPr="00723430">
              <w:rPr>
                <w:rFonts w:cs="Arial"/>
                <w:color w:val="000000"/>
              </w:rPr>
              <w:t>385,962</w:t>
            </w:r>
          </w:p>
        </w:tc>
      </w:tr>
      <w:tr w:rsidR="0097090C" w:rsidRPr="00723430" w14:paraId="73E8E7B2" w14:textId="77777777" w:rsidTr="0097090C">
        <w:trPr>
          <w:trHeight w:val="255"/>
        </w:trPr>
        <w:tc>
          <w:tcPr>
            <w:tcW w:w="6120" w:type="dxa"/>
            <w:tcBorders>
              <w:top w:val="nil"/>
              <w:left w:val="nil"/>
              <w:bottom w:val="nil"/>
              <w:right w:val="nil"/>
            </w:tcBorders>
            <w:shd w:val="clear" w:color="auto" w:fill="auto"/>
            <w:vAlign w:val="center"/>
            <w:hideMark/>
          </w:tcPr>
          <w:p w14:paraId="06D22E77" w14:textId="77777777" w:rsidR="0097090C" w:rsidRPr="00723430" w:rsidRDefault="0097090C" w:rsidP="0097090C">
            <w:pPr>
              <w:rPr>
                <w:rFonts w:cs="Arial"/>
                <w:b/>
                <w:bCs/>
                <w:color w:val="000000"/>
              </w:rPr>
            </w:pPr>
            <w:r w:rsidRPr="00723430">
              <w:rPr>
                <w:rFonts w:cs="Arial"/>
                <w:b/>
                <w:bCs/>
                <w:color w:val="000000"/>
              </w:rPr>
              <w:t>Less Accumulated Depreciation</w:t>
            </w:r>
          </w:p>
        </w:tc>
        <w:tc>
          <w:tcPr>
            <w:tcW w:w="720" w:type="dxa"/>
            <w:tcBorders>
              <w:top w:val="nil"/>
              <w:left w:val="nil"/>
              <w:bottom w:val="nil"/>
              <w:right w:val="nil"/>
            </w:tcBorders>
            <w:shd w:val="clear" w:color="auto" w:fill="auto"/>
            <w:vAlign w:val="center"/>
            <w:hideMark/>
          </w:tcPr>
          <w:p w14:paraId="484D4886"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7E4067C" w14:textId="77777777" w:rsidR="0097090C" w:rsidRPr="00723430" w:rsidRDefault="0097090C" w:rsidP="0097090C">
            <w:pPr>
              <w:jc w:val="right"/>
              <w:rPr>
                <w:rFonts w:cs="Arial"/>
                <w:color w:val="000000"/>
              </w:rPr>
            </w:pPr>
            <w:r w:rsidRPr="00723430">
              <w:rPr>
                <w:rFonts w:cs="Arial"/>
                <w:color w:val="000000"/>
              </w:rPr>
              <w:t> </w:t>
            </w:r>
          </w:p>
        </w:tc>
        <w:tc>
          <w:tcPr>
            <w:tcW w:w="1260" w:type="dxa"/>
            <w:tcBorders>
              <w:top w:val="nil"/>
              <w:left w:val="nil"/>
              <w:bottom w:val="nil"/>
              <w:right w:val="nil"/>
            </w:tcBorders>
            <w:shd w:val="clear" w:color="auto" w:fill="auto"/>
            <w:vAlign w:val="center"/>
            <w:hideMark/>
          </w:tcPr>
          <w:p w14:paraId="61D999AA" w14:textId="77777777" w:rsidR="0097090C" w:rsidRPr="00723430" w:rsidRDefault="0097090C" w:rsidP="0097090C">
            <w:pPr>
              <w:jc w:val="right"/>
              <w:rPr>
                <w:rFonts w:cs="Arial"/>
                <w:color w:val="000000"/>
              </w:rPr>
            </w:pPr>
          </w:p>
        </w:tc>
      </w:tr>
      <w:tr w:rsidR="0097090C" w:rsidRPr="00723430" w14:paraId="4997242D" w14:textId="77777777" w:rsidTr="0097090C">
        <w:trPr>
          <w:trHeight w:val="255"/>
        </w:trPr>
        <w:tc>
          <w:tcPr>
            <w:tcW w:w="6120" w:type="dxa"/>
            <w:tcBorders>
              <w:top w:val="nil"/>
              <w:left w:val="nil"/>
              <w:bottom w:val="nil"/>
              <w:right w:val="nil"/>
            </w:tcBorders>
            <w:shd w:val="clear" w:color="auto" w:fill="auto"/>
            <w:vAlign w:val="center"/>
            <w:hideMark/>
          </w:tcPr>
          <w:p w14:paraId="490D88CE" w14:textId="77777777" w:rsidR="0097090C" w:rsidRPr="00723430" w:rsidRDefault="0097090C" w:rsidP="0097090C">
            <w:pPr>
              <w:rPr>
                <w:rFonts w:cs="Arial"/>
                <w:color w:val="000000"/>
              </w:rPr>
            </w:pPr>
            <w:r w:rsidRPr="00723430">
              <w:rPr>
                <w:rFonts w:cs="Arial"/>
                <w:color w:val="000000"/>
              </w:rPr>
              <w:t>Former ACI site including Simcock Avenue store</w:t>
            </w:r>
          </w:p>
        </w:tc>
        <w:tc>
          <w:tcPr>
            <w:tcW w:w="720" w:type="dxa"/>
            <w:tcBorders>
              <w:top w:val="nil"/>
              <w:left w:val="nil"/>
              <w:bottom w:val="nil"/>
              <w:right w:val="nil"/>
            </w:tcBorders>
            <w:shd w:val="clear" w:color="auto" w:fill="auto"/>
            <w:vAlign w:val="center"/>
            <w:hideMark/>
          </w:tcPr>
          <w:p w14:paraId="27462B77"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49FE4BE5" w14:textId="77777777" w:rsidR="0097090C" w:rsidRPr="00723430" w:rsidRDefault="0097090C" w:rsidP="0097090C">
            <w:pPr>
              <w:jc w:val="right"/>
              <w:rPr>
                <w:rFonts w:cs="Arial"/>
                <w:color w:val="000000"/>
              </w:rPr>
            </w:pPr>
            <w:r w:rsidRPr="00723430">
              <w:rPr>
                <w:rFonts w:cs="Arial"/>
                <w:color w:val="000000"/>
              </w:rPr>
              <w:t>0</w:t>
            </w:r>
          </w:p>
        </w:tc>
        <w:tc>
          <w:tcPr>
            <w:tcW w:w="1260" w:type="dxa"/>
            <w:tcBorders>
              <w:top w:val="nil"/>
              <w:left w:val="nil"/>
              <w:bottom w:val="nil"/>
              <w:right w:val="nil"/>
            </w:tcBorders>
            <w:shd w:val="clear" w:color="auto" w:fill="auto"/>
            <w:vAlign w:val="center"/>
            <w:hideMark/>
          </w:tcPr>
          <w:p w14:paraId="3BB27DF6" w14:textId="77777777" w:rsidR="0097090C" w:rsidRPr="00723430" w:rsidRDefault="0097090C" w:rsidP="0097090C">
            <w:pPr>
              <w:jc w:val="right"/>
              <w:rPr>
                <w:rFonts w:cs="Arial"/>
                <w:color w:val="000000"/>
              </w:rPr>
            </w:pPr>
            <w:r w:rsidRPr="00723430">
              <w:rPr>
                <w:rFonts w:cs="Arial"/>
                <w:color w:val="000000"/>
              </w:rPr>
              <w:t>(431)</w:t>
            </w:r>
          </w:p>
        </w:tc>
      </w:tr>
      <w:tr w:rsidR="0097090C" w:rsidRPr="00723430" w14:paraId="501D8C1D" w14:textId="77777777" w:rsidTr="0097090C">
        <w:trPr>
          <w:trHeight w:val="255"/>
        </w:trPr>
        <w:tc>
          <w:tcPr>
            <w:tcW w:w="6120" w:type="dxa"/>
            <w:tcBorders>
              <w:top w:val="nil"/>
              <w:left w:val="nil"/>
              <w:bottom w:val="nil"/>
              <w:right w:val="nil"/>
            </w:tcBorders>
            <w:shd w:val="clear" w:color="auto" w:fill="auto"/>
            <w:vAlign w:val="center"/>
            <w:hideMark/>
          </w:tcPr>
          <w:p w14:paraId="4653BC12" w14:textId="77777777" w:rsidR="0097090C" w:rsidRPr="00723430" w:rsidRDefault="0097090C" w:rsidP="0097090C">
            <w:pPr>
              <w:rPr>
                <w:rFonts w:cs="Arial"/>
                <w:color w:val="000000"/>
              </w:rPr>
            </w:pPr>
            <w:r w:rsidRPr="00723430">
              <w:rPr>
                <w:rFonts w:cs="Arial"/>
                <w:color w:val="000000"/>
              </w:rPr>
              <w:t>Scienceworks</w:t>
            </w:r>
          </w:p>
        </w:tc>
        <w:tc>
          <w:tcPr>
            <w:tcW w:w="720" w:type="dxa"/>
            <w:tcBorders>
              <w:top w:val="nil"/>
              <w:left w:val="nil"/>
              <w:bottom w:val="nil"/>
              <w:right w:val="nil"/>
            </w:tcBorders>
            <w:shd w:val="clear" w:color="auto" w:fill="auto"/>
            <w:vAlign w:val="center"/>
            <w:hideMark/>
          </w:tcPr>
          <w:p w14:paraId="1562E3B2"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DC5DF63" w14:textId="77777777" w:rsidR="0097090C" w:rsidRPr="00723430" w:rsidRDefault="0097090C" w:rsidP="0097090C">
            <w:pPr>
              <w:jc w:val="right"/>
              <w:rPr>
                <w:rFonts w:cs="Arial"/>
                <w:color w:val="000000"/>
              </w:rPr>
            </w:pPr>
            <w:r w:rsidRPr="00723430">
              <w:rPr>
                <w:rFonts w:cs="Arial"/>
                <w:color w:val="000000"/>
              </w:rPr>
              <w:t>0</w:t>
            </w:r>
          </w:p>
        </w:tc>
        <w:tc>
          <w:tcPr>
            <w:tcW w:w="1260" w:type="dxa"/>
            <w:tcBorders>
              <w:top w:val="nil"/>
              <w:left w:val="nil"/>
              <w:bottom w:val="nil"/>
              <w:right w:val="nil"/>
            </w:tcBorders>
            <w:shd w:val="clear" w:color="auto" w:fill="auto"/>
            <w:vAlign w:val="center"/>
            <w:hideMark/>
          </w:tcPr>
          <w:p w14:paraId="7B178385" w14:textId="77777777" w:rsidR="0097090C" w:rsidRPr="00723430" w:rsidRDefault="0097090C" w:rsidP="0097090C">
            <w:pPr>
              <w:jc w:val="right"/>
              <w:rPr>
                <w:rFonts w:cs="Arial"/>
                <w:color w:val="000000"/>
              </w:rPr>
            </w:pPr>
            <w:r w:rsidRPr="00723430">
              <w:rPr>
                <w:rFonts w:cs="Arial"/>
                <w:color w:val="000000"/>
              </w:rPr>
              <w:t>(4,093)</w:t>
            </w:r>
          </w:p>
        </w:tc>
      </w:tr>
      <w:tr w:rsidR="0097090C" w:rsidRPr="00723430" w14:paraId="25EC1445" w14:textId="77777777" w:rsidTr="0097090C">
        <w:trPr>
          <w:trHeight w:val="255"/>
        </w:trPr>
        <w:tc>
          <w:tcPr>
            <w:tcW w:w="6120" w:type="dxa"/>
            <w:tcBorders>
              <w:top w:val="nil"/>
              <w:left w:val="nil"/>
              <w:bottom w:val="nil"/>
              <w:right w:val="nil"/>
            </w:tcBorders>
            <w:shd w:val="clear" w:color="auto" w:fill="auto"/>
            <w:vAlign w:val="center"/>
            <w:hideMark/>
          </w:tcPr>
          <w:p w14:paraId="189505AF" w14:textId="77777777" w:rsidR="0097090C" w:rsidRPr="00723430" w:rsidRDefault="0097090C" w:rsidP="0097090C">
            <w:pPr>
              <w:rPr>
                <w:rFonts w:cs="Arial"/>
                <w:color w:val="000000"/>
              </w:rPr>
            </w:pPr>
            <w:r w:rsidRPr="00723430">
              <w:rPr>
                <w:rFonts w:cs="Arial"/>
                <w:color w:val="000000"/>
              </w:rPr>
              <w:t>Royal Exhibition Building</w:t>
            </w:r>
          </w:p>
        </w:tc>
        <w:tc>
          <w:tcPr>
            <w:tcW w:w="720" w:type="dxa"/>
            <w:tcBorders>
              <w:top w:val="nil"/>
              <w:left w:val="nil"/>
              <w:bottom w:val="nil"/>
              <w:right w:val="nil"/>
            </w:tcBorders>
            <w:shd w:val="clear" w:color="auto" w:fill="auto"/>
            <w:vAlign w:val="center"/>
            <w:hideMark/>
          </w:tcPr>
          <w:p w14:paraId="2807D98D"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031BAEE" w14:textId="77777777" w:rsidR="0097090C" w:rsidRPr="00723430" w:rsidRDefault="0097090C" w:rsidP="0097090C">
            <w:pPr>
              <w:jc w:val="right"/>
              <w:rPr>
                <w:rFonts w:cs="Arial"/>
                <w:color w:val="000000"/>
              </w:rPr>
            </w:pPr>
            <w:r w:rsidRPr="00723430">
              <w:rPr>
                <w:rFonts w:cs="Arial"/>
                <w:color w:val="000000"/>
              </w:rPr>
              <w:t>0</w:t>
            </w:r>
          </w:p>
        </w:tc>
        <w:tc>
          <w:tcPr>
            <w:tcW w:w="1260" w:type="dxa"/>
            <w:tcBorders>
              <w:top w:val="nil"/>
              <w:left w:val="nil"/>
              <w:bottom w:val="nil"/>
              <w:right w:val="nil"/>
            </w:tcBorders>
            <w:shd w:val="clear" w:color="auto" w:fill="auto"/>
            <w:vAlign w:val="center"/>
            <w:hideMark/>
          </w:tcPr>
          <w:p w14:paraId="1EDD2BF5" w14:textId="77777777" w:rsidR="0097090C" w:rsidRPr="00723430" w:rsidRDefault="0097090C" w:rsidP="0097090C">
            <w:pPr>
              <w:jc w:val="right"/>
              <w:rPr>
                <w:rFonts w:cs="Arial"/>
                <w:color w:val="000000"/>
              </w:rPr>
            </w:pPr>
            <w:r w:rsidRPr="00723430">
              <w:rPr>
                <w:rFonts w:cs="Arial"/>
                <w:color w:val="000000"/>
              </w:rPr>
              <w:t>(7,307)</w:t>
            </w:r>
          </w:p>
        </w:tc>
      </w:tr>
      <w:tr w:rsidR="0097090C" w:rsidRPr="00723430" w14:paraId="243D1C4C" w14:textId="77777777" w:rsidTr="0097090C">
        <w:trPr>
          <w:trHeight w:val="255"/>
        </w:trPr>
        <w:tc>
          <w:tcPr>
            <w:tcW w:w="6120" w:type="dxa"/>
            <w:tcBorders>
              <w:top w:val="nil"/>
              <w:left w:val="nil"/>
              <w:bottom w:val="nil"/>
              <w:right w:val="nil"/>
            </w:tcBorders>
            <w:shd w:val="clear" w:color="auto" w:fill="auto"/>
            <w:vAlign w:val="center"/>
            <w:hideMark/>
          </w:tcPr>
          <w:p w14:paraId="6CD272BB" w14:textId="77777777" w:rsidR="0097090C" w:rsidRPr="00723430" w:rsidRDefault="0097090C" w:rsidP="0097090C">
            <w:pPr>
              <w:rPr>
                <w:rFonts w:cs="Arial"/>
                <w:color w:val="000000"/>
              </w:rPr>
            </w:pPr>
            <w:r w:rsidRPr="00723430">
              <w:rPr>
                <w:rFonts w:cs="Arial"/>
                <w:color w:val="000000"/>
              </w:rPr>
              <w:t>Immigration Museum</w:t>
            </w:r>
          </w:p>
        </w:tc>
        <w:tc>
          <w:tcPr>
            <w:tcW w:w="720" w:type="dxa"/>
            <w:tcBorders>
              <w:top w:val="nil"/>
              <w:left w:val="nil"/>
              <w:bottom w:val="nil"/>
              <w:right w:val="nil"/>
            </w:tcBorders>
            <w:shd w:val="clear" w:color="auto" w:fill="auto"/>
            <w:vAlign w:val="center"/>
            <w:hideMark/>
          </w:tcPr>
          <w:p w14:paraId="60885DB4"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A7FA046" w14:textId="77777777" w:rsidR="0097090C" w:rsidRPr="00723430" w:rsidRDefault="0097090C" w:rsidP="0097090C">
            <w:pPr>
              <w:jc w:val="right"/>
              <w:rPr>
                <w:rFonts w:cs="Arial"/>
                <w:color w:val="000000"/>
              </w:rPr>
            </w:pPr>
            <w:r w:rsidRPr="00723430">
              <w:rPr>
                <w:rFonts w:cs="Arial"/>
                <w:color w:val="000000"/>
              </w:rPr>
              <w:t>0</w:t>
            </w:r>
          </w:p>
        </w:tc>
        <w:tc>
          <w:tcPr>
            <w:tcW w:w="1260" w:type="dxa"/>
            <w:tcBorders>
              <w:top w:val="nil"/>
              <w:left w:val="nil"/>
              <w:bottom w:val="nil"/>
              <w:right w:val="nil"/>
            </w:tcBorders>
            <w:shd w:val="clear" w:color="auto" w:fill="auto"/>
            <w:vAlign w:val="center"/>
            <w:hideMark/>
          </w:tcPr>
          <w:p w14:paraId="3D348E1F" w14:textId="77777777" w:rsidR="0097090C" w:rsidRPr="00723430" w:rsidRDefault="0097090C" w:rsidP="0097090C">
            <w:pPr>
              <w:jc w:val="right"/>
              <w:rPr>
                <w:rFonts w:cs="Arial"/>
                <w:color w:val="000000"/>
              </w:rPr>
            </w:pPr>
            <w:r w:rsidRPr="00723430">
              <w:rPr>
                <w:rFonts w:cs="Arial"/>
                <w:color w:val="000000"/>
              </w:rPr>
              <w:t>(2,266)</w:t>
            </w:r>
          </w:p>
        </w:tc>
      </w:tr>
      <w:tr w:rsidR="0097090C" w:rsidRPr="00723430" w14:paraId="5D6CAD17" w14:textId="77777777" w:rsidTr="0097090C">
        <w:trPr>
          <w:trHeight w:val="255"/>
        </w:trPr>
        <w:tc>
          <w:tcPr>
            <w:tcW w:w="6120" w:type="dxa"/>
            <w:tcBorders>
              <w:top w:val="nil"/>
              <w:left w:val="nil"/>
              <w:bottom w:val="nil"/>
              <w:right w:val="nil"/>
            </w:tcBorders>
            <w:shd w:val="clear" w:color="auto" w:fill="auto"/>
            <w:vAlign w:val="center"/>
            <w:hideMark/>
          </w:tcPr>
          <w:p w14:paraId="57734BB3" w14:textId="77777777" w:rsidR="0097090C" w:rsidRPr="00723430" w:rsidRDefault="0097090C" w:rsidP="0097090C">
            <w:pPr>
              <w:rPr>
                <w:rFonts w:cs="Arial"/>
                <w:color w:val="000000"/>
              </w:rPr>
            </w:pPr>
            <w:r w:rsidRPr="00723430">
              <w:rPr>
                <w:rFonts w:cs="Arial"/>
                <w:color w:val="000000"/>
              </w:rPr>
              <w:t>Moreland Store</w:t>
            </w:r>
          </w:p>
        </w:tc>
        <w:tc>
          <w:tcPr>
            <w:tcW w:w="720" w:type="dxa"/>
            <w:tcBorders>
              <w:top w:val="nil"/>
              <w:left w:val="nil"/>
              <w:bottom w:val="nil"/>
              <w:right w:val="nil"/>
            </w:tcBorders>
            <w:shd w:val="clear" w:color="auto" w:fill="auto"/>
            <w:vAlign w:val="center"/>
            <w:hideMark/>
          </w:tcPr>
          <w:p w14:paraId="7D2C05CA"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1CE70893" w14:textId="77777777" w:rsidR="0097090C" w:rsidRPr="00723430" w:rsidRDefault="0097090C" w:rsidP="0097090C">
            <w:pPr>
              <w:jc w:val="right"/>
              <w:rPr>
                <w:rFonts w:cs="Arial"/>
                <w:color w:val="000000"/>
              </w:rPr>
            </w:pPr>
            <w:r w:rsidRPr="00723430">
              <w:rPr>
                <w:rFonts w:cs="Arial"/>
                <w:color w:val="000000"/>
              </w:rPr>
              <w:t>0</w:t>
            </w:r>
          </w:p>
        </w:tc>
        <w:tc>
          <w:tcPr>
            <w:tcW w:w="1260" w:type="dxa"/>
            <w:tcBorders>
              <w:top w:val="nil"/>
              <w:left w:val="nil"/>
              <w:bottom w:val="nil"/>
              <w:right w:val="nil"/>
            </w:tcBorders>
            <w:shd w:val="clear" w:color="auto" w:fill="auto"/>
            <w:vAlign w:val="center"/>
            <w:hideMark/>
          </w:tcPr>
          <w:p w14:paraId="6640C259" w14:textId="77777777" w:rsidR="0097090C" w:rsidRPr="00723430" w:rsidRDefault="0097090C" w:rsidP="0097090C">
            <w:pPr>
              <w:jc w:val="right"/>
              <w:rPr>
                <w:rFonts w:cs="Arial"/>
                <w:color w:val="000000"/>
              </w:rPr>
            </w:pPr>
            <w:r w:rsidRPr="00723430">
              <w:rPr>
                <w:rFonts w:cs="Arial"/>
                <w:color w:val="000000"/>
              </w:rPr>
              <w:t>(1,855)</w:t>
            </w:r>
          </w:p>
        </w:tc>
      </w:tr>
      <w:tr w:rsidR="0097090C" w:rsidRPr="00723430" w14:paraId="056A0118"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2D39469D" w14:textId="77777777" w:rsidR="0097090C" w:rsidRPr="00723430" w:rsidRDefault="0097090C" w:rsidP="0097090C">
            <w:pPr>
              <w:rPr>
                <w:rFonts w:cs="Arial"/>
                <w:color w:val="000000"/>
              </w:rPr>
            </w:pPr>
            <w:r w:rsidRPr="00723430">
              <w:rPr>
                <w:rFonts w:cs="Arial"/>
                <w:color w:val="000000"/>
              </w:rPr>
              <w:t>Melbourne Museum (including IMAX)</w:t>
            </w:r>
          </w:p>
        </w:tc>
        <w:tc>
          <w:tcPr>
            <w:tcW w:w="720" w:type="dxa"/>
            <w:tcBorders>
              <w:top w:val="nil"/>
              <w:left w:val="nil"/>
              <w:bottom w:val="single" w:sz="4" w:space="0" w:color="auto"/>
              <w:right w:val="nil"/>
            </w:tcBorders>
            <w:shd w:val="clear" w:color="auto" w:fill="auto"/>
            <w:vAlign w:val="center"/>
            <w:hideMark/>
          </w:tcPr>
          <w:p w14:paraId="0956C729" w14:textId="77777777" w:rsidR="0097090C" w:rsidRPr="00723430" w:rsidRDefault="0097090C" w:rsidP="0097090C">
            <w:pPr>
              <w:jc w:val="center"/>
              <w:rPr>
                <w:rFonts w:cs="Arial"/>
                <w:color w:val="000000"/>
              </w:rPr>
            </w:pPr>
            <w:r w:rsidRPr="00723430">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6123265E" w14:textId="77777777" w:rsidR="0097090C" w:rsidRPr="00723430" w:rsidRDefault="0097090C" w:rsidP="0097090C">
            <w:pPr>
              <w:jc w:val="right"/>
              <w:rPr>
                <w:rFonts w:cs="Arial"/>
                <w:color w:val="000000"/>
              </w:rPr>
            </w:pPr>
            <w:r w:rsidRPr="00723430">
              <w:rPr>
                <w:rFonts w:cs="Arial"/>
                <w:color w:val="000000"/>
              </w:rPr>
              <w:t>0</w:t>
            </w:r>
          </w:p>
        </w:tc>
        <w:tc>
          <w:tcPr>
            <w:tcW w:w="1260" w:type="dxa"/>
            <w:tcBorders>
              <w:top w:val="nil"/>
              <w:left w:val="nil"/>
              <w:bottom w:val="single" w:sz="4" w:space="0" w:color="auto"/>
              <w:right w:val="nil"/>
            </w:tcBorders>
            <w:shd w:val="clear" w:color="auto" w:fill="auto"/>
            <w:vAlign w:val="center"/>
            <w:hideMark/>
          </w:tcPr>
          <w:p w14:paraId="1C83C003" w14:textId="77777777" w:rsidR="0097090C" w:rsidRPr="00723430" w:rsidRDefault="0097090C" w:rsidP="0097090C">
            <w:pPr>
              <w:jc w:val="right"/>
              <w:rPr>
                <w:rFonts w:cs="Arial"/>
                <w:color w:val="000000"/>
              </w:rPr>
            </w:pPr>
            <w:r w:rsidRPr="00723430">
              <w:rPr>
                <w:rFonts w:cs="Arial"/>
                <w:color w:val="000000"/>
              </w:rPr>
              <w:t>(46,529)</w:t>
            </w:r>
          </w:p>
        </w:tc>
      </w:tr>
      <w:tr w:rsidR="0097090C" w:rsidRPr="00723430" w14:paraId="4AAF6A1F" w14:textId="77777777" w:rsidTr="0097090C">
        <w:trPr>
          <w:trHeight w:val="255"/>
        </w:trPr>
        <w:tc>
          <w:tcPr>
            <w:tcW w:w="6120" w:type="dxa"/>
            <w:tcBorders>
              <w:top w:val="nil"/>
              <w:left w:val="nil"/>
              <w:bottom w:val="nil"/>
              <w:right w:val="nil"/>
            </w:tcBorders>
            <w:shd w:val="clear" w:color="auto" w:fill="auto"/>
            <w:vAlign w:val="center"/>
            <w:hideMark/>
          </w:tcPr>
          <w:p w14:paraId="4EB8AC91" w14:textId="77777777" w:rsidR="0097090C" w:rsidRPr="00723430" w:rsidRDefault="0097090C" w:rsidP="0097090C">
            <w:pPr>
              <w:rPr>
                <w:rFonts w:cs="Arial"/>
                <w:color w:val="000000"/>
              </w:rPr>
            </w:pPr>
          </w:p>
        </w:tc>
        <w:tc>
          <w:tcPr>
            <w:tcW w:w="720" w:type="dxa"/>
            <w:tcBorders>
              <w:top w:val="nil"/>
              <w:left w:val="nil"/>
              <w:bottom w:val="nil"/>
              <w:right w:val="nil"/>
            </w:tcBorders>
            <w:shd w:val="clear" w:color="auto" w:fill="auto"/>
            <w:vAlign w:val="center"/>
            <w:hideMark/>
          </w:tcPr>
          <w:p w14:paraId="1DC10F05"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1269EC37" w14:textId="77777777" w:rsidR="0097090C" w:rsidRPr="00723430" w:rsidRDefault="0097090C" w:rsidP="0097090C">
            <w:pPr>
              <w:jc w:val="right"/>
              <w:rPr>
                <w:rFonts w:cs="Arial"/>
                <w:color w:val="000000"/>
              </w:rPr>
            </w:pPr>
            <w:r w:rsidRPr="00723430">
              <w:rPr>
                <w:rFonts w:cs="Arial"/>
                <w:color w:val="000000"/>
              </w:rPr>
              <w:t>0</w:t>
            </w:r>
          </w:p>
        </w:tc>
        <w:tc>
          <w:tcPr>
            <w:tcW w:w="1260" w:type="dxa"/>
            <w:tcBorders>
              <w:top w:val="nil"/>
              <w:left w:val="nil"/>
              <w:bottom w:val="nil"/>
              <w:right w:val="nil"/>
            </w:tcBorders>
            <w:shd w:val="clear" w:color="auto" w:fill="auto"/>
            <w:vAlign w:val="center"/>
            <w:hideMark/>
          </w:tcPr>
          <w:p w14:paraId="0497B2B5" w14:textId="77777777" w:rsidR="0097090C" w:rsidRPr="00723430" w:rsidRDefault="0097090C" w:rsidP="0097090C">
            <w:pPr>
              <w:jc w:val="right"/>
              <w:rPr>
                <w:rFonts w:cs="Arial"/>
                <w:color w:val="000000"/>
              </w:rPr>
            </w:pPr>
            <w:r w:rsidRPr="00723430">
              <w:rPr>
                <w:rFonts w:cs="Arial"/>
                <w:color w:val="000000"/>
              </w:rPr>
              <w:t>(62,481)</w:t>
            </w:r>
          </w:p>
        </w:tc>
      </w:tr>
      <w:tr w:rsidR="0097090C" w:rsidRPr="00723430" w14:paraId="5D07937B" w14:textId="77777777" w:rsidTr="0097090C">
        <w:trPr>
          <w:trHeight w:val="255"/>
        </w:trPr>
        <w:tc>
          <w:tcPr>
            <w:tcW w:w="6120" w:type="dxa"/>
            <w:tcBorders>
              <w:top w:val="nil"/>
              <w:left w:val="nil"/>
              <w:bottom w:val="nil"/>
              <w:right w:val="nil"/>
            </w:tcBorders>
            <w:shd w:val="clear" w:color="auto" w:fill="auto"/>
            <w:vAlign w:val="center"/>
            <w:hideMark/>
          </w:tcPr>
          <w:p w14:paraId="46871315" w14:textId="77777777" w:rsidR="0097090C" w:rsidRPr="00723430" w:rsidRDefault="0097090C" w:rsidP="0097090C">
            <w:pPr>
              <w:rPr>
                <w:rFonts w:cs="Arial"/>
                <w:b/>
                <w:bCs/>
                <w:color w:val="000000"/>
              </w:rPr>
            </w:pPr>
            <w:r w:rsidRPr="00723430">
              <w:rPr>
                <w:rFonts w:cs="Arial"/>
                <w:b/>
                <w:bCs/>
                <w:color w:val="000000"/>
              </w:rPr>
              <w:t>Work in Progress  (WIP)</w:t>
            </w:r>
          </w:p>
        </w:tc>
        <w:tc>
          <w:tcPr>
            <w:tcW w:w="720" w:type="dxa"/>
            <w:tcBorders>
              <w:top w:val="nil"/>
              <w:left w:val="nil"/>
              <w:bottom w:val="nil"/>
              <w:right w:val="nil"/>
            </w:tcBorders>
            <w:shd w:val="clear" w:color="auto" w:fill="auto"/>
            <w:vAlign w:val="center"/>
            <w:hideMark/>
          </w:tcPr>
          <w:p w14:paraId="46F3F514"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180DE20D" w14:textId="77777777" w:rsidR="0097090C" w:rsidRPr="00723430" w:rsidRDefault="0097090C" w:rsidP="0097090C">
            <w:pPr>
              <w:jc w:val="right"/>
              <w:rPr>
                <w:rFonts w:cs="Arial"/>
                <w:color w:val="000000"/>
              </w:rPr>
            </w:pPr>
            <w:r w:rsidRPr="00723430">
              <w:rPr>
                <w:rFonts w:cs="Arial"/>
                <w:color w:val="000000"/>
              </w:rPr>
              <w:t> </w:t>
            </w:r>
          </w:p>
        </w:tc>
        <w:tc>
          <w:tcPr>
            <w:tcW w:w="1260" w:type="dxa"/>
            <w:tcBorders>
              <w:top w:val="nil"/>
              <w:left w:val="nil"/>
              <w:bottom w:val="nil"/>
              <w:right w:val="nil"/>
            </w:tcBorders>
            <w:shd w:val="clear" w:color="auto" w:fill="auto"/>
            <w:vAlign w:val="center"/>
            <w:hideMark/>
          </w:tcPr>
          <w:p w14:paraId="67A5C1C5" w14:textId="77777777" w:rsidR="0097090C" w:rsidRPr="00723430" w:rsidRDefault="0097090C" w:rsidP="0097090C">
            <w:pPr>
              <w:jc w:val="right"/>
              <w:rPr>
                <w:rFonts w:cs="Arial"/>
                <w:color w:val="000000"/>
              </w:rPr>
            </w:pPr>
          </w:p>
        </w:tc>
      </w:tr>
      <w:tr w:rsidR="0097090C" w:rsidRPr="00723430" w14:paraId="0E5F0079" w14:textId="77777777" w:rsidTr="0097090C">
        <w:trPr>
          <w:trHeight w:val="255"/>
        </w:trPr>
        <w:tc>
          <w:tcPr>
            <w:tcW w:w="6120" w:type="dxa"/>
            <w:tcBorders>
              <w:top w:val="nil"/>
              <w:left w:val="nil"/>
              <w:bottom w:val="nil"/>
              <w:right w:val="nil"/>
            </w:tcBorders>
            <w:shd w:val="clear" w:color="auto" w:fill="auto"/>
            <w:vAlign w:val="center"/>
            <w:hideMark/>
          </w:tcPr>
          <w:p w14:paraId="06B1CBA0" w14:textId="77777777" w:rsidR="0097090C" w:rsidRPr="00723430" w:rsidRDefault="0097090C" w:rsidP="0097090C">
            <w:pPr>
              <w:rPr>
                <w:rFonts w:cs="Arial"/>
                <w:color w:val="000000"/>
              </w:rPr>
            </w:pPr>
            <w:r w:rsidRPr="00723430">
              <w:rPr>
                <w:rFonts w:cs="Arial"/>
                <w:color w:val="000000"/>
              </w:rPr>
              <w:t xml:space="preserve">Buildings at Cost </w:t>
            </w:r>
          </w:p>
        </w:tc>
        <w:tc>
          <w:tcPr>
            <w:tcW w:w="720" w:type="dxa"/>
            <w:tcBorders>
              <w:top w:val="nil"/>
              <w:left w:val="nil"/>
              <w:bottom w:val="nil"/>
              <w:right w:val="nil"/>
            </w:tcBorders>
            <w:shd w:val="clear" w:color="auto" w:fill="auto"/>
            <w:vAlign w:val="center"/>
            <w:hideMark/>
          </w:tcPr>
          <w:p w14:paraId="6DDD68DA" w14:textId="77777777" w:rsidR="0097090C" w:rsidRPr="0072343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20C6815" w14:textId="77777777" w:rsidR="0097090C" w:rsidRPr="00723430" w:rsidRDefault="0097090C" w:rsidP="0097090C">
            <w:pPr>
              <w:jc w:val="right"/>
              <w:rPr>
                <w:rFonts w:cs="Arial"/>
                <w:color w:val="000000"/>
              </w:rPr>
            </w:pPr>
            <w:r w:rsidRPr="00723430">
              <w:rPr>
                <w:rFonts w:cs="Arial"/>
                <w:color w:val="000000"/>
              </w:rPr>
              <w:t>2,261</w:t>
            </w:r>
          </w:p>
        </w:tc>
        <w:tc>
          <w:tcPr>
            <w:tcW w:w="1260" w:type="dxa"/>
            <w:tcBorders>
              <w:top w:val="nil"/>
              <w:left w:val="nil"/>
              <w:bottom w:val="nil"/>
              <w:right w:val="nil"/>
            </w:tcBorders>
            <w:shd w:val="clear" w:color="auto" w:fill="auto"/>
            <w:vAlign w:val="center"/>
            <w:hideMark/>
          </w:tcPr>
          <w:p w14:paraId="1101D542" w14:textId="77777777" w:rsidR="0097090C" w:rsidRPr="00723430" w:rsidRDefault="0097090C" w:rsidP="0097090C">
            <w:pPr>
              <w:jc w:val="right"/>
              <w:rPr>
                <w:rFonts w:cs="Arial"/>
                <w:color w:val="000000"/>
              </w:rPr>
            </w:pPr>
            <w:r w:rsidRPr="00723430">
              <w:rPr>
                <w:rFonts w:cs="Arial"/>
                <w:color w:val="000000"/>
              </w:rPr>
              <w:t>0</w:t>
            </w:r>
          </w:p>
        </w:tc>
      </w:tr>
      <w:tr w:rsidR="0097090C" w:rsidRPr="00723430" w14:paraId="7F55FF40" w14:textId="77777777" w:rsidTr="0097090C">
        <w:trPr>
          <w:trHeight w:val="285"/>
        </w:trPr>
        <w:tc>
          <w:tcPr>
            <w:tcW w:w="6120" w:type="dxa"/>
            <w:tcBorders>
              <w:top w:val="single" w:sz="4" w:space="0" w:color="auto"/>
              <w:left w:val="nil"/>
              <w:bottom w:val="single" w:sz="4" w:space="0" w:color="auto"/>
              <w:right w:val="nil"/>
            </w:tcBorders>
            <w:shd w:val="clear" w:color="auto" w:fill="auto"/>
            <w:vAlign w:val="center"/>
            <w:hideMark/>
          </w:tcPr>
          <w:p w14:paraId="6DA1DDF9" w14:textId="77777777" w:rsidR="0097090C" w:rsidRPr="00723430" w:rsidRDefault="0097090C" w:rsidP="0097090C">
            <w:pPr>
              <w:rPr>
                <w:rFonts w:cs="Arial"/>
                <w:b/>
                <w:bCs/>
                <w:color w:val="000000"/>
              </w:rPr>
            </w:pPr>
            <w:r w:rsidRPr="00723430">
              <w:rPr>
                <w:rFonts w:cs="Arial"/>
                <w:b/>
                <w:bCs/>
                <w:color w:val="000000"/>
              </w:rPr>
              <w:t>TOTAL PROPERTY AND WIP</w:t>
            </w:r>
          </w:p>
        </w:tc>
        <w:tc>
          <w:tcPr>
            <w:tcW w:w="720" w:type="dxa"/>
            <w:tcBorders>
              <w:top w:val="single" w:sz="4" w:space="0" w:color="auto"/>
              <w:left w:val="nil"/>
              <w:bottom w:val="single" w:sz="4" w:space="0" w:color="auto"/>
              <w:right w:val="nil"/>
            </w:tcBorders>
            <w:shd w:val="clear" w:color="auto" w:fill="auto"/>
            <w:vAlign w:val="center"/>
            <w:hideMark/>
          </w:tcPr>
          <w:p w14:paraId="75CD8640" w14:textId="77777777" w:rsidR="0097090C" w:rsidRPr="00723430" w:rsidRDefault="0097090C" w:rsidP="0097090C">
            <w:pPr>
              <w:jc w:val="center"/>
              <w:rPr>
                <w:rFonts w:cs="Arial"/>
                <w:color w:val="000000"/>
              </w:rPr>
            </w:pPr>
            <w:r w:rsidRPr="00723430">
              <w:rPr>
                <w:rFonts w:cs="Arial"/>
                <w:color w:val="000000"/>
              </w:rPr>
              <w:t> </w:t>
            </w:r>
          </w:p>
        </w:tc>
        <w:tc>
          <w:tcPr>
            <w:tcW w:w="1260" w:type="dxa"/>
            <w:tcBorders>
              <w:top w:val="single" w:sz="4" w:space="0" w:color="auto"/>
              <w:left w:val="nil"/>
              <w:bottom w:val="single" w:sz="4" w:space="0" w:color="auto"/>
              <w:right w:val="nil"/>
            </w:tcBorders>
            <w:shd w:val="clear" w:color="000000" w:fill="D9D9D9"/>
            <w:vAlign w:val="center"/>
            <w:hideMark/>
          </w:tcPr>
          <w:p w14:paraId="68A43B8F" w14:textId="77777777" w:rsidR="0097090C" w:rsidRPr="00723430" w:rsidRDefault="0097090C" w:rsidP="0097090C">
            <w:pPr>
              <w:jc w:val="right"/>
              <w:rPr>
                <w:rFonts w:cs="Arial"/>
                <w:b/>
                <w:bCs/>
                <w:color w:val="000000"/>
              </w:rPr>
            </w:pPr>
            <w:r>
              <w:rPr>
                <w:rFonts w:cs="Arial"/>
                <w:b/>
                <w:bCs/>
                <w:color w:val="000000"/>
              </w:rPr>
              <w:t>901,080</w:t>
            </w:r>
          </w:p>
        </w:tc>
        <w:tc>
          <w:tcPr>
            <w:tcW w:w="1260" w:type="dxa"/>
            <w:tcBorders>
              <w:top w:val="single" w:sz="4" w:space="0" w:color="auto"/>
              <w:left w:val="nil"/>
              <w:bottom w:val="single" w:sz="4" w:space="0" w:color="auto"/>
              <w:right w:val="nil"/>
            </w:tcBorders>
            <w:shd w:val="clear" w:color="auto" w:fill="auto"/>
            <w:vAlign w:val="center"/>
            <w:hideMark/>
          </w:tcPr>
          <w:p w14:paraId="7F8DD5F4" w14:textId="77777777" w:rsidR="0097090C" w:rsidRPr="00723430" w:rsidRDefault="0097090C" w:rsidP="0097090C">
            <w:pPr>
              <w:jc w:val="right"/>
              <w:rPr>
                <w:rFonts w:cs="Arial"/>
                <w:b/>
                <w:bCs/>
                <w:color w:val="000000"/>
              </w:rPr>
            </w:pPr>
            <w:r w:rsidRPr="00723430">
              <w:rPr>
                <w:rFonts w:cs="Arial"/>
                <w:b/>
                <w:bCs/>
                <w:color w:val="000000"/>
              </w:rPr>
              <w:t>477,463</w:t>
            </w:r>
          </w:p>
        </w:tc>
      </w:tr>
    </w:tbl>
    <w:p w14:paraId="212E4625" w14:textId="77777777" w:rsidR="0097090C" w:rsidRDefault="0097090C" w:rsidP="0097090C">
      <w:pPr>
        <w:spacing w:before="120" w:after="120"/>
        <w:ind w:left="720" w:hanging="578"/>
        <w:jc w:val="both"/>
        <w:rPr>
          <w:i/>
        </w:rPr>
      </w:pPr>
      <w:r>
        <w:rPr>
          <w:i/>
          <w:lang w:val="en-GB"/>
        </w:rPr>
        <w:t>**</w:t>
      </w:r>
      <w:r w:rsidRPr="00545B90">
        <w:rPr>
          <w:i/>
          <w:sz w:val="21"/>
          <w:szCs w:val="21"/>
          <w:lang w:val="en-GB"/>
        </w:rPr>
        <w:tab/>
        <w:t xml:space="preserve">Scienceworks, Royal Exhibition Building, Moreland Store, Immigration Museum, </w:t>
      </w:r>
      <w:r w:rsidRPr="00545B90">
        <w:rPr>
          <w:i/>
          <w:sz w:val="21"/>
          <w:szCs w:val="21"/>
        </w:rPr>
        <w:t>Melbourne Museum (including IMAX) and Former ACI Site.  Valued at fair value at 30 June 2016 by the Valuer-General Victoria.</w:t>
      </w:r>
    </w:p>
    <w:p w14:paraId="0745B1B7" w14:textId="77777777" w:rsidR="0097090C" w:rsidRDefault="0097090C" w:rsidP="0097090C">
      <w:pPr>
        <w:spacing w:before="120" w:after="120"/>
        <w:ind w:left="720" w:hanging="578"/>
        <w:jc w:val="both"/>
        <w:rPr>
          <w:i/>
        </w:rPr>
      </w:pPr>
    </w:p>
    <w:p w14:paraId="17BF7CC5" w14:textId="77777777" w:rsidR="0097090C" w:rsidRDefault="0097090C" w:rsidP="0097090C">
      <w:pPr>
        <w:pStyle w:val="Heading4"/>
      </w:pPr>
      <w:r w:rsidRPr="00F97F8E">
        <w:t xml:space="preserve">Note </w:t>
      </w:r>
      <w:r>
        <w:t xml:space="preserve">9. Non-current Physical Assets </w:t>
      </w:r>
      <w:r w:rsidRPr="00F97F8E">
        <w:t>(continued)</w:t>
      </w:r>
    </w:p>
    <w:p w14:paraId="28224964" w14:textId="77777777" w:rsidR="0097090C" w:rsidRPr="00CC5287" w:rsidRDefault="0097090C" w:rsidP="0097090C">
      <w:pPr>
        <w:pStyle w:val="NormalIndent"/>
        <w:ind w:left="357" w:hanging="357"/>
        <w:jc w:val="both"/>
        <w:rPr>
          <w:b/>
          <w:szCs w:val="18"/>
        </w:rPr>
      </w:pPr>
    </w:p>
    <w:p w14:paraId="4666412B" w14:textId="77777777" w:rsidR="0097090C" w:rsidRDefault="0097090C" w:rsidP="0097090C">
      <w:pPr>
        <w:pStyle w:val="Heading5"/>
      </w:pPr>
      <w:r w:rsidRPr="009E1518">
        <w:t>9(c) Plant and E</w:t>
      </w:r>
      <w:r>
        <w:t>quipment, Exhibitions and WIP</w:t>
      </w:r>
    </w:p>
    <w:tbl>
      <w:tblPr>
        <w:tblW w:w="9360" w:type="dxa"/>
        <w:tblInd w:w="108" w:type="dxa"/>
        <w:tblLook w:val="04A0" w:firstRow="1" w:lastRow="0" w:firstColumn="1" w:lastColumn="0" w:noHBand="0" w:noVBand="1"/>
      </w:tblPr>
      <w:tblGrid>
        <w:gridCol w:w="6095"/>
        <w:gridCol w:w="731"/>
        <w:gridCol w:w="1267"/>
        <w:gridCol w:w="1267"/>
      </w:tblGrid>
      <w:tr w:rsidR="0097090C" w:rsidRPr="003C07CF" w14:paraId="74AF3F47" w14:textId="77777777" w:rsidTr="0097090C">
        <w:trPr>
          <w:trHeight w:val="255"/>
        </w:trPr>
        <w:tc>
          <w:tcPr>
            <w:tcW w:w="6095" w:type="dxa"/>
            <w:tcBorders>
              <w:top w:val="single" w:sz="4" w:space="0" w:color="auto"/>
              <w:left w:val="nil"/>
              <w:bottom w:val="single" w:sz="4" w:space="0" w:color="auto"/>
              <w:right w:val="nil"/>
            </w:tcBorders>
            <w:shd w:val="clear" w:color="auto" w:fill="auto"/>
            <w:noWrap/>
            <w:vAlign w:val="center"/>
            <w:hideMark/>
          </w:tcPr>
          <w:p w14:paraId="5BDEDF2B" w14:textId="77777777" w:rsidR="0097090C" w:rsidRPr="003C07CF" w:rsidRDefault="0097090C" w:rsidP="0097090C">
            <w:pPr>
              <w:rPr>
                <w:rFonts w:cs="Arial"/>
                <w:color w:val="000000"/>
              </w:rPr>
            </w:pPr>
            <w:r w:rsidRPr="003C07CF">
              <w:rPr>
                <w:rFonts w:cs="Arial"/>
                <w:color w:val="000000"/>
              </w:rPr>
              <w:t> </w:t>
            </w:r>
          </w:p>
        </w:tc>
        <w:tc>
          <w:tcPr>
            <w:tcW w:w="731" w:type="dxa"/>
            <w:tcBorders>
              <w:top w:val="single" w:sz="4" w:space="0" w:color="auto"/>
              <w:left w:val="nil"/>
              <w:bottom w:val="single" w:sz="4" w:space="0" w:color="auto"/>
              <w:right w:val="nil"/>
            </w:tcBorders>
            <w:shd w:val="clear" w:color="auto" w:fill="auto"/>
            <w:noWrap/>
            <w:vAlign w:val="center"/>
            <w:hideMark/>
          </w:tcPr>
          <w:p w14:paraId="10245894" w14:textId="77777777" w:rsidR="0097090C" w:rsidRPr="003C07CF" w:rsidRDefault="0097090C" w:rsidP="0097090C">
            <w:pPr>
              <w:jc w:val="center"/>
              <w:rPr>
                <w:rFonts w:cs="Arial"/>
                <w:color w:val="000000"/>
              </w:rPr>
            </w:pPr>
            <w:r w:rsidRPr="003C07CF">
              <w:rPr>
                <w:rFonts w:cs="Arial"/>
                <w:color w:val="000000"/>
              </w:rPr>
              <w:t> </w:t>
            </w:r>
          </w:p>
        </w:tc>
        <w:tc>
          <w:tcPr>
            <w:tcW w:w="1267" w:type="dxa"/>
            <w:tcBorders>
              <w:top w:val="single" w:sz="4" w:space="0" w:color="auto"/>
              <w:left w:val="nil"/>
              <w:bottom w:val="single" w:sz="4" w:space="0" w:color="auto"/>
              <w:right w:val="nil"/>
            </w:tcBorders>
            <w:shd w:val="clear" w:color="000000" w:fill="D9D9D9"/>
            <w:noWrap/>
            <w:vAlign w:val="center"/>
            <w:hideMark/>
          </w:tcPr>
          <w:p w14:paraId="5D66E514" w14:textId="77777777" w:rsidR="0097090C" w:rsidRPr="003C07CF" w:rsidRDefault="0097090C" w:rsidP="0097090C">
            <w:pPr>
              <w:jc w:val="right"/>
              <w:rPr>
                <w:rFonts w:cs="Arial"/>
                <w:color w:val="000000"/>
              </w:rPr>
            </w:pPr>
            <w:r w:rsidRPr="003C07CF">
              <w:rPr>
                <w:rFonts w:cs="Arial"/>
                <w:color w:val="000000"/>
              </w:rPr>
              <w:t>2016</w:t>
            </w:r>
          </w:p>
        </w:tc>
        <w:tc>
          <w:tcPr>
            <w:tcW w:w="1267" w:type="dxa"/>
            <w:tcBorders>
              <w:top w:val="single" w:sz="4" w:space="0" w:color="auto"/>
              <w:left w:val="nil"/>
              <w:bottom w:val="single" w:sz="4" w:space="0" w:color="auto"/>
              <w:right w:val="nil"/>
            </w:tcBorders>
            <w:shd w:val="clear" w:color="auto" w:fill="auto"/>
            <w:noWrap/>
            <w:vAlign w:val="center"/>
            <w:hideMark/>
          </w:tcPr>
          <w:p w14:paraId="4F6F1CC3" w14:textId="77777777" w:rsidR="0097090C" w:rsidRPr="003C07CF" w:rsidRDefault="0097090C" w:rsidP="0097090C">
            <w:pPr>
              <w:jc w:val="right"/>
              <w:rPr>
                <w:rFonts w:cs="Arial"/>
                <w:color w:val="000000"/>
              </w:rPr>
            </w:pPr>
            <w:r w:rsidRPr="003C07CF">
              <w:rPr>
                <w:rFonts w:cs="Arial"/>
                <w:color w:val="000000"/>
              </w:rPr>
              <w:t>2015</w:t>
            </w:r>
          </w:p>
        </w:tc>
      </w:tr>
      <w:tr w:rsidR="0097090C" w:rsidRPr="003C07CF" w14:paraId="2B24D3FE" w14:textId="77777777" w:rsidTr="0097090C">
        <w:trPr>
          <w:trHeight w:val="255"/>
        </w:trPr>
        <w:tc>
          <w:tcPr>
            <w:tcW w:w="6095" w:type="dxa"/>
            <w:tcBorders>
              <w:top w:val="nil"/>
              <w:left w:val="nil"/>
              <w:bottom w:val="single" w:sz="4" w:space="0" w:color="auto"/>
              <w:right w:val="nil"/>
            </w:tcBorders>
            <w:shd w:val="clear" w:color="auto" w:fill="auto"/>
            <w:noWrap/>
            <w:vAlign w:val="center"/>
            <w:hideMark/>
          </w:tcPr>
          <w:p w14:paraId="021B69DA" w14:textId="77777777" w:rsidR="0097090C" w:rsidRPr="003C07CF" w:rsidRDefault="0097090C" w:rsidP="0097090C">
            <w:pPr>
              <w:rPr>
                <w:rFonts w:cs="Arial"/>
                <w:color w:val="000000"/>
              </w:rPr>
            </w:pPr>
            <w:r w:rsidRPr="003C07CF">
              <w:rPr>
                <w:rFonts w:cs="Arial"/>
                <w:color w:val="000000"/>
              </w:rPr>
              <w:t> </w:t>
            </w:r>
          </w:p>
        </w:tc>
        <w:tc>
          <w:tcPr>
            <w:tcW w:w="731" w:type="dxa"/>
            <w:tcBorders>
              <w:top w:val="nil"/>
              <w:left w:val="nil"/>
              <w:bottom w:val="single" w:sz="4" w:space="0" w:color="auto"/>
              <w:right w:val="nil"/>
            </w:tcBorders>
            <w:shd w:val="clear" w:color="auto" w:fill="auto"/>
            <w:noWrap/>
            <w:vAlign w:val="center"/>
            <w:hideMark/>
          </w:tcPr>
          <w:p w14:paraId="70B888C3" w14:textId="77777777" w:rsidR="0097090C" w:rsidRPr="003C07CF" w:rsidRDefault="0097090C" w:rsidP="0097090C">
            <w:pPr>
              <w:rPr>
                <w:rFonts w:cs="Arial"/>
                <w:color w:val="000000"/>
              </w:rPr>
            </w:pPr>
            <w:r w:rsidRPr="003C07CF">
              <w:rPr>
                <w:rFonts w:cs="Arial"/>
                <w:color w:val="000000"/>
              </w:rPr>
              <w:t> </w:t>
            </w:r>
          </w:p>
        </w:tc>
        <w:tc>
          <w:tcPr>
            <w:tcW w:w="1267" w:type="dxa"/>
            <w:tcBorders>
              <w:top w:val="nil"/>
              <w:left w:val="nil"/>
              <w:bottom w:val="single" w:sz="4" w:space="0" w:color="auto"/>
              <w:right w:val="nil"/>
            </w:tcBorders>
            <w:shd w:val="clear" w:color="000000" w:fill="D9D9D9"/>
            <w:noWrap/>
            <w:vAlign w:val="center"/>
            <w:hideMark/>
          </w:tcPr>
          <w:p w14:paraId="7263A65D" w14:textId="77777777" w:rsidR="0097090C" w:rsidRPr="003C07CF" w:rsidRDefault="0097090C" w:rsidP="0097090C">
            <w:pPr>
              <w:jc w:val="right"/>
              <w:rPr>
                <w:rFonts w:cs="Arial"/>
                <w:color w:val="000000"/>
              </w:rPr>
            </w:pPr>
            <w:r w:rsidRPr="003C07CF">
              <w:rPr>
                <w:rFonts w:cs="Arial"/>
                <w:color w:val="000000"/>
              </w:rPr>
              <w:t>$'000</w:t>
            </w:r>
          </w:p>
        </w:tc>
        <w:tc>
          <w:tcPr>
            <w:tcW w:w="1267" w:type="dxa"/>
            <w:tcBorders>
              <w:top w:val="nil"/>
              <w:left w:val="nil"/>
              <w:bottom w:val="single" w:sz="4" w:space="0" w:color="auto"/>
              <w:right w:val="nil"/>
            </w:tcBorders>
            <w:shd w:val="clear" w:color="auto" w:fill="auto"/>
            <w:noWrap/>
            <w:vAlign w:val="center"/>
            <w:hideMark/>
          </w:tcPr>
          <w:p w14:paraId="73F22290" w14:textId="77777777" w:rsidR="0097090C" w:rsidRPr="003C07CF" w:rsidRDefault="0097090C" w:rsidP="0097090C">
            <w:pPr>
              <w:jc w:val="right"/>
              <w:rPr>
                <w:rFonts w:cs="Arial"/>
                <w:color w:val="000000"/>
              </w:rPr>
            </w:pPr>
            <w:r w:rsidRPr="003C07CF">
              <w:rPr>
                <w:rFonts w:cs="Arial"/>
                <w:color w:val="000000"/>
              </w:rPr>
              <w:t>$'000</w:t>
            </w:r>
          </w:p>
        </w:tc>
      </w:tr>
      <w:tr w:rsidR="0097090C" w:rsidRPr="003C07CF" w14:paraId="78A607B2" w14:textId="77777777" w:rsidTr="0097090C">
        <w:trPr>
          <w:trHeight w:val="255"/>
        </w:trPr>
        <w:tc>
          <w:tcPr>
            <w:tcW w:w="6095" w:type="dxa"/>
            <w:tcBorders>
              <w:top w:val="nil"/>
              <w:left w:val="nil"/>
              <w:bottom w:val="nil"/>
              <w:right w:val="nil"/>
            </w:tcBorders>
            <w:shd w:val="clear" w:color="auto" w:fill="auto"/>
            <w:vAlign w:val="center"/>
            <w:hideMark/>
          </w:tcPr>
          <w:p w14:paraId="3EE57D7B" w14:textId="77777777" w:rsidR="0097090C" w:rsidRPr="003C07CF" w:rsidRDefault="0097090C" w:rsidP="0097090C">
            <w:pPr>
              <w:rPr>
                <w:rFonts w:cs="Arial"/>
                <w:b/>
                <w:bCs/>
                <w:color w:val="000000"/>
              </w:rPr>
            </w:pPr>
            <w:r w:rsidRPr="003C07CF">
              <w:rPr>
                <w:rFonts w:cs="Arial"/>
                <w:b/>
                <w:bCs/>
                <w:color w:val="000000"/>
              </w:rPr>
              <w:t>Plant and Equipment</w:t>
            </w:r>
          </w:p>
        </w:tc>
        <w:tc>
          <w:tcPr>
            <w:tcW w:w="731" w:type="dxa"/>
            <w:tcBorders>
              <w:top w:val="nil"/>
              <w:left w:val="nil"/>
              <w:bottom w:val="nil"/>
              <w:right w:val="nil"/>
            </w:tcBorders>
            <w:shd w:val="clear" w:color="auto" w:fill="auto"/>
            <w:vAlign w:val="center"/>
            <w:hideMark/>
          </w:tcPr>
          <w:p w14:paraId="050BB918" w14:textId="77777777" w:rsidR="0097090C" w:rsidRPr="003C07CF" w:rsidRDefault="0097090C" w:rsidP="0097090C">
            <w:pPr>
              <w:jc w:val="center"/>
              <w:rPr>
                <w:rFonts w:cs="Arial"/>
                <w:color w:val="000000"/>
              </w:rPr>
            </w:pPr>
            <w:r w:rsidRPr="003C07CF">
              <w:rPr>
                <w:rFonts w:cs="Arial"/>
                <w:color w:val="000000"/>
              </w:rPr>
              <w:t> </w:t>
            </w:r>
          </w:p>
        </w:tc>
        <w:tc>
          <w:tcPr>
            <w:tcW w:w="1267" w:type="dxa"/>
            <w:tcBorders>
              <w:top w:val="nil"/>
              <w:left w:val="nil"/>
              <w:bottom w:val="nil"/>
              <w:right w:val="nil"/>
            </w:tcBorders>
            <w:shd w:val="clear" w:color="000000" w:fill="D9D9D9"/>
            <w:vAlign w:val="center"/>
            <w:hideMark/>
          </w:tcPr>
          <w:p w14:paraId="2DC8864B" w14:textId="77777777" w:rsidR="0097090C" w:rsidRPr="003C07CF" w:rsidRDefault="0097090C" w:rsidP="0097090C">
            <w:pPr>
              <w:jc w:val="right"/>
              <w:rPr>
                <w:rFonts w:cs="Arial"/>
                <w:color w:val="000000"/>
              </w:rPr>
            </w:pPr>
            <w:r w:rsidRPr="003C07CF">
              <w:rPr>
                <w:rFonts w:cs="Arial"/>
                <w:color w:val="000000"/>
              </w:rPr>
              <w:t> </w:t>
            </w:r>
          </w:p>
        </w:tc>
        <w:tc>
          <w:tcPr>
            <w:tcW w:w="1267" w:type="dxa"/>
            <w:tcBorders>
              <w:top w:val="nil"/>
              <w:left w:val="nil"/>
              <w:bottom w:val="nil"/>
              <w:right w:val="nil"/>
            </w:tcBorders>
            <w:shd w:val="clear" w:color="auto" w:fill="auto"/>
            <w:vAlign w:val="center"/>
            <w:hideMark/>
          </w:tcPr>
          <w:p w14:paraId="00D4A40C" w14:textId="77777777" w:rsidR="0097090C" w:rsidRPr="003C07CF" w:rsidRDefault="0097090C" w:rsidP="0097090C">
            <w:pPr>
              <w:jc w:val="right"/>
              <w:rPr>
                <w:rFonts w:cs="Arial"/>
                <w:color w:val="000000"/>
              </w:rPr>
            </w:pPr>
            <w:r w:rsidRPr="003C07CF">
              <w:rPr>
                <w:rFonts w:cs="Arial"/>
                <w:color w:val="000000"/>
              </w:rPr>
              <w:t> </w:t>
            </w:r>
          </w:p>
        </w:tc>
      </w:tr>
      <w:tr w:rsidR="0097090C" w:rsidRPr="003C07CF" w14:paraId="02536282" w14:textId="77777777" w:rsidTr="0097090C">
        <w:trPr>
          <w:trHeight w:val="255"/>
        </w:trPr>
        <w:tc>
          <w:tcPr>
            <w:tcW w:w="6095" w:type="dxa"/>
            <w:tcBorders>
              <w:top w:val="nil"/>
              <w:left w:val="nil"/>
              <w:bottom w:val="nil"/>
              <w:right w:val="nil"/>
            </w:tcBorders>
            <w:shd w:val="clear" w:color="auto" w:fill="auto"/>
            <w:vAlign w:val="center"/>
            <w:hideMark/>
          </w:tcPr>
          <w:p w14:paraId="14821F5E" w14:textId="77777777" w:rsidR="0097090C" w:rsidRPr="003C07CF" w:rsidRDefault="0097090C" w:rsidP="0097090C">
            <w:pPr>
              <w:rPr>
                <w:rFonts w:cs="Arial"/>
                <w:color w:val="000000"/>
              </w:rPr>
            </w:pPr>
            <w:r w:rsidRPr="003C07CF">
              <w:rPr>
                <w:rFonts w:cs="Arial"/>
                <w:color w:val="000000"/>
              </w:rPr>
              <w:t>Plant and Equipment at Fair Value *</w:t>
            </w:r>
          </w:p>
        </w:tc>
        <w:tc>
          <w:tcPr>
            <w:tcW w:w="731" w:type="dxa"/>
            <w:tcBorders>
              <w:top w:val="nil"/>
              <w:left w:val="nil"/>
              <w:bottom w:val="nil"/>
              <w:right w:val="nil"/>
            </w:tcBorders>
            <w:shd w:val="clear" w:color="auto" w:fill="auto"/>
            <w:vAlign w:val="center"/>
            <w:hideMark/>
          </w:tcPr>
          <w:p w14:paraId="5EFA2726"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DBCBA04" w14:textId="77777777" w:rsidR="0097090C" w:rsidRPr="003C07CF" w:rsidRDefault="0097090C" w:rsidP="0097090C">
            <w:pPr>
              <w:jc w:val="right"/>
              <w:rPr>
                <w:rFonts w:cs="Arial"/>
                <w:color w:val="000000"/>
              </w:rPr>
            </w:pPr>
            <w:r w:rsidRPr="003C07CF">
              <w:rPr>
                <w:rFonts w:cs="Arial"/>
                <w:color w:val="000000"/>
              </w:rPr>
              <w:t>29,234</w:t>
            </w:r>
          </w:p>
        </w:tc>
        <w:tc>
          <w:tcPr>
            <w:tcW w:w="1267" w:type="dxa"/>
            <w:tcBorders>
              <w:top w:val="nil"/>
              <w:left w:val="nil"/>
              <w:bottom w:val="nil"/>
              <w:right w:val="nil"/>
            </w:tcBorders>
            <w:shd w:val="clear" w:color="auto" w:fill="auto"/>
            <w:vAlign w:val="center"/>
            <w:hideMark/>
          </w:tcPr>
          <w:p w14:paraId="0C3903CC" w14:textId="77777777" w:rsidR="0097090C" w:rsidRPr="003C07CF" w:rsidRDefault="0097090C" w:rsidP="0097090C">
            <w:pPr>
              <w:jc w:val="right"/>
              <w:rPr>
                <w:rFonts w:cs="Arial"/>
                <w:color w:val="000000"/>
              </w:rPr>
            </w:pPr>
            <w:r w:rsidRPr="003C07CF">
              <w:rPr>
                <w:rFonts w:cs="Arial"/>
                <w:color w:val="000000"/>
              </w:rPr>
              <w:t>25,646</w:t>
            </w:r>
          </w:p>
        </w:tc>
      </w:tr>
      <w:tr w:rsidR="0097090C" w:rsidRPr="003C07CF" w14:paraId="567A75EA"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53F6CDF2" w14:textId="77777777" w:rsidR="0097090C" w:rsidRPr="003C07CF" w:rsidRDefault="0097090C" w:rsidP="0097090C">
            <w:pPr>
              <w:rPr>
                <w:rFonts w:cs="Arial"/>
                <w:color w:val="000000"/>
              </w:rPr>
            </w:pPr>
            <w:r w:rsidRPr="003C07CF">
              <w:rPr>
                <w:rFonts w:cs="Arial"/>
                <w:color w:val="000000"/>
              </w:rPr>
              <w:t>Less Accumulated Depreciation</w:t>
            </w:r>
          </w:p>
        </w:tc>
        <w:tc>
          <w:tcPr>
            <w:tcW w:w="731" w:type="dxa"/>
            <w:tcBorders>
              <w:top w:val="nil"/>
              <w:left w:val="nil"/>
              <w:bottom w:val="single" w:sz="4" w:space="0" w:color="auto"/>
              <w:right w:val="nil"/>
            </w:tcBorders>
            <w:shd w:val="clear" w:color="auto" w:fill="auto"/>
            <w:vAlign w:val="center"/>
            <w:hideMark/>
          </w:tcPr>
          <w:p w14:paraId="3E47AA03" w14:textId="77777777" w:rsidR="0097090C" w:rsidRPr="003C07CF" w:rsidRDefault="0097090C" w:rsidP="0097090C">
            <w:pPr>
              <w:jc w:val="center"/>
              <w:rPr>
                <w:rFonts w:cs="Arial"/>
                <w:color w:val="000000"/>
              </w:rPr>
            </w:pPr>
            <w:r w:rsidRPr="003C07CF">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5E52118D" w14:textId="77777777" w:rsidR="0097090C" w:rsidRPr="003C07CF" w:rsidRDefault="0097090C" w:rsidP="0097090C">
            <w:pPr>
              <w:jc w:val="right"/>
              <w:rPr>
                <w:rFonts w:cs="Arial"/>
                <w:color w:val="000000"/>
              </w:rPr>
            </w:pPr>
            <w:r w:rsidRPr="003C07CF">
              <w:rPr>
                <w:rFonts w:cs="Arial"/>
                <w:color w:val="000000"/>
              </w:rPr>
              <w:t>(22,813)</w:t>
            </w:r>
          </w:p>
        </w:tc>
        <w:tc>
          <w:tcPr>
            <w:tcW w:w="1267" w:type="dxa"/>
            <w:tcBorders>
              <w:top w:val="nil"/>
              <w:left w:val="nil"/>
              <w:bottom w:val="single" w:sz="4" w:space="0" w:color="auto"/>
              <w:right w:val="nil"/>
            </w:tcBorders>
            <w:shd w:val="clear" w:color="auto" w:fill="auto"/>
            <w:vAlign w:val="center"/>
            <w:hideMark/>
          </w:tcPr>
          <w:p w14:paraId="0D782D9C" w14:textId="77777777" w:rsidR="0097090C" w:rsidRPr="003C07CF" w:rsidRDefault="0097090C" w:rsidP="0097090C">
            <w:pPr>
              <w:jc w:val="right"/>
              <w:rPr>
                <w:rFonts w:cs="Arial"/>
                <w:color w:val="000000"/>
              </w:rPr>
            </w:pPr>
            <w:r w:rsidRPr="003C07CF">
              <w:rPr>
                <w:rFonts w:cs="Arial"/>
                <w:color w:val="000000"/>
              </w:rPr>
              <w:t>(21,600)</w:t>
            </w:r>
          </w:p>
        </w:tc>
      </w:tr>
      <w:tr w:rsidR="0097090C" w:rsidRPr="003C07CF" w14:paraId="416B7D3D" w14:textId="77777777" w:rsidTr="0097090C">
        <w:trPr>
          <w:trHeight w:val="255"/>
        </w:trPr>
        <w:tc>
          <w:tcPr>
            <w:tcW w:w="6095" w:type="dxa"/>
            <w:tcBorders>
              <w:top w:val="nil"/>
              <w:left w:val="nil"/>
              <w:bottom w:val="nil"/>
              <w:right w:val="nil"/>
            </w:tcBorders>
            <w:shd w:val="clear" w:color="auto" w:fill="auto"/>
            <w:vAlign w:val="center"/>
            <w:hideMark/>
          </w:tcPr>
          <w:p w14:paraId="330A6D59" w14:textId="77777777" w:rsidR="0097090C" w:rsidRPr="003C07CF"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3211B2EB"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6C09B510" w14:textId="77777777" w:rsidR="0097090C" w:rsidRPr="003C07CF" w:rsidRDefault="0097090C" w:rsidP="0097090C">
            <w:pPr>
              <w:jc w:val="right"/>
              <w:rPr>
                <w:rFonts w:cs="Arial"/>
                <w:color w:val="000000"/>
              </w:rPr>
            </w:pPr>
            <w:r w:rsidRPr="003C07CF">
              <w:rPr>
                <w:rFonts w:cs="Arial"/>
                <w:color w:val="000000"/>
              </w:rPr>
              <w:t>6,421</w:t>
            </w:r>
          </w:p>
        </w:tc>
        <w:tc>
          <w:tcPr>
            <w:tcW w:w="1267" w:type="dxa"/>
            <w:tcBorders>
              <w:top w:val="nil"/>
              <w:left w:val="nil"/>
              <w:bottom w:val="nil"/>
              <w:right w:val="nil"/>
            </w:tcBorders>
            <w:shd w:val="clear" w:color="auto" w:fill="auto"/>
            <w:vAlign w:val="center"/>
            <w:hideMark/>
          </w:tcPr>
          <w:p w14:paraId="4B7422E5" w14:textId="77777777" w:rsidR="0097090C" w:rsidRPr="003C07CF" w:rsidRDefault="0097090C" w:rsidP="0097090C">
            <w:pPr>
              <w:jc w:val="right"/>
              <w:rPr>
                <w:rFonts w:cs="Arial"/>
                <w:color w:val="000000"/>
              </w:rPr>
            </w:pPr>
            <w:r w:rsidRPr="003C07CF">
              <w:rPr>
                <w:rFonts w:cs="Arial"/>
                <w:color w:val="000000"/>
              </w:rPr>
              <w:t>4,046</w:t>
            </w:r>
          </w:p>
        </w:tc>
      </w:tr>
      <w:tr w:rsidR="0097090C" w:rsidRPr="003C07CF" w14:paraId="6D7CCF23" w14:textId="77777777" w:rsidTr="0097090C">
        <w:trPr>
          <w:trHeight w:val="255"/>
        </w:trPr>
        <w:tc>
          <w:tcPr>
            <w:tcW w:w="6095" w:type="dxa"/>
            <w:tcBorders>
              <w:top w:val="nil"/>
              <w:left w:val="nil"/>
              <w:bottom w:val="nil"/>
              <w:right w:val="nil"/>
            </w:tcBorders>
            <w:shd w:val="clear" w:color="auto" w:fill="auto"/>
            <w:vAlign w:val="center"/>
            <w:hideMark/>
          </w:tcPr>
          <w:p w14:paraId="53B06307" w14:textId="77777777" w:rsidR="0097090C" w:rsidRPr="003C07CF" w:rsidRDefault="0097090C" w:rsidP="0097090C">
            <w:pPr>
              <w:rPr>
                <w:rFonts w:cs="Arial"/>
                <w:color w:val="000000"/>
              </w:rPr>
            </w:pPr>
            <w:r w:rsidRPr="003C07CF">
              <w:rPr>
                <w:rFonts w:cs="Arial"/>
                <w:color w:val="000000"/>
              </w:rPr>
              <w:t>Plant and Equipment under Finance Lease at Cost</w:t>
            </w:r>
          </w:p>
        </w:tc>
        <w:tc>
          <w:tcPr>
            <w:tcW w:w="731" w:type="dxa"/>
            <w:tcBorders>
              <w:top w:val="nil"/>
              <w:left w:val="nil"/>
              <w:bottom w:val="nil"/>
              <w:right w:val="nil"/>
            </w:tcBorders>
            <w:shd w:val="clear" w:color="auto" w:fill="auto"/>
            <w:vAlign w:val="center"/>
            <w:hideMark/>
          </w:tcPr>
          <w:p w14:paraId="30D3E387"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4BCC7FAB" w14:textId="77777777" w:rsidR="0097090C" w:rsidRPr="003C07CF" w:rsidRDefault="0097090C" w:rsidP="0097090C">
            <w:pPr>
              <w:jc w:val="right"/>
              <w:rPr>
                <w:rFonts w:cs="Arial"/>
                <w:color w:val="000000"/>
              </w:rPr>
            </w:pPr>
            <w:r w:rsidRPr="003C07CF">
              <w:rPr>
                <w:rFonts w:cs="Arial"/>
                <w:color w:val="000000"/>
              </w:rPr>
              <w:t>697</w:t>
            </w:r>
          </w:p>
        </w:tc>
        <w:tc>
          <w:tcPr>
            <w:tcW w:w="1267" w:type="dxa"/>
            <w:tcBorders>
              <w:top w:val="nil"/>
              <w:left w:val="nil"/>
              <w:bottom w:val="nil"/>
              <w:right w:val="nil"/>
            </w:tcBorders>
            <w:shd w:val="clear" w:color="auto" w:fill="auto"/>
            <w:vAlign w:val="center"/>
            <w:hideMark/>
          </w:tcPr>
          <w:p w14:paraId="7F4AA3DA" w14:textId="77777777" w:rsidR="0097090C" w:rsidRPr="003C07CF" w:rsidRDefault="0097090C" w:rsidP="0097090C">
            <w:pPr>
              <w:jc w:val="right"/>
              <w:rPr>
                <w:rFonts w:cs="Arial"/>
                <w:color w:val="000000"/>
              </w:rPr>
            </w:pPr>
            <w:r w:rsidRPr="003C07CF">
              <w:rPr>
                <w:rFonts w:cs="Arial"/>
                <w:color w:val="000000"/>
              </w:rPr>
              <w:t>678</w:t>
            </w:r>
          </w:p>
        </w:tc>
      </w:tr>
      <w:tr w:rsidR="0097090C" w:rsidRPr="003C07CF" w14:paraId="1975497F"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6823761C" w14:textId="77777777" w:rsidR="0097090C" w:rsidRPr="003C07CF" w:rsidRDefault="0097090C" w:rsidP="0097090C">
            <w:pPr>
              <w:rPr>
                <w:rFonts w:cs="Arial"/>
                <w:color w:val="000000"/>
              </w:rPr>
            </w:pPr>
            <w:r w:rsidRPr="003C07CF">
              <w:rPr>
                <w:rFonts w:cs="Arial"/>
                <w:color w:val="000000"/>
              </w:rPr>
              <w:t>Less Accumulated Depreciation</w:t>
            </w:r>
          </w:p>
        </w:tc>
        <w:tc>
          <w:tcPr>
            <w:tcW w:w="731" w:type="dxa"/>
            <w:tcBorders>
              <w:top w:val="nil"/>
              <w:left w:val="nil"/>
              <w:bottom w:val="single" w:sz="4" w:space="0" w:color="auto"/>
              <w:right w:val="nil"/>
            </w:tcBorders>
            <w:shd w:val="clear" w:color="auto" w:fill="auto"/>
            <w:vAlign w:val="center"/>
            <w:hideMark/>
          </w:tcPr>
          <w:p w14:paraId="33770EE0" w14:textId="77777777" w:rsidR="0097090C" w:rsidRPr="003C07CF" w:rsidRDefault="0097090C" w:rsidP="0097090C">
            <w:pPr>
              <w:jc w:val="center"/>
              <w:rPr>
                <w:rFonts w:cs="Arial"/>
                <w:color w:val="000000"/>
              </w:rPr>
            </w:pPr>
            <w:r w:rsidRPr="003C07CF">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79828721" w14:textId="77777777" w:rsidR="0097090C" w:rsidRPr="003C07CF" w:rsidRDefault="0097090C" w:rsidP="0097090C">
            <w:pPr>
              <w:jc w:val="right"/>
              <w:rPr>
                <w:rFonts w:cs="Arial"/>
                <w:color w:val="000000"/>
              </w:rPr>
            </w:pPr>
            <w:r w:rsidRPr="003C07CF">
              <w:rPr>
                <w:rFonts w:cs="Arial"/>
                <w:color w:val="000000"/>
              </w:rPr>
              <w:t>(239)</w:t>
            </w:r>
          </w:p>
        </w:tc>
        <w:tc>
          <w:tcPr>
            <w:tcW w:w="1267" w:type="dxa"/>
            <w:tcBorders>
              <w:top w:val="nil"/>
              <w:left w:val="nil"/>
              <w:bottom w:val="single" w:sz="4" w:space="0" w:color="auto"/>
              <w:right w:val="nil"/>
            </w:tcBorders>
            <w:shd w:val="clear" w:color="auto" w:fill="auto"/>
            <w:vAlign w:val="center"/>
            <w:hideMark/>
          </w:tcPr>
          <w:p w14:paraId="1F870270" w14:textId="77777777" w:rsidR="0097090C" w:rsidRPr="003C07CF" w:rsidRDefault="0097090C" w:rsidP="0097090C">
            <w:pPr>
              <w:jc w:val="right"/>
              <w:rPr>
                <w:rFonts w:cs="Arial"/>
                <w:color w:val="000000"/>
              </w:rPr>
            </w:pPr>
            <w:r w:rsidRPr="003C07CF">
              <w:rPr>
                <w:rFonts w:cs="Arial"/>
                <w:color w:val="000000"/>
              </w:rPr>
              <w:t>(361)</w:t>
            </w:r>
          </w:p>
        </w:tc>
      </w:tr>
      <w:tr w:rsidR="0097090C" w:rsidRPr="003C07CF" w14:paraId="74415FBF" w14:textId="77777777" w:rsidTr="0097090C">
        <w:trPr>
          <w:trHeight w:val="255"/>
        </w:trPr>
        <w:tc>
          <w:tcPr>
            <w:tcW w:w="6095" w:type="dxa"/>
            <w:tcBorders>
              <w:top w:val="nil"/>
              <w:left w:val="nil"/>
              <w:bottom w:val="nil"/>
              <w:right w:val="nil"/>
            </w:tcBorders>
            <w:shd w:val="clear" w:color="auto" w:fill="auto"/>
            <w:vAlign w:val="center"/>
            <w:hideMark/>
          </w:tcPr>
          <w:p w14:paraId="43915990" w14:textId="77777777" w:rsidR="0097090C" w:rsidRPr="003C07CF"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3A25CDA4"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74EEEBC" w14:textId="77777777" w:rsidR="0097090C" w:rsidRPr="003C07CF" w:rsidRDefault="0097090C" w:rsidP="0097090C">
            <w:pPr>
              <w:jc w:val="right"/>
              <w:rPr>
                <w:rFonts w:cs="Arial"/>
                <w:color w:val="000000"/>
              </w:rPr>
            </w:pPr>
            <w:r w:rsidRPr="003C07CF">
              <w:rPr>
                <w:rFonts w:cs="Arial"/>
                <w:color w:val="000000"/>
              </w:rPr>
              <w:t>458</w:t>
            </w:r>
          </w:p>
        </w:tc>
        <w:tc>
          <w:tcPr>
            <w:tcW w:w="1267" w:type="dxa"/>
            <w:tcBorders>
              <w:top w:val="nil"/>
              <w:left w:val="nil"/>
              <w:bottom w:val="nil"/>
              <w:right w:val="nil"/>
            </w:tcBorders>
            <w:shd w:val="clear" w:color="auto" w:fill="auto"/>
            <w:vAlign w:val="center"/>
            <w:hideMark/>
          </w:tcPr>
          <w:p w14:paraId="0A297A31" w14:textId="77777777" w:rsidR="0097090C" w:rsidRPr="003C07CF" w:rsidRDefault="0097090C" w:rsidP="0097090C">
            <w:pPr>
              <w:jc w:val="right"/>
              <w:rPr>
                <w:rFonts w:cs="Arial"/>
                <w:color w:val="000000"/>
              </w:rPr>
            </w:pPr>
            <w:r w:rsidRPr="003C07CF">
              <w:rPr>
                <w:rFonts w:cs="Arial"/>
                <w:color w:val="000000"/>
              </w:rPr>
              <w:t>317</w:t>
            </w:r>
          </w:p>
        </w:tc>
      </w:tr>
      <w:tr w:rsidR="0097090C" w:rsidRPr="003C07CF" w14:paraId="441C63DA"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0B031A33" w14:textId="77777777" w:rsidR="0097090C" w:rsidRPr="003C07CF" w:rsidRDefault="0097090C" w:rsidP="0097090C">
            <w:pPr>
              <w:rPr>
                <w:rFonts w:cs="Arial"/>
                <w:b/>
                <w:bCs/>
                <w:color w:val="000000"/>
              </w:rPr>
            </w:pPr>
            <w:r w:rsidRPr="003C07CF">
              <w:rPr>
                <w:rFonts w:cs="Arial"/>
                <w:b/>
                <w:bCs/>
                <w:color w:val="000000"/>
              </w:rPr>
              <w:t>TOTAL</w:t>
            </w:r>
          </w:p>
        </w:tc>
        <w:tc>
          <w:tcPr>
            <w:tcW w:w="731" w:type="dxa"/>
            <w:tcBorders>
              <w:top w:val="single" w:sz="4" w:space="0" w:color="auto"/>
              <w:left w:val="nil"/>
              <w:bottom w:val="single" w:sz="4" w:space="0" w:color="auto"/>
              <w:right w:val="nil"/>
            </w:tcBorders>
            <w:shd w:val="clear" w:color="auto" w:fill="auto"/>
            <w:vAlign w:val="center"/>
            <w:hideMark/>
          </w:tcPr>
          <w:p w14:paraId="1110DB17" w14:textId="77777777" w:rsidR="0097090C" w:rsidRPr="003C07CF" w:rsidRDefault="0097090C" w:rsidP="0097090C">
            <w:pPr>
              <w:jc w:val="center"/>
              <w:rPr>
                <w:rFonts w:cs="Arial"/>
                <w:color w:val="000000"/>
              </w:rPr>
            </w:pPr>
            <w:r w:rsidRPr="003C07CF">
              <w:rPr>
                <w:rFonts w:cs="Arial"/>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4EB1BC8C" w14:textId="77777777" w:rsidR="0097090C" w:rsidRPr="003C07CF" w:rsidRDefault="0097090C" w:rsidP="0097090C">
            <w:pPr>
              <w:jc w:val="right"/>
              <w:rPr>
                <w:rFonts w:cs="Arial"/>
                <w:b/>
                <w:bCs/>
                <w:color w:val="000000"/>
              </w:rPr>
            </w:pPr>
            <w:r w:rsidRPr="003C07CF">
              <w:rPr>
                <w:rFonts w:cs="Arial"/>
                <w:b/>
                <w:bCs/>
                <w:color w:val="000000"/>
              </w:rPr>
              <w:t>6,879</w:t>
            </w:r>
          </w:p>
        </w:tc>
        <w:tc>
          <w:tcPr>
            <w:tcW w:w="1267" w:type="dxa"/>
            <w:tcBorders>
              <w:top w:val="single" w:sz="4" w:space="0" w:color="auto"/>
              <w:left w:val="nil"/>
              <w:bottom w:val="single" w:sz="4" w:space="0" w:color="auto"/>
              <w:right w:val="nil"/>
            </w:tcBorders>
            <w:shd w:val="clear" w:color="auto" w:fill="auto"/>
            <w:vAlign w:val="center"/>
            <w:hideMark/>
          </w:tcPr>
          <w:p w14:paraId="139B33BC" w14:textId="77777777" w:rsidR="0097090C" w:rsidRPr="003C07CF" w:rsidRDefault="0097090C" w:rsidP="0097090C">
            <w:pPr>
              <w:jc w:val="right"/>
              <w:rPr>
                <w:rFonts w:cs="Arial"/>
                <w:b/>
                <w:bCs/>
                <w:color w:val="000000"/>
              </w:rPr>
            </w:pPr>
            <w:r w:rsidRPr="003C07CF">
              <w:rPr>
                <w:rFonts w:cs="Arial"/>
                <w:b/>
                <w:bCs/>
                <w:color w:val="000000"/>
              </w:rPr>
              <w:t>4,363</w:t>
            </w:r>
          </w:p>
        </w:tc>
      </w:tr>
      <w:tr w:rsidR="0097090C" w:rsidRPr="003C07CF" w14:paraId="602050F5" w14:textId="77777777" w:rsidTr="0097090C">
        <w:trPr>
          <w:trHeight w:val="255"/>
        </w:trPr>
        <w:tc>
          <w:tcPr>
            <w:tcW w:w="6095" w:type="dxa"/>
            <w:tcBorders>
              <w:top w:val="nil"/>
              <w:left w:val="nil"/>
              <w:bottom w:val="nil"/>
              <w:right w:val="nil"/>
            </w:tcBorders>
            <w:shd w:val="clear" w:color="auto" w:fill="auto"/>
            <w:vAlign w:val="center"/>
            <w:hideMark/>
          </w:tcPr>
          <w:p w14:paraId="102F70A6" w14:textId="77777777" w:rsidR="0097090C" w:rsidRPr="003C07CF" w:rsidRDefault="0097090C" w:rsidP="0097090C">
            <w:pPr>
              <w:rPr>
                <w:rFonts w:cs="Arial"/>
                <w:b/>
                <w:bCs/>
                <w:color w:val="000000"/>
              </w:rPr>
            </w:pPr>
            <w:r w:rsidRPr="003C07CF">
              <w:rPr>
                <w:rFonts w:cs="Arial"/>
                <w:b/>
                <w:bCs/>
                <w:color w:val="000000"/>
              </w:rPr>
              <w:t>Exhibitions</w:t>
            </w:r>
          </w:p>
        </w:tc>
        <w:tc>
          <w:tcPr>
            <w:tcW w:w="731" w:type="dxa"/>
            <w:tcBorders>
              <w:top w:val="nil"/>
              <w:left w:val="nil"/>
              <w:bottom w:val="nil"/>
              <w:right w:val="nil"/>
            </w:tcBorders>
            <w:shd w:val="clear" w:color="auto" w:fill="auto"/>
            <w:vAlign w:val="center"/>
            <w:hideMark/>
          </w:tcPr>
          <w:p w14:paraId="07014A9A"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797B58F" w14:textId="77777777" w:rsidR="0097090C" w:rsidRPr="003C07CF" w:rsidRDefault="0097090C" w:rsidP="0097090C">
            <w:pPr>
              <w:jc w:val="right"/>
              <w:rPr>
                <w:rFonts w:cs="Arial"/>
                <w:color w:val="000000"/>
              </w:rPr>
            </w:pPr>
            <w:r w:rsidRPr="003C07CF">
              <w:rPr>
                <w:rFonts w:cs="Arial"/>
                <w:color w:val="000000"/>
              </w:rPr>
              <w:t> </w:t>
            </w:r>
          </w:p>
        </w:tc>
        <w:tc>
          <w:tcPr>
            <w:tcW w:w="1267" w:type="dxa"/>
            <w:tcBorders>
              <w:top w:val="nil"/>
              <w:left w:val="nil"/>
              <w:bottom w:val="nil"/>
              <w:right w:val="nil"/>
            </w:tcBorders>
            <w:shd w:val="clear" w:color="auto" w:fill="auto"/>
            <w:vAlign w:val="center"/>
            <w:hideMark/>
          </w:tcPr>
          <w:p w14:paraId="721D10F4" w14:textId="77777777" w:rsidR="0097090C" w:rsidRPr="003C07CF" w:rsidRDefault="0097090C" w:rsidP="0097090C">
            <w:pPr>
              <w:jc w:val="right"/>
              <w:rPr>
                <w:rFonts w:cs="Arial"/>
                <w:color w:val="000000"/>
              </w:rPr>
            </w:pPr>
          </w:p>
        </w:tc>
      </w:tr>
      <w:tr w:rsidR="0097090C" w:rsidRPr="003C07CF" w14:paraId="5F35AC2D" w14:textId="77777777" w:rsidTr="0097090C">
        <w:trPr>
          <w:trHeight w:val="255"/>
        </w:trPr>
        <w:tc>
          <w:tcPr>
            <w:tcW w:w="6095" w:type="dxa"/>
            <w:tcBorders>
              <w:top w:val="nil"/>
              <w:left w:val="nil"/>
              <w:bottom w:val="nil"/>
              <w:right w:val="nil"/>
            </w:tcBorders>
            <w:shd w:val="clear" w:color="auto" w:fill="auto"/>
            <w:vAlign w:val="center"/>
            <w:hideMark/>
          </w:tcPr>
          <w:p w14:paraId="52CEABA2" w14:textId="77777777" w:rsidR="0097090C" w:rsidRPr="003C07CF" w:rsidRDefault="0097090C" w:rsidP="0097090C">
            <w:pPr>
              <w:rPr>
                <w:rFonts w:cs="Arial"/>
                <w:color w:val="000000"/>
              </w:rPr>
            </w:pPr>
            <w:r w:rsidRPr="003C07CF">
              <w:rPr>
                <w:rFonts w:cs="Arial"/>
                <w:color w:val="000000"/>
              </w:rPr>
              <w:t>Melbourne Museum at Fair Value</w:t>
            </w:r>
            <w:r>
              <w:rPr>
                <w:rFonts w:cs="Arial"/>
                <w:color w:val="000000"/>
              </w:rPr>
              <w:t>*</w:t>
            </w:r>
          </w:p>
        </w:tc>
        <w:tc>
          <w:tcPr>
            <w:tcW w:w="731" w:type="dxa"/>
            <w:tcBorders>
              <w:top w:val="nil"/>
              <w:left w:val="nil"/>
              <w:bottom w:val="nil"/>
              <w:right w:val="nil"/>
            </w:tcBorders>
            <w:shd w:val="clear" w:color="auto" w:fill="auto"/>
            <w:vAlign w:val="center"/>
            <w:hideMark/>
          </w:tcPr>
          <w:p w14:paraId="5D9B3D84"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793DEBA" w14:textId="77777777" w:rsidR="0097090C" w:rsidRPr="003C07CF" w:rsidRDefault="0097090C" w:rsidP="0097090C">
            <w:pPr>
              <w:jc w:val="right"/>
              <w:rPr>
                <w:rFonts w:cs="Arial"/>
                <w:color w:val="000000"/>
              </w:rPr>
            </w:pPr>
            <w:r w:rsidRPr="003C07CF">
              <w:rPr>
                <w:rFonts w:cs="Arial"/>
                <w:color w:val="000000"/>
              </w:rPr>
              <w:t>61,094</w:t>
            </w:r>
          </w:p>
        </w:tc>
        <w:tc>
          <w:tcPr>
            <w:tcW w:w="1267" w:type="dxa"/>
            <w:tcBorders>
              <w:top w:val="nil"/>
              <w:left w:val="nil"/>
              <w:bottom w:val="nil"/>
              <w:right w:val="nil"/>
            </w:tcBorders>
            <w:shd w:val="clear" w:color="auto" w:fill="auto"/>
            <w:vAlign w:val="center"/>
            <w:hideMark/>
          </w:tcPr>
          <w:p w14:paraId="6ED43D04" w14:textId="77777777" w:rsidR="0097090C" w:rsidRPr="003C07CF" w:rsidRDefault="0097090C" w:rsidP="0097090C">
            <w:pPr>
              <w:jc w:val="right"/>
              <w:rPr>
                <w:rFonts w:cs="Arial"/>
                <w:color w:val="000000"/>
              </w:rPr>
            </w:pPr>
            <w:r w:rsidRPr="003C07CF">
              <w:rPr>
                <w:rFonts w:cs="Arial"/>
                <w:color w:val="000000"/>
              </w:rPr>
              <w:t>61,179</w:t>
            </w:r>
          </w:p>
        </w:tc>
      </w:tr>
      <w:tr w:rsidR="0097090C" w:rsidRPr="003C07CF" w14:paraId="220EF9FA" w14:textId="77777777" w:rsidTr="0097090C">
        <w:trPr>
          <w:trHeight w:val="255"/>
        </w:trPr>
        <w:tc>
          <w:tcPr>
            <w:tcW w:w="6095" w:type="dxa"/>
            <w:tcBorders>
              <w:top w:val="nil"/>
              <w:left w:val="nil"/>
              <w:bottom w:val="nil"/>
              <w:right w:val="nil"/>
            </w:tcBorders>
            <w:shd w:val="clear" w:color="auto" w:fill="auto"/>
            <w:vAlign w:val="center"/>
            <w:hideMark/>
          </w:tcPr>
          <w:p w14:paraId="291B1F94" w14:textId="77777777" w:rsidR="0097090C" w:rsidRPr="003C07CF" w:rsidRDefault="0097090C" w:rsidP="0097090C">
            <w:pPr>
              <w:rPr>
                <w:rFonts w:cs="Arial"/>
                <w:color w:val="000000"/>
              </w:rPr>
            </w:pPr>
            <w:r w:rsidRPr="003C07CF">
              <w:rPr>
                <w:rFonts w:cs="Arial"/>
                <w:color w:val="000000"/>
              </w:rPr>
              <w:t>Less Accumulated Depreciation</w:t>
            </w:r>
          </w:p>
        </w:tc>
        <w:tc>
          <w:tcPr>
            <w:tcW w:w="731" w:type="dxa"/>
            <w:tcBorders>
              <w:top w:val="nil"/>
              <w:left w:val="nil"/>
              <w:bottom w:val="nil"/>
              <w:right w:val="nil"/>
            </w:tcBorders>
            <w:shd w:val="clear" w:color="auto" w:fill="auto"/>
            <w:vAlign w:val="center"/>
            <w:hideMark/>
          </w:tcPr>
          <w:p w14:paraId="10973374"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39DB5F2" w14:textId="77777777" w:rsidR="0097090C" w:rsidRPr="003C07CF" w:rsidRDefault="0097090C" w:rsidP="0097090C">
            <w:pPr>
              <w:jc w:val="right"/>
              <w:rPr>
                <w:rFonts w:cs="Arial"/>
                <w:color w:val="000000"/>
              </w:rPr>
            </w:pPr>
            <w:r w:rsidRPr="003C07CF">
              <w:rPr>
                <w:rFonts w:cs="Arial"/>
                <w:color w:val="000000"/>
              </w:rPr>
              <w:t>(60,059)</w:t>
            </w:r>
          </w:p>
        </w:tc>
        <w:tc>
          <w:tcPr>
            <w:tcW w:w="1267" w:type="dxa"/>
            <w:tcBorders>
              <w:top w:val="nil"/>
              <w:left w:val="nil"/>
              <w:bottom w:val="nil"/>
              <w:right w:val="nil"/>
            </w:tcBorders>
            <w:shd w:val="clear" w:color="auto" w:fill="auto"/>
            <w:vAlign w:val="center"/>
            <w:hideMark/>
          </w:tcPr>
          <w:p w14:paraId="2459BF5C" w14:textId="77777777" w:rsidR="0097090C" w:rsidRPr="003C07CF" w:rsidRDefault="0097090C" w:rsidP="0097090C">
            <w:pPr>
              <w:jc w:val="right"/>
              <w:rPr>
                <w:rFonts w:cs="Arial"/>
                <w:color w:val="000000"/>
              </w:rPr>
            </w:pPr>
            <w:r w:rsidRPr="003C07CF">
              <w:rPr>
                <w:rFonts w:cs="Arial"/>
                <w:color w:val="000000"/>
              </w:rPr>
              <w:t>(59,745)</w:t>
            </w:r>
          </w:p>
        </w:tc>
      </w:tr>
      <w:tr w:rsidR="0097090C" w:rsidRPr="003C07CF" w14:paraId="50E523FD" w14:textId="77777777" w:rsidTr="0097090C">
        <w:trPr>
          <w:trHeight w:val="255"/>
        </w:trPr>
        <w:tc>
          <w:tcPr>
            <w:tcW w:w="6095" w:type="dxa"/>
            <w:tcBorders>
              <w:top w:val="nil"/>
              <w:left w:val="nil"/>
              <w:bottom w:val="nil"/>
              <w:right w:val="nil"/>
            </w:tcBorders>
            <w:shd w:val="clear" w:color="auto" w:fill="auto"/>
            <w:vAlign w:val="center"/>
            <w:hideMark/>
          </w:tcPr>
          <w:p w14:paraId="33989F39" w14:textId="77777777" w:rsidR="0097090C" w:rsidRPr="003C07CF" w:rsidRDefault="0097090C" w:rsidP="0097090C">
            <w:pPr>
              <w:rPr>
                <w:rFonts w:cs="Arial"/>
                <w:color w:val="000000"/>
              </w:rPr>
            </w:pPr>
            <w:r w:rsidRPr="003C07CF">
              <w:rPr>
                <w:rFonts w:cs="Arial"/>
                <w:color w:val="000000"/>
              </w:rPr>
              <w:t>Scienceworks at Fair Value</w:t>
            </w:r>
            <w:r>
              <w:rPr>
                <w:rFonts w:cs="Arial"/>
                <w:color w:val="000000"/>
              </w:rPr>
              <w:t>*</w:t>
            </w:r>
          </w:p>
        </w:tc>
        <w:tc>
          <w:tcPr>
            <w:tcW w:w="731" w:type="dxa"/>
            <w:tcBorders>
              <w:top w:val="nil"/>
              <w:left w:val="nil"/>
              <w:bottom w:val="nil"/>
              <w:right w:val="nil"/>
            </w:tcBorders>
            <w:shd w:val="clear" w:color="auto" w:fill="auto"/>
            <w:vAlign w:val="center"/>
            <w:hideMark/>
          </w:tcPr>
          <w:p w14:paraId="0121186A"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6DB251A7" w14:textId="77777777" w:rsidR="0097090C" w:rsidRPr="003C07CF" w:rsidRDefault="0097090C" w:rsidP="0097090C">
            <w:pPr>
              <w:jc w:val="right"/>
              <w:rPr>
                <w:rFonts w:cs="Arial"/>
                <w:color w:val="000000"/>
              </w:rPr>
            </w:pPr>
            <w:r w:rsidRPr="003C07CF">
              <w:rPr>
                <w:rFonts w:cs="Arial"/>
                <w:color w:val="000000"/>
              </w:rPr>
              <w:t>3,643</w:t>
            </w:r>
          </w:p>
        </w:tc>
        <w:tc>
          <w:tcPr>
            <w:tcW w:w="1267" w:type="dxa"/>
            <w:tcBorders>
              <w:top w:val="nil"/>
              <w:left w:val="nil"/>
              <w:bottom w:val="nil"/>
              <w:right w:val="nil"/>
            </w:tcBorders>
            <w:shd w:val="clear" w:color="auto" w:fill="auto"/>
            <w:vAlign w:val="center"/>
            <w:hideMark/>
          </w:tcPr>
          <w:p w14:paraId="6CF367E1" w14:textId="77777777" w:rsidR="0097090C" w:rsidRPr="003C07CF" w:rsidRDefault="0097090C" w:rsidP="0097090C">
            <w:pPr>
              <w:jc w:val="right"/>
              <w:rPr>
                <w:rFonts w:cs="Arial"/>
                <w:color w:val="000000"/>
              </w:rPr>
            </w:pPr>
            <w:r w:rsidRPr="003C07CF">
              <w:rPr>
                <w:rFonts w:cs="Arial"/>
                <w:color w:val="000000"/>
              </w:rPr>
              <w:t>4,310</w:t>
            </w:r>
          </w:p>
        </w:tc>
      </w:tr>
      <w:tr w:rsidR="0097090C" w:rsidRPr="003C07CF" w14:paraId="75E49663" w14:textId="77777777" w:rsidTr="0097090C">
        <w:trPr>
          <w:trHeight w:val="255"/>
        </w:trPr>
        <w:tc>
          <w:tcPr>
            <w:tcW w:w="6095" w:type="dxa"/>
            <w:tcBorders>
              <w:top w:val="nil"/>
              <w:left w:val="nil"/>
              <w:bottom w:val="nil"/>
              <w:right w:val="nil"/>
            </w:tcBorders>
            <w:shd w:val="clear" w:color="auto" w:fill="auto"/>
            <w:vAlign w:val="center"/>
            <w:hideMark/>
          </w:tcPr>
          <w:p w14:paraId="01A2877E" w14:textId="77777777" w:rsidR="0097090C" w:rsidRPr="003C07CF" w:rsidRDefault="0097090C" w:rsidP="0097090C">
            <w:pPr>
              <w:rPr>
                <w:rFonts w:cs="Arial"/>
                <w:color w:val="000000"/>
              </w:rPr>
            </w:pPr>
            <w:r w:rsidRPr="003C07CF">
              <w:rPr>
                <w:rFonts w:cs="Arial"/>
                <w:color w:val="000000"/>
              </w:rPr>
              <w:t>Less Accumulated Depreciation</w:t>
            </w:r>
          </w:p>
        </w:tc>
        <w:tc>
          <w:tcPr>
            <w:tcW w:w="731" w:type="dxa"/>
            <w:tcBorders>
              <w:top w:val="nil"/>
              <w:left w:val="nil"/>
              <w:bottom w:val="nil"/>
              <w:right w:val="nil"/>
            </w:tcBorders>
            <w:shd w:val="clear" w:color="auto" w:fill="auto"/>
            <w:vAlign w:val="center"/>
            <w:hideMark/>
          </w:tcPr>
          <w:p w14:paraId="53349370"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308FF0A" w14:textId="77777777" w:rsidR="0097090C" w:rsidRPr="003C07CF" w:rsidRDefault="0097090C" w:rsidP="0097090C">
            <w:pPr>
              <w:jc w:val="right"/>
              <w:rPr>
                <w:rFonts w:cs="Arial"/>
                <w:color w:val="000000"/>
              </w:rPr>
            </w:pPr>
            <w:r w:rsidRPr="003C07CF">
              <w:rPr>
                <w:rFonts w:cs="Arial"/>
                <w:color w:val="000000"/>
              </w:rPr>
              <w:t>(3,306)</w:t>
            </w:r>
          </w:p>
        </w:tc>
        <w:tc>
          <w:tcPr>
            <w:tcW w:w="1267" w:type="dxa"/>
            <w:tcBorders>
              <w:top w:val="nil"/>
              <w:left w:val="nil"/>
              <w:bottom w:val="nil"/>
              <w:right w:val="nil"/>
            </w:tcBorders>
            <w:shd w:val="clear" w:color="auto" w:fill="auto"/>
            <w:vAlign w:val="center"/>
            <w:hideMark/>
          </w:tcPr>
          <w:p w14:paraId="2B2CEF49" w14:textId="77777777" w:rsidR="0097090C" w:rsidRPr="003C07CF" w:rsidRDefault="0097090C" w:rsidP="0097090C">
            <w:pPr>
              <w:jc w:val="right"/>
              <w:rPr>
                <w:rFonts w:cs="Arial"/>
                <w:color w:val="000000"/>
              </w:rPr>
            </w:pPr>
            <w:r w:rsidRPr="003C07CF">
              <w:rPr>
                <w:rFonts w:cs="Arial"/>
                <w:color w:val="000000"/>
              </w:rPr>
              <w:t>(3,834)</w:t>
            </w:r>
          </w:p>
        </w:tc>
      </w:tr>
      <w:tr w:rsidR="0097090C" w:rsidRPr="003C07CF" w14:paraId="6C3F3514" w14:textId="77777777" w:rsidTr="0097090C">
        <w:trPr>
          <w:trHeight w:val="255"/>
        </w:trPr>
        <w:tc>
          <w:tcPr>
            <w:tcW w:w="6095" w:type="dxa"/>
            <w:tcBorders>
              <w:top w:val="nil"/>
              <w:left w:val="nil"/>
              <w:bottom w:val="nil"/>
              <w:right w:val="nil"/>
            </w:tcBorders>
            <w:shd w:val="clear" w:color="auto" w:fill="auto"/>
            <w:vAlign w:val="center"/>
            <w:hideMark/>
          </w:tcPr>
          <w:p w14:paraId="5D6A501F" w14:textId="77777777" w:rsidR="0097090C" w:rsidRPr="003C07CF" w:rsidRDefault="0097090C" w:rsidP="0097090C">
            <w:pPr>
              <w:rPr>
                <w:rFonts w:cs="Arial"/>
                <w:color w:val="000000"/>
              </w:rPr>
            </w:pPr>
            <w:r w:rsidRPr="003C07CF">
              <w:rPr>
                <w:rFonts w:cs="Arial"/>
                <w:color w:val="000000"/>
              </w:rPr>
              <w:t>Immigration Museum at Fair Value</w:t>
            </w:r>
            <w:r>
              <w:rPr>
                <w:rFonts w:cs="Arial"/>
                <w:color w:val="000000"/>
              </w:rPr>
              <w:t>*</w:t>
            </w:r>
          </w:p>
        </w:tc>
        <w:tc>
          <w:tcPr>
            <w:tcW w:w="731" w:type="dxa"/>
            <w:tcBorders>
              <w:top w:val="nil"/>
              <w:left w:val="nil"/>
              <w:bottom w:val="nil"/>
              <w:right w:val="nil"/>
            </w:tcBorders>
            <w:shd w:val="clear" w:color="auto" w:fill="auto"/>
            <w:vAlign w:val="center"/>
            <w:hideMark/>
          </w:tcPr>
          <w:p w14:paraId="52908E5A"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EB1EB6A" w14:textId="77777777" w:rsidR="0097090C" w:rsidRPr="003C07CF" w:rsidRDefault="0097090C" w:rsidP="0097090C">
            <w:pPr>
              <w:jc w:val="right"/>
              <w:rPr>
                <w:rFonts w:cs="Arial"/>
                <w:color w:val="000000"/>
              </w:rPr>
            </w:pPr>
            <w:r w:rsidRPr="003C07CF">
              <w:rPr>
                <w:rFonts w:cs="Arial"/>
                <w:color w:val="000000"/>
              </w:rPr>
              <w:t>5,328</w:t>
            </w:r>
          </w:p>
        </w:tc>
        <w:tc>
          <w:tcPr>
            <w:tcW w:w="1267" w:type="dxa"/>
            <w:tcBorders>
              <w:top w:val="nil"/>
              <w:left w:val="nil"/>
              <w:bottom w:val="nil"/>
              <w:right w:val="nil"/>
            </w:tcBorders>
            <w:shd w:val="clear" w:color="auto" w:fill="auto"/>
            <w:vAlign w:val="center"/>
            <w:hideMark/>
          </w:tcPr>
          <w:p w14:paraId="5AA0F761" w14:textId="77777777" w:rsidR="0097090C" w:rsidRPr="003C07CF" w:rsidRDefault="0097090C" w:rsidP="0097090C">
            <w:pPr>
              <w:jc w:val="right"/>
              <w:rPr>
                <w:rFonts w:cs="Arial"/>
                <w:color w:val="000000"/>
              </w:rPr>
            </w:pPr>
            <w:r w:rsidRPr="003C07CF">
              <w:rPr>
                <w:rFonts w:cs="Arial"/>
                <w:color w:val="000000"/>
              </w:rPr>
              <w:t>5,328</w:t>
            </w:r>
          </w:p>
        </w:tc>
      </w:tr>
      <w:tr w:rsidR="0097090C" w:rsidRPr="003C07CF" w14:paraId="49680A13"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4FE42F3C" w14:textId="77777777" w:rsidR="0097090C" w:rsidRPr="003C07CF" w:rsidRDefault="0097090C" w:rsidP="0097090C">
            <w:pPr>
              <w:rPr>
                <w:rFonts w:cs="Arial"/>
                <w:color w:val="000000"/>
              </w:rPr>
            </w:pPr>
            <w:r w:rsidRPr="003C07CF">
              <w:rPr>
                <w:rFonts w:cs="Arial"/>
                <w:color w:val="000000"/>
              </w:rPr>
              <w:t>Less Accumulated Depreciation</w:t>
            </w:r>
          </w:p>
        </w:tc>
        <w:tc>
          <w:tcPr>
            <w:tcW w:w="731" w:type="dxa"/>
            <w:tcBorders>
              <w:top w:val="nil"/>
              <w:left w:val="nil"/>
              <w:bottom w:val="single" w:sz="4" w:space="0" w:color="auto"/>
              <w:right w:val="nil"/>
            </w:tcBorders>
            <w:shd w:val="clear" w:color="auto" w:fill="auto"/>
            <w:vAlign w:val="center"/>
            <w:hideMark/>
          </w:tcPr>
          <w:p w14:paraId="7FF4EB15" w14:textId="77777777" w:rsidR="0097090C" w:rsidRPr="003C07CF" w:rsidRDefault="0097090C" w:rsidP="0097090C">
            <w:pPr>
              <w:jc w:val="center"/>
              <w:rPr>
                <w:rFonts w:cs="Arial"/>
                <w:color w:val="000000"/>
              </w:rPr>
            </w:pPr>
            <w:r w:rsidRPr="003C07CF">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71EB801C" w14:textId="77777777" w:rsidR="0097090C" w:rsidRPr="003C07CF" w:rsidRDefault="0097090C" w:rsidP="0097090C">
            <w:pPr>
              <w:jc w:val="right"/>
              <w:rPr>
                <w:rFonts w:cs="Arial"/>
                <w:color w:val="000000"/>
              </w:rPr>
            </w:pPr>
            <w:r w:rsidRPr="003C07CF">
              <w:rPr>
                <w:rFonts w:cs="Arial"/>
                <w:color w:val="000000"/>
              </w:rPr>
              <w:t>(5,327)</w:t>
            </w:r>
          </w:p>
        </w:tc>
        <w:tc>
          <w:tcPr>
            <w:tcW w:w="1267" w:type="dxa"/>
            <w:tcBorders>
              <w:top w:val="nil"/>
              <w:left w:val="nil"/>
              <w:bottom w:val="single" w:sz="4" w:space="0" w:color="auto"/>
              <w:right w:val="nil"/>
            </w:tcBorders>
            <w:shd w:val="clear" w:color="auto" w:fill="auto"/>
            <w:vAlign w:val="center"/>
            <w:hideMark/>
          </w:tcPr>
          <w:p w14:paraId="729E9932" w14:textId="77777777" w:rsidR="0097090C" w:rsidRPr="003C07CF" w:rsidRDefault="0097090C" w:rsidP="0097090C">
            <w:pPr>
              <w:jc w:val="right"/>
              <w:rPr>
                <w:rFonts w:cs="Arial"/>
                <w:color w:val="000000"/>
              </w:rPr>
            </w:pPr>
            <w:r w:rsidRPr="003C07CF">
              <w:rPr>
                <w:rFonts w:cs="Arial"/>
                <w:color w:val="000000"/>
              </w:rPr>
              <w:t>(5,316)</w:t>
            </w:r>
          </w:p>
        </w:tc>
      </w:tr>
      <w:tr w:rsidR="0097090C" w:rsidRPr="003C07CF" w14:paraId="3DEB5A00" w14:textId="77777777" w:rsidTr="0097090C">
        <w:trPr>
          <w:trHeight w:val="285"/>
        </w:trPr>
        <w:tc>
          <w:tcPr>
            <w:tcW w:w="6095" w:type="dxa"/>
            <w:tcBorders>
              <w:top w:val="nil"/>
              <w:left w:val="nil"/>
              <w:bottom w:val="single" w:sz="4" w:space="0" w:color="auto"/>
              <w:right w:val="nil"/>
            </w:tcBorders>
            <w:shd w:val="clear" w:color="auto" w:fill="auto"/>
            <w:vAlign w:val="center"/>
            <w:hideMark/>
          </w:tcPr>
          <w:p w14:paraId="37575EEF" w14:textId="77777777" w:rsidR="0097090C" w:rsidRPr="003C07CF" w:rsidRDefault="0097090C" w:rsidP="0097090C">
            <w:pPr>
              <w:rPr>
                <w:rFonts w:cs="Arial"/>
                <w:b/>
                <w:bCs/>
                <w:color w:val="000000"/>
              </w:rPr>
            </w:pPr>
            <w:r w:rsidRPr="003C07CF">
              <w:rPr>
                <w:rFonts w:cs="Arial"/>
                <w:b/>
                <w:bCs/>
                <w:color w:val="000000"/>
              </w:rPr>
              <w:t>TOTAL</w:t>
            </w:r>
          </w:p>
        </w:tc>
        <w:tc>
          <w:tcPr>
            <w:tcW w:w="731" w:type="dxa"/>
            <w:tcBorders>
              <w:top w:val="nil"/>
              <w:left w:val="nil"/>
              <w:bottom w:val="single" w:sz="4" w:space="0" w:color="auto"/>
              <w:right w:val="nil"/>
            </w:tcBorders>
            <w:shd w:val="clear" w:color="auto" w:fill="auto"/>
            <w:vAlign w:val="center"/>
            <w:hideMark/>
          </w:tcPr>
          <w:p w14:paraId="2DE1BD1C" w14:textId="77777777" w:rsidR="0097090C" w:rsidRPr="003C07CF" w:rsidRDefault="0097090C" w:rsidP="0097090C">
            <w:pPr>
              <w:jc w:val="center"/>
              <w:rPr>
                <w:rFonts w:cs="Arial"/>
                <w:b/>
                <w:bCs/>
                <w:color w:val="000000"/>
              </w:rPr>
            </w:pPr>
            <w:r w:rsidRPr="003C07CF">
              <w:rPr>
                <w:rFonts w:cs="Arial"/>
                <w:b/>
                <w:bCs/>
                <w:color w:val="000000"/>
              </w:rPr>
              <w:t> </w:t>
            </w:r>
          </w:p>
        </w:tc>
        <w:tc>
          <w:tcPr>
            <w:tcW w:w="1267" w:type="dxa"/>
            <w:tcBorders>
              <w:top w:val="nil"/>
              <w:left w:val="nil"/>
              <w:bottom w:val="single" w:sz="4" w:space="0" w:color="auto"/>
              <w:right w:val="nil"/>
            </w:tcBorders>
            <w:shd w:val="clear" w:color="000000" w:fill="D9D9D9"/>
            <w:vAlign w:val="center"/>
            <w:hideMark/>
          </w:tcPr>
          <w:p w14:paraId="48209D2F" w14:textId="77777777" w:rsidR="0097090C" w:rsidRPr="003C07CF" w:rsidRDefault="0097090C" w:rsidP="0097090C">
            <w:pPr>
              <w:jc w:val="right"/>
              <w:rPr>
                <w:rFonts w:cs="Arial"/>
                <w:b/>
                <w:bCs/>
                <w:color w:val="000000"/>
              </w:rPr>
            </w:pPr>
            <w:r>
              <w:rPr>
                <w:rFonts w:cs="Arial"/>
                <w:b/>
                <w:bCs/>
                <w:color w:val="000000"/>
              </w:rPr>
              <w:t>1,373</w:t>
            </w:r>
          </w:p>
        </w:tc>
        <w:tc>
          <w:tcPr>
            <w:tcW w:w="1267" w:type="dxa"/>
            <w:tcBorders>
              <w:top w:val="nil"/>
              <w:left w:val="nil"/>
              <w:bottom w:val="single" w:sz="4" w:space="0" w:color="auto"/>
              <w:right w:val="nil"/>
            </w:tcBorders>
            <w:shd w:val="clear" w:color="auto" w:fill="auto"/>
            <w:vAlign w:val="center"/>
            <w:hideMark/>
          </w:tcPr>
          <w:p w14:paraId="263AEEE4" w14:textId="77777777" w:rsidR="0097090C" w:rsidRPr="003C07CF" w:rsidRDefault="0097090C" w:rsidP="0097090C">
            <w:pPr>
              <w:jc w:val="right"/>
              <w:rPr>
                <w:rFonts w:cs="Arial"/>
                <w:b/>
                <w:bCs/>
                <w:color w:val="000000"/>
              </w:rPr>
            </w:pPr>
            <w:r w:rsidRPr="003C07CF">
              <w:rPr>
                <w:rFonts w:cs="Arial"/>
                <w:b/>
                <w:bCs/>
                <w:color w:val="000000"/>
              </w:rPr>
              <w:t>1,922</w:t>
            </w:r>
          </w:p>
        </w:tc>
      </w:tr>
      <w:tr w:rsidR="0097090C" w:rsidRPr="003C07CF" w14:paraId="1B82261C" w14:textId="77777777" w:rsidTr="0097090C">
        <w:trPr>
          <w:trHeight w:val="255"/>
        </w:trPr>
        <w:tc>
          <w:tcPr>
            <w:tcW w:w="6095" w:type="dxa"/>
            <w:tcBorders>
              <w:top w:val="nil"/>
              <w:left w:val="nil"/>
              <w:bottom w:val="nil"/>
              <w:right w:val="nil"/>
            </w:tcBorders>
            <w:shd w:val="clear" w:color="auto" w:fill="auto"/>
            <w:vAlign w:val="center"/>
            <w:hideMark/>
          </w:tcPr>
          <w:p w14:paraId="08E87C2F" w14:textId="77777777" w:rsidR="0097090C" w:rsidRPr="003C07CF" w:rsidRDefault="0097090C" w:rsidP="0097090C">
            <w:pPr>
              <w:rPr>
                <w:rFonts w:cs="Arial"/>
                <w:b/>
                <w:bCs/>
                <w:color w:val="000000"/>
              </w:rPr>
            </w:pPr>
            <w:r w:rsidRPr="003C07CF">
              <w:rPr>
                <w:rFonts w:cs="Arial"/>
                <w:b/>
                <w:bCs/>
                <w:color w:val="000000"/>
              </w:rPr>
              <w:t>Work in Progress  (WIP)</w:t>
            </w:r>
          </w:p>
        </w:tc>
        <w:tc>
          <w:tcPr>
            <w:tcW w:w="731" w:type="dxa"/>
            <w:tcBorders>
              <w:top w:val="nil"/>
              <w:left w:val="nil"/>
              <w:bottom w:val="nil"/>
              <w:right w:val="nil"/>
            </w:tcBorders>
            <w:shd w:val="clear" w:color="auto" w:fill="auto"/>
            <w:vAlign w:val="center"/>
            <w:hideMark/>
          </w:tcPr>
          <w:p w14:paraId="59F0C3CE"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494A08A" w14:textId="77777777" w:rsidR="0097090C" w:rsidRPr="003C07CF" w:rsidRDefault="0097090C" w:rsidP="0097090C">
            <w:pPr>
              <w:jc w:val="right"/>
              <w:rPr>
                <w:rFonts w:cs="Arial"/>
                <w:color w:val="000000"/>
              </w:rPr>
            </w:pPr>
            <w:r w:rsidRPr="003C07CF">
              <w:rPr>
                <w:rFonts w:cs="Arial"/>
                <w:color w:val="000000"/>
              </w:rPr>
              <w:t> </w:t>
            </w:r>
          </w:p>
        </w:tc>
        <w:tc>
          <w:tcPr>
            <w:tcW w:w="1267" w:type="dxa"/>
            <w:tcBorders>
              <w:top w:val="nil"/>
              <w:left w:val="nil"/>
              <w:bottom w:val="nil"/>
              <w:right w:val="nil"/>
            </w:tcBorders>
            <w:shd w:val="clear" w:color="auto" w:fill="auto"/>
            <w:vAlign w:val="center"/>
            <w:hideMark/>
          </w:tcPr>
          <w:p w14:paraId="54DF746C" w14:textId="77777777" w:rsidR="0097090C" w:rsidRPr="003C07CF" w:rsidRDefault="0097090C" w:rsidP="0097090C">
            <w:pPr>
              <w:jc w:val="right"/>
              <w:rPr>
                <w:rFonts w:cs="Arial"/>
                <w:color w:val="000000"/>
              </w:rPr>
            </w:pPr>
          </w:p>
        </w:tc>
      </w:tr>
      <w:tr w:rsidR="0097090C" w:rsidRPr="003C07CF" w14:paraId="16C0353E" w14:textId="77777777" w:rsidTr="0097090C">
        <w:trPr>
          <w:trHeight w:val="255"/>
        </w:trPr>
        <w:tc>
          <w:tcPr>
            <w:tcW w:w="6095" w:type="dxa"/>
            <w:tcBorders>
              <w:top w:val="nil"/>
              <w:left w:val="nil"/>
              <w:bottom w:val="nil"/>
              <w:right w:val="nil"/>
            </w:tcBorders>
            <w:shd w:val="clear" w:color="auto" w:fill="auto"/>
            <w:vAlign w:val="center"/>
            <w:hideMark/>
          </w:tcPr>
          <w:p w14:paraId="6AFCAF99" w14:textId="77777777" w:rsidR="0097090C" w:rsidRPr="003C07CF" w:rsidRDefault="0097090C" w:rsidP="0097090C">
            <w:pPr>
              <w:rPr>
                <w:rFonts w:cs="Arial"/>
                <w:color w:val="000000"/>
              </w:rPr>
            </w:pPr>
            <w:r w:rsidRPr="003C07CF">
              <w:rPr>
                <w:rFonts w:cs="Arial"/>
                <w:color w:val="000000"/>
              </w:rPr>
              <w:t>Exhibitions at Cost</w:t>
            </w:r>
          </w:p>
        </w:tc>
        <w:tc>
          <w:tcPr>
            <w:tcW w:w="731" w:type="dxa"/>
            <w:tcBorders>
              <w:top w:val="nil"/>
              <w:left w:val="nil"/>
              <w:bottom w:val="nil"/>
              <w:right w:val="nil"/>
            </w:tcBorders>
            <w:shd w:val="clear" w:color="auto" w:fill="auto"/>
            <w:vAlign w:val="center"/>
            <w:hideMark/>
          </w:tcPr>
          <w:p w14:paraId="7AE97FF5"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6ADED21D" w14:textId="77777777" w:rsidR="0097090C" w:rsidRPr="003C07CF" w:rsidRDefault="0097090C" w:rsidP="0097090C">
            <w:pPr>
              <w:jc w:val="right"/>
              <w:rPr>
                <w:rFonts w:cs="Arial"/>
                <w:color w:val="000000"/>
              </w:rPr>
            </w:pPr>
            <w:r>
              <w:rPr>
                <w:rFonts w:cs="Arial"/>
                <w:color w:val="000000"/>
              </w:rPr>
              <w:t>2,206</w:t>
            </w:r>
          </w:p>
        </w:tc>
        <w:tc>
          <w:tcPr>
            <w:tcW w:w="1267" w:type="dxa"/>
            <w:tcBorders>
              <w:top w:val="nil"/>
              <w:left w:val="nil"/>
              <w:bottom w:val="nil"/>
              <w:right w:val="nil"/>
            </w:tcBorders>
            <w:shd w:val="clear" w:color="auto" w:fill="auto"/>
            <w:vAlign w:val="center"/>
            <w:hideMark/>
          </w:tcPr>
          <w:p w14:paraId="012F82F9" w14:textId="77777777" w:rsidR="0097090C" w:rsidRPr="003C07CF" w:rsidRDefault="0097090C" w:rsidP="0097090C">
            <w:pPr>
              <w:jc w:val="right"/>
              <w:rPr>
                <w:rFonts w:cs="Arial"/>
                <w:color w:val="000000"/>
              </w:rPr>
            </w:pPr>
            <w:r w:rsidRPr="003C07CF">
              <w:rPr>
                <w:rFonts w:cs="Arial"/>
                <w:color w:val="000000"/>
              </w:rPr>
              <w:t>15</w:t>
            </w:r>
          </w:p>
        </w:tc>
      </w:tr>
      <w:tr w:rsidR="0097090C" w:rsidRPr="003C07CF" w14:paraId="0551CA31" w14:textId="77777777" w:rsidTr="0097090C">
        <w:trPr>
          <w:trHeight w:val="255"/>
        </w:trPr>
        <w:tc>
          <w:tcPr>
            <w:tcW w:w="6095" w:type="dxa"/>
            <w:tcBorders>
              <w:top w:val="nil"/>
              <w:left w:val="nil"/>
              <w:bottom w:val="nil"/>
              <w:right w:val="nil"/>
            </w:tcBorders>
            <w:shd w:val="clear" w:color="auto" w:fill="auto"/>
            <w:vAlign w:val="center"/>
            <w:hideMark/>
          </w:tcPr>
          <w:p w14:paraId="66C75A7F" w14:textId="77777777" w:rsidR="0097090C" w:rsidRPr="003C07CF" w:rsidRDefault="0097090C" w:rsidP="0097090C">
            <w:pPr>
              <w:rPr>
                <w:rFonts w:cs="Arial"/>
                <w:color w:val="000000"/>
              </w:rPr>
            </w:pPr>
            <w:r>
              <w:rPr>
                <w:rFonts w:cs="Arial"/>
                <w:color w:val="000000"/>
              </w:rPr>
              <w:t>Plant and Equipment at Cost</w:t>
            </w:r>
          </w:p>
        </w:tc>
        <w:tc>
          <w:tcPr>
            <w:tcW w:w="731" w:type="dxa"/>
            <w:tcBorders>
              <w:top w:val="nil"/>
              <w:left w:val="nil"/>
              <w:bottom w:val="nil"/>
              <w:right w:val="nil"/>
            </w:tcBorders>
            <w:shd w:val="clear" w:color="auto" w:fill="auto"/>
            <w:vAlign w:val="center"/>
            <w:hideMark/>
          </w:tcPr>
          <w:p w14:paraId="08E7B0B7"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B730DEF" w14:textId="77777777" w:rsidR="0097090C" w:rsidRPr="003C07CF" w:rsidRDefault="0097090C" w:rsidP="0097090C">
            <w:pPr>
              <w:jc w:val="right"/>
              <w:rPr>
                <w:rFonts w:cs="Arial"/>
                <w:color w:val="000000"/>
              </w:rPr>
            </w:pPr>
            <w:r w:rsidRPr="003C07CF">
              <w:rPr>
                <w:rFonts w:cs="Arial"/>
                <w:color w:val="000000"/>
              </w:rPr>
              <w:t>47</w:t>
            </w:r>
          </w:p>
        </w:tc>
        <w:tc>
          <w:tcPr>
            <w:tcW w:w="1267" w:type="dxa"/>
            <w:tcBorders>
              <w:top w:val="nil"/>
              <w:left w:val="nil"/>
              <w:bottom w:val="nil"/>
              <w:right w:val="nil"/>
            </w:tcBorders>
            <w:shd w:val="clear" w:color="auto" w:fill="auto"/>
            <w:vAlign w:val="center"/>
            <w:hideMark/>
          </w:tcPr>
          <w:p w14:paraId="47EA5F2B" w14:textId="77777777" w:rsidR="0097090C" w:rsidRPr="003C07CF" w:rsidRDefault="0097090C" w:rsidP="0097090C">
            <w:pPr>
              <w:jc w:val="right"/>
              <w:rPr>
                <w:rFonts w:cs="Arial"/>
                <w:color w:val="000000"/>
              </w:rPr>
            </w:pPr>
            <w:r w:rsidRPr="003C07CF">
              <w:rPr>
                <w:rFonts w:cs="Arial"/>
                <w:color w:val="000000"/>
              </w:rPr>
              <w:t>2,975</w:t>
            </w:r>
          </w:p>
        </w:tc>
      </w:tr>
      <w:tr w:rsidR="0097090C" w:rsidRPr="003C07CF" w14:paraId="0925DA95"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2DC67DE9" w14:textId="77777777" w:rsidR="0097090C" w:rsidRPr="003C07CF" w:rsidRDefault="0097090C" w:rsidP="0097090C">
            <w:pPr>
              <w:rPr>
                <w:rFonts w:cs="Arial"/>
                <w:b/>
                <w:bCs/>
                <w:color w:val="000000"/>
              </w:rPr>
            </w:pPr>
            <w:r w:rsidRPr="003C07CF">
              <w:rPr>
                <w:rFonts w:cs="Arial"/>
                <w:b/>
                <w:bCs/>
                <w:color w:val="000000"/>
              </w:rPr>
              <w:t xml:space="preserve">TOTAL </w:t>
            </w:r>
          </w:p>
        </w:tc>
        <w:tc>
          <w:tcPr>
            <w:tcW w:w="731" w:type="dxa"/>
            <w:tcBorders>
              <w:top w:val="single" w:sz="4" w:space="0" w:color="auto"/>
              <w:left w:val="nil"/>
              <w:bottom w:val="single" w:sz="4" w:space="0" w:color="auto"/>
              <w:right w:val="nil"/>
            </w:tcBorders>
            <w:shd w:val="clear" w:color="auto" w:fill="auto"/>
            <w:vAlign w:val="center"/>
            <w:hideMark/>
          </w:tcPr>
          <w:p w14:paraId="32D931C1" w14:textId="77777777" w:rsidR="0097090C" w:rsidRPr="003C07CF" w:rsidRDefault="0097090C" w:rsidP="0097090C">
            <w:pPr>
              <w:jc w:val="center"/>
              <w:rPr>
                <w:rFonts w:cs="Arial"/>
                <w:b/>
                <w:bCs/>
                <w:color w:val="000000"/>
              </w:rPr>
            </w:pPr>
            <w:r w:rsidRPr="003C07CF">
              <w:rPr>
                <w:rFonts w:cs="Arial"/>
                <w:b/>
                <w:b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51569859" w14:textId="77777777" w:rsidR="0097090C" w:rsidRPr="003C07CF" w:rsidRDefault="0097090C" w:rsidP="0097090C">
            <w:pPr>
              <w:jc w:val="right"/>
              <w:rPr>
                <w:rFonts w:cs="Arial"/>
                <w:b/>
                <w:bCs/>
                <w:color w:val="000000"/>
              </w:rPr>
            </w:pPr>
            <w:r>
              <w:rPr>
                <w:rFonts w:cs="Arial"/>
                <w:b/>
                <w:bCs/>
                <w:color w:val="000000"/>
              </w:rPr>
              <w:t>2,253</w:t>
            </w:r>
          </w:p>
        </w:tc>
        <w:tc>
          <w:tcPr>
            <w:tcW w:w="1267" w:type="dxa"/>
            <w:tcBorders>
              <w:top w:val="single" w:sz="4" w:space="0" w:color="auto"/>
              <w:left w:val="nil"/>
              <w:bottom w:val="single" w:sz="4" w:space="0" w:color="auto"/>
              <w:right w:val="nil"/>
            </w:tcBorders>
            <w:shd w:val="clear" w:color="auto" w:fill="auto"/>
            <w:vAlign w:val="center"/>
            <w:hideMark/>
          </w:tcPr>
          <w:p w14:paraId="021F6301" w14:textId="77777777" w:rsidR="0097090C" w:rsidRPr="003C07CF" w:rsidRDefault="0097090C" w:rsidP="0097090C">
            <w:pPr>
              <w:jc w:val="right"/>
              <w:rPr>
                <w:rFonts w:cs="Arial"/>
                <w:b/>
                <w:bCs/>
                <w:color w:val="000000"/>
              </w:rPr>
            </w:pPr>
            <w:r w:rsidRPr="003C07CF">
              <w:rPr>
                <w:rFonts w:cs="Arial"/>
                <w:b/>
                <w:bCs/>
                <w:color w:val="000000"/>
              </w:rPr>
              <w:t>2,990</w:t>
            </w:r>
          </w:p>
        </w:tc>
      </w:tr>
      <w:tr w:rsidR="0097090C" w:rsidRPr="003C07CF" w14:paraId="0BE72A2C" w14:textId="77777777" w:rsidTr="0097090C">
        <w:trPr>
          <w:trHeight w:val="255"/>
        </w:trPr>
        <w:tc>
          <w:tcPr>
            <w:tcW w:w="6095" w:type="dxa"/>
            <w:tcBorders>
              <w:top w:val="nil"/>
              <w:left w:val="nil"/>
              <w:bottom w:val="nil"/>
              <w:right w:val="nil"/>
            </w:tcBorders>
            <w:shd w:val="clear" w:color="auto" w:fill="auto"/>
            <w:vAlign w:val="center"/>
            <w:hideMark/>
          </w:tcPr>
          <w:p w14:paraId="0C3F48F9" w14:textId="77777777" w:rsidR="0097090C" w:rsidRPr="003C07CF"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72DF1D76" w14:textId="77777777" w:rsidR="0097090C" w:rsidRPr="003C07CF"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47A1E78" w14:textId="77777777" w:rsidR="0097090C" w:rsidRPr="003C07CF" w:rsidRDefault="0097090C" w:rsidP="0097090C">
            <w:pPr>
              <w:jc w:val="right"/>
              <w:rPr>
                <w:rFonts w:cs="Arial"/>
                <w:color w:val="000000"/>
              </w:rPr>
            </w:pPr>
            <w:r w:rsidRPr="003C07CF">
              <w:rPr>
                <w:rFonts w:cs="Arial"/>
                <w:color w:val="000000"/>
              </w:rPr>
              <w:t> </w:t>
            </w:r>
          </w:p>
        </w:tc>
        <w:tc>
          <w:tcPr>
            <w:tcW w:w="1267" w:type="dxa"/>
            <w:tcBorders>
              <w:top w:val="nil"/>
              <w:left w:val="nil"/>
              <w:bottom w:val="nil"/>
              <w:right w:val="nil"/>
            </w:tcBorders>
            <w:shd w:val="clear" w:color="auto" w:fill="auto"/>
            <w:vAlign w:val="center"/>
            <w:hideMark/>
          </w:tcPr>
          <w:p w14:paraId="0BEFDC68" w14:textId="77777777" w:rsidR="0097090C" w:rsidRPr="003C07CF" w:rsidRDefault="0097090C" w:rsidP="0097090C">
            <w:pPr>
              <w:jc w:val="right"/>
              <w:rPr>
                <w:rFonts w:cs="Arial"/>
                <w:color w:val="000000"/>
              </w:rPr>
            </w:pPr>
          </w:p>
        </w:tc>
      </w:tr>
      <w:tr w:rsidR="0097090C" w:rsidRPr="003C07CF" w14:paraId="47420CF4" w14:textId="77777777" w:rsidTr="0097090C">
        <w:trPr>
          <w:trHeight w:val="300"/>
        </w:trPr>
        <w:tc>
          <w:tcPr>
            <w:tcW w:w="6095" w:type="dxa"/>
            <w:tcBorders>
              <w:top w:val="single" w:sz="4" w:space="0" w:color="auto"/>
              <w:left w:val="nil"/>
              <w:bottom w:val="single" w:sz="4" w:space="0" w:color="auto"/>
              <w:right w:val="nil"/>
            </w:tcBorders>
            <w:shd w:val="clear" w:color="auto" w:fill="auto"/>
            <w:vAlign w:val="center"/>
            <w:hideMark/>
          </w:tcPr>
          <w:p w14:paraId="3E4989CA" w14:textId="77777777" w:rsidR="0097090C" w:rsidRPr="003C07CF" w:rsidRDefault="0097090C" w:rsidP="0097090C">
            <w:pPr>
              <w:rPr>
                <w:rFonts w:cs="Arial"/>
                <w:b/>
                <w:bCs/>
                <w:color w:val="000000"/>
              </w:rPr>
            </w:pPr>
            <w:r w:rsidRPr="003C07CF">
              <w:rPr>
                <w:rFonts w:cs="Arial"/>
                <w:b/>
                <w:bCs/>
                <w:color w:val="000000"/>
              </w:rPr>
              <w:t>TOTAL PLANT AND EQUIPMENT, EXHIBITIONS AND WIP</w:t>
            </w:r>
          </w:p>
        </w:tc>
        <w:tc>
          <w:tcPr>
            <w:tcW w:w="731" w:type="dxa"/>
            <w:tcBorders>
              <w:top w:val="single" w:sz="4" w:space="0" w:color="auto"/>
              <w:left w:val="nil"/>
              <w:bottom w:val="single" w:sz="4" w:space="0" w:color="auto"/>
              <w:right w:val="nil"/>
            </w:tcBorders>
            <w:shd w:val="clear" w:color="auto" w:fill="auto"/>
            <w:vAlign w:val="center"/>
            <w:hideMark/>
          </w:tcPr>
          <w:p w14:paraId="2637DFE1" w14:textId="77777777" w:rsidR="0097090C" w:rsidRPr="003C07CF" w:rsidRDefault="0097090C" w:rsidP="0097090C">
            <w:pPr>
              <w:jc w:val="center"/>
              <w:rPr>
                <w:rFonts w:cs="Arial"/>
                <w:b/>
                <w:bCs/>
                <w:color w:val="000000"/>
              </w:rPr>
            </w:pPr>
            <w:r w:rsidRPr="003C07CF">
              <w:rPr>
                <w:rFonts w:cs="Arial"/>
                <w:b/>
                <w:b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489477E1" w14:textId="77777777" w:rsidR="0097090C" w:rsidRPr="003C07CF" w:rsidRDefault="0097090C" w:rsidP="0097090C">
            <w:pPr>
              <w:jc w:val="right"/>
              <w:rPr>
                <w:rFonts w:cs="Arial"/>
                <w:b/>
                <w:bCs/>
                <w:color w:val="000000"/>
              </w:rPr>
            </w:pPr>
            <w:r>
              <w:rPr>
                <w:rFonts w:cs="Arial"/>
                <w:b/>
                <w:bCs/>
                <w:color w:val="000000"/>
              </w:rPr>
              <w:t>10,505</w:t>
            </w:r>
          </w:p>
        </w:tc>
        <w:tc>
          <w:tcPr>
            <w:tcW w:w="1267" w:type="dxa"/>
            <w:tcBorders>
              <w:top w:val="single" w:sz="4" w:space="0" w:color="auto"/>
              <w:left w:val="nil"/>
              <w:bottom w:val="single" w:sz="4" w:space="0" w:color="auto"/>
              <w:right w:val="nil"/>
            </w:tcBorders>
            <w:shd w:val="clear" w:color="auto" w:fill="auto"/>
            <w:vAlign w:val="center"/>
            <w:hideMark/>
          </w:tcPr>
          <w:p w14:paraId="02C7D4F9" w14:textId="77777777" w:rsidR="0097090C" w:rsidRPr="003C07CF" w:rsidRDefault="0097090C" w:rsidP="0097090C">
            <w:pPr>
              <w:jc w:val="right"/>
              <w:rPr>
                <w:rFonts w:cs="Arial"/>
                <w:b/>
                <w:bCs/>
                <w:color w:val="000000"/>
              </w:rPr>
            </w:pPr>
            <w:r w:rsidRPr="003C07CF">
              <w:rPr>
                <w:rFonts w:cs="Arial"/>
                <w:b/>
                <w:bCs/>
                <w:color w:val="000000"/>
              </w:rPr>
              <w:t>9,275</w:t>
            </w:r>
          </w:p>
        </w:tc>
      </w:tr>
    </w:tbl>
    <w:p w14:paraId="4BF7C4D5" w14:textId="77777777" w:rsidR="0097090C" w:rsidRDefault="0097090C" w:rsidP="0097090C">
      <w:pPr>
        <w:rPr>
          <w:rFonts w:cs="Arial"/>
          <w:i/>
        </w:rPr>
      </w:pPr>
    </w:p>
    <w:p w14:paraId="7B470833" w14:textId="77777777" w:rsidR="0097090C" w:rsidRPr="00E96BA4" w:rsidRDefault="0097090C" w:rsidP="0097090C">
      <w:pPr>
        <w:rPr>
          <w:rFonts w:cs="Arial"/>
          <w:i/>
        </w:rPr>
      </w:pPr>
      <w:r>
        <w:rPr>
          <w:rFonts w:cs="Arial"/>
          <w:i/>
        </w:rPr>
        <w:t xml:space="preserve">* </w:t>
      </w:r>
      <w:r w:rsidRPr="001017AB">
        <w:rPr>
          <w:rFonts w:cs="Arial"/>
          <w:i/>
        </w:rPr>
        <w:t>A fair value assessment for Plant &amp; Equipment</w:t>
      </w:r>
      <w:r>
        <w:rPr>
          <w:rFonts w:cs="Arial"/>
          <w:i/>
        </w:rPr>
        <w:t xml:space="preserve"> and Exhibitions was undertaken </w:t>
      </w:r>
      <w:r w:rsidRPr="001017AB">
        <w:rPr>
          <w:rFonts w:cs="Arial"/>
          <w:i/>
        </w:rPr>
        <w:t>by management during the year ended 30 June 201</w:t>
      </w:r>
      <w:r>
        <w:rPr>
          <w:rFonts w:cs="Arial"/>
          <w:i/>
        </w:rPr>
        <w:t>6</w:t>
      </w:r>
      <w:r w:rsidRPr="001017AB">
        <w:rPr>
          <w:rFonts w:cs="Arial"/>
          <w:i/>
        </w:rPr>
        <w:t xml:space="preserve"> in accordance with the FRD 103</w:t>
      </w:r>
      <w:r>
        <w:rPr>
          <w:rFonts w:cs="Arial"/>
          <w:i/>
        </w:rPr>
        <w:t>F Non- Current Physical Assets</w:t>
      </w:r>
      <w:r w:rsidRPr="001017AB">
        <w:rPr>
          <w:rFonts w:cs="Arial"/>
          <w:i/>
        </w:rPr>
        <w:t xml:space="preserve"> in order to reconfirm the fair value of Plant &amp; Equipment and Exhibitions.</w:t>
      </w:r>
    </w:p>
    <w:p w14:paraId="6F129126" w14:textId="77777777" w:rsidR="0097090C" w:rsidRDefault="0097090C" w:rsidP="0097090C">
      <w:pPr>
        <w:rPr>
          <w:rFonts w:cs="Arial"/>
        </w:rPr>
      </w:pPr>
    </w:p>
    <w:p w14:paraId="36574C20" w14:textId="77777777" w:rsidR="0097090C" w:rsidRDefault="0097090C" w:rsidP="0097090C">
      <w:pPr>
        <w:rPr>
          <w:rFonts w:cs="Arial"/>
        </w:rPr>
        <w:sectPr w:rsidR="0097090C" w:rsidSect="0097090C">
          <w:headerReference w:type="default" r:id="rId17"/>
          <w:pgSz w:w="11906" w:h="16838"/>
          <w:pgMar w:top="1440" w:right="1440" w:bottom="1440" w:left="1440" w:header="709" w:footer="709" w:gutter="0"/>
          <w:cols w:space="708"/>
          <w:docGrid w:linePitch="360"/>
        </w:sectPr>
      </w:pPr>
    </w:p>
    <w:p w14:paraId="4E104210" w14:textId="77777777" w:rsidR="0097090C" w:rsidRDefault="0097090C" w:rsidP="0097090C">
      <w:pPr>
        <w:pStyle w:val="Heading5"/>
      </w:pPr>
      <w:r w:rsidRPr="00D163E8">
        <w:t>9(d) Movements in Carrying Amounts of Non-Current Physical Assets</w:t>
      </w:r>
    </w:p>
    <w:tbl>
      <w:tblPr>
        <w:tblW w:w="15082" w:type="dxa"/>
        <w:tblInd w:w="108" w:type="dxa"/>
        <w:tblLook w:val="04A0" w:firstRow="1" w:lastRow="0" w:firstColumn="1" w:lastColumn="0" w:noHBand="0" w:noVBand="1"/>
      </w:tblPr>
      <w:tblGrid>
        <w:gridCol w:w="1597"/>
        <w:gridCol w:w="867"/>
        <w:gridCol w:w="1012"/>
        <w:gridCol w:w="1012"/>
        <w:gridCol w:w="1012"/>
        <w:gridCol w:w="1036"/>
        <w:gridCol w:w="1036"/>
        <w:gridCol w:w="914"/>
        <w:gridCol w:w="914"/>
        <w:gridCol w:w="805"/>
        <w:gridCol w:w="806"/>
        <w:gridCol w:w="914"/>
        <w:gridCol w:w="767"/>
        <w:gridCol w:w="1195"/>
        <w:gridCol w:w="1195"/>
      </w:tblGrid>
      <w:tr w:rsidR="0097090C" w:rsidRPr="005D5898" w14:paraId="7A285795" w14:textId="77777777" w:rsidTr="0097090C">
        <w:trPr>
          <w:trHeight w:val="593"/>
        </w:trPr>
        <w:tc>
          <w:tcPr>
            <w:tcW w:w="1735" w:type="dxa"/>
            <w:tcBorders>
              <w:top w:val="single" w:sz="4" w:space="0" w:color="auto"/>
              <w:left w:val="nil"/>
              <w:bottom w:val="single" w:sz="4" w:space="0" w:color="auto"/>
              <w:right w:val="nil"/>
            </w:tcBorders>
            <w:shd w:val="clear" w:color="auto" w:fill="auto"/>
            <w:vAlign w:val="center"/>
            <w:hideMark/>
          </w:tcPr>
          <w:p w14:paraId="60C342DE" w14:textId="77777777" w:rsidR="0097090C" w:rsidRPr="005D5898" w:rsidRDefault="0097090C" w:rsidP="0097090C">
            <w:pPr>
              <w:rPr>
                <w:sz w:val="18"/>
                <w:szCs w:val="18"/>
              </w:rPr>
            </w:pPr>
            <w:r w:rsidRPr="005D5898">
              <w:rPr>
                <w:sz w:val="18"/>
                <w:szCs w:val="18"/>
              </w:rPr>
              <w:t> </w:t>
            </w:r>
          </w:p>
        </w:tc>
        <w:tc>
          <w:tcPr>
            <w:tcW w:w="1741" w:type="dxa"/>
            <w:gridSpan w:val="2"/>
            <w:tcBorders>
              <w:top w:val="single" w:sz="4" w:space="0" w:color="auto"/>
              <w:left w:val="nil"/>
              <w:bottom w:val="single" w:sz="4" w:space="0" w:color="auto"/>
              <w:right w:val="nil"/>
            </w:tcBorders>
            <w:shd w:val="clear" w:color="auto" w:fill="auto"/>
            <w:noWrap/>
            <w:vAlign w:val="center"/>
            <w:hideMark/>
          </w:tcPr>
          <w:p w14:paraId="3DE91D6F" w14:textId="77777777" w:rsidR="0097090C" w:rsidRPr="005D5898" w:rsidRDefault="0097090C" w:rsidP="0097090C">
            <w:pPr>
              <w:rPr>
                <w:b/>
                <w:bCs/>
                <w:sz w:val="18"/>
                <w:szCs w:val="18"/>
              </w:rPr>
            </w:pPr>
            <w:r w:rsidRPr="005D5898">
              <w:rPr>
                <w:b/>
                <w:bCs/>
                <w:sz w:val="18"/>
                <w:szCs w:val="18"/>
              </w:rPr>
              <w:t>Collections</w:t>
            </w:r>
          </w:p>
        </w:tc>
        <w:tc>
          <w:tcPr>
            <w:tcW w:w="2024" w:type="dxa"/>
            <w:gridSpan w:val="2"/>
            <w:tcBorders>
              <w:top w:val="single" w:sz="4" w:space="0" w:color="auto"/>
              <w:left w:val="nil"/>
              <w:bottom w:val="single" w:sz="4" w:space="0" w:color="auto"/>
              <w:right w:val="nil"/>
            </w:tcBorders>
            <w:shd w:val="clear" w:color="auto" w:fill="auto"/>
            <w:noWrap/>
            <w:vAlign w:val="center"/>
            <w:hideMark/>
          </w:tcPr>
          <w:p w14:paraId="331AFC8C" w14:textId="77777777" w:rsidR="0097090C" w:rsidRPr="005D5898" w:rsidRDefault="0097090C" w:rsidP="0097090C">
            <w:pPr>
              <w:rPr>
                <w:b/>
                <w:bCs/>
                <w:sz w:val="18"/>
                <w:szCs w:val="18"/>
              </w:rPr>
            </w:pPr>
            <w:r w:rsidRPr="005D5898">
              <w:rPr>
                <w:b/>
                <w:bCs/>
                <w:sz w:val="18"/>
                <w:szCs w:val="18"/>
              </w:rPr>
              <w:t>Land</w:t>
            </w:r>
          </w:p>
        </w:tc>
        <w:tc>
          <w:tcPr>
            <w:tcW w:w="2072" w:type="dxa"/>
            <w:gridSpan w:val="2"/>
            <w:tcBorders>
              <w:top w:val="single" w:sz="4" w:space="0" w:color="auto"/>
              <w:left w:val="nil"/>
              <w:bottom w:val="single" w:sz="4" w:space="0" w:color="auto"/>
              <w:right w:val="nil"/>
            </w:tcBorders>
            <w:shd w:val="clear" w:color="auto" w:fill="auto"/>
            <w:noWrap/>
            <w:vAlign w:val="center"/>
            <w:hideMark/>
          </w:tcPr>
          <w:p w14:paraId="2D575CCE" w14:textId="77777777" w:rsidR="0097090C" w:rsidRPr="005D5898" w:rsidRDefault="0097090C" w:rsidP="0097090C">
            <w:pPr>
              <w:rPr>
                <w:b/>
                <w:bCs/>
                <w:sz w:val="18"/>
                <w:szCs w:val="18"/>
              </w:rPr>
            </w:pPr>
            <w:r w:rsidRPr="005D5898">
              <w:rPr>
                <w:b/>
                <w:bCs/>
                <w:sz w:val="18"/>
                <w:szCs w:val="18"/>
              </w:rPr>
              <w:t>Buildings</w:t>
            </w:r>
          </w:p>
        </w:tc>
        <w:tc>
          <w:tcPr>
            <w:tcW w:w="1828" w:type="dxa"/>
            <w:gridSpan w:val="2"/>
            <w:tcBorders>
              <w:top w:val="single" w:sz="4" w:space="0" w:color="auto"/>
              <w:left w:val="nil"/>
              <w:bottom w:val="single" w:sz="4" w:space="0" w:color="auto"/>
              <w:right w:val="nil"/>
            </w:tcBorders>
            <w:shd w:val="clear" w:color="auto" w:fill="auto"/>
            <w:vAlign w:val="center"/>
            <w:hideMark/>
          </w:tcPr>
          <w:p w14:paraId="0B900B6D" w14:textId="77777777" w:rsidR="0097090C" w:rsidRPr="005D5898" w:rsidRDefault="0097090C" w:rsidP="0097090C">
            <w:pPr>
              <w:rPr>
                <w:b/>
                <w:bCs/>
                <w:sz w:val="18"/>
                <w:szCs w:val="18"/>
              </w:rPr>
            </w:pPr>
            <w:r w:rsidRPr="005D5898">
              <w:rPr>
                <w:b/>
                <w:bCs/>
                <w:sz w:val="18"/>
                <w:szCs w:val="18"/>
              </w:rPr>
              <w:t>Plant and equipment   *</w:t>
            </w:r>
          </w:p>
        </w:tc>
        <w:tc>
          <w:tcPr>
            <w:tcW w:w="1611" w:type="dxa"/>
            <w:gridSpan w:val="2"/>
            <w:tcBorders>
              <w:top w:val="single" w:sz="4" w:space="0" w:color="auto"/>
              <w:left w:val="nil"/>
              <w:bottom w:val="single" w:sz="4" w:space="0" w:color="auto"/>
              <w:right w:val="nil"/>
            </w:tcBorders>
            <w:shd w:val="clear" w:color="auto" w:fill="auto"/>
            <w:noWrap/>
            <w:vAlign w:val="center"/>
            <w:hideMark/>
          </w:tcPr>
          <w:p w14:paraId="30131E1B" w14:textId="77777777" w:rsidR="0097090C" w:rsidRPr="005D5898" w:rsidRDefault="0097090C" w:rsidP="0097090C">
            <w:pPr>
              <w:rPr>
                <w:b/>
                <w:bCs/>
                <w:sz w:val="18"/>
                <w:szCs w:val="18"/>
              </w:rPr>
            </w:pPr>
            <w:r w:rsidRPr="005D5898">
              <w:rPr>
                <w:b/>
                <w:bCs/>
                <w:sz w:val="18"/>
                <w:szCs w:val="18"/>
              </w:rPr>
              <w:t>Exhibitions</w:t>
            </w:r>
          </w:p>
        </w:tc>
        <w:tc>
          <w:tcPr>
            <w:tcW w:w="1681" w:type="dxa"/>
            <w:gridSpan w:val="2"/>
            <w:tcBorders>
              <w:top w:val="single" w:sz="4" w:space="0" w:color="auto"/>
              <w:left w:val="nil"/>
              <w:bottom w:val="single" w:sz="4" w:space="0" w:color="auto"/>
              <w:right w:val="nil"/>
            </w:tcBorders>
            <w:shd w:val="clear" w:color="auto" w:fill="auto"/>
            <w:noWrap/>
            <w:vAlign w:val="center"/>
            <w:hideMark/>
          </w:tcPr>
          <w:p w14:paraId="6876AC8D" w14:textId="77777777" w:rsidR="0097090C" w:rsidRPr="005D5898" w:rsidRDefault="0097090C" w:rsidP="0097090C">
            <w:pPr>
              <w:rPr>
                <w:b/>
                <w:bCs/>
                <w:sz w:val="18"/>
                <w:szCs w:val="18"/>
              </w:rPr>
            </w:pPr>
            <w:r w:rsidRPr="005D5898">
              <w:rPr>
                <w:b/>
                <w:bCs/>
                <w:sz w:val="18"/>
                <w:szCs w:val="18"/>
              </w:rPr>
              <w:t>WIP *</w:t>
            </w:r>
          </w:p>
        </w:tc>
        <w:tc>
          <w:tcPr>
            <w:tcW w:w="2390" w:type="dxa"/>
            <w:gridSpan w:val="2"/>
            <w:tcBorders>
              <w:top w:val="single" w:sz="4" w:space="0" w:color="auto"/>
              <w:left w:val="nil"/>
              <w:bottom w:val="single" w:sz="4" w:space="0" w:color="auto"/>
              <w:right w:val="nil"/>
            </w:tcBorders>
            <w:shd w:val="clear" w:color="auto" w:fill="auto"/>
            <w:noWrap/>
            <w:vAlign w:val="center"/>
            <w:hideMark/>
          </w:tcPr>
          <w:p w14:paraId="2BC686A6" w14:textId="77777777" w:rsidR="0097090C" w:rsidRPr="005D5898" w:rsidRDefault="0097090C" w:rsidP="0097090C">
            <w:pPr>
              <w:rPr>
                <w:b/>
                <w:bCs/>
                <w:sz w:val="18"/>
                <w:szCs w:val="18"/>
              </w:rPr>
            </w:pPr>
            <w:r w:rsidRPr="005D5898">
              <w:rPr>
                <w:b/>
                <w:bCs/>
                <w:sz w:val="18"/>
                <w:szCs w:val="18"/>
              </w:rPr>
              <w:t>Total</w:t>
            </w:r>
          </w:p>
        </w:tc>
      </w:tr>
      <w:tr w:rsidR="0097090C" w:rsidRPr="005D5898" w14:paraId="69F28BD2" w14:textId="77777777" w:rsidTr="0097090C">
        <w:trPr>
          <w:trHeight w:val="265"/>
        </w:trPr>
        <w:tc>
          <w:tcPr>
            <w:tcW w:w="1735" w:type="dxa"/>
            <w:tcBorders>
              <w:top w:val="nil"/>
              <w:left w:val="nil"/>
              <w:bottom w:val="single" w:sz="4" w:space="0" w:color="auto"/>
              <w:right w:val="nil"/>
            </w:tcBorders>
            <w:shd w:val="clear" w:color="auto" w:fill="auto"/>
            <w:vAlign w:val="center"/>
            <w:hideMark/>
          </w:tcPr>
          <w:p w14:paraId="78B4E1B1" w14:textId="77777777" w:rsidR="0097090C" w:rsidRPr="005D5898" w:rsidRDefault="0097090C" w:rsidP="0097090C">
            <w:pPr>
              <w:rPr>
                <w:sz w:val="18"/>
                <w:szCs w:val="18"/>
              </w:rPr>
            </w:pPr>
            <w:r w:rsidRPr="005D5898">
              <w:rPr>
                <w:sz w:val="18"/>
                <w:szCs w:val="18"/>
              </w:rPr>
              <w:t xml:space="preserve"> </w:t>
            </w:r>
          </w:p>
        </w:tc>
        <w:tc>
          <w:tcPr>
            <w:tcW w:w="729" w:type="dxa"/>
            <w:tcBorders>
              <w:top w:val="nil"/>
              <w:left w:val="nil"/>
              <w:bottom w:val="single" w:sz="4" w:space="0" w:color="auto"/>
              <w:right w:val="nil"/>
            </w:tcBorders>
            <w:shd w:val="clear" w:color="000000" w:fill="D9D9D9"/>
            <w:noWrap/>
            <w:vAlign w:val="center"/>
            <w:hideMark/>
          </w:tcPr>
          <w:p w14:paraId="4E43392A" w14:textId="77777777" w:rsidR="0097090C" w:rsidRPr="005D5898" w:rsidRDefault="0097090C" w:rsidP="0097090C">
            <w:pPr>
              <w:rPr>
                <w:sz w:val="18"/>
                <w:szCs w:val="18"/>
              </w:rPr>
            </w:pPr>
            <w:r w:rsidRPr="005D5898">
              <w:rPr>
                <w:sz w:val="18"/>
                <w:szCs w:val="18"/>
              </w:rPr>
              <w:t>2016</w:t>
            </w:r>
          </w:p>
        </w:tc>
        <w:tc>
          <w:tcPr>
            <w:tcW w:w="1012" w:type="dxa"/>
            <w:tcBorders>
              <w:top w:val="nil"/>
              <w:left w:val="nil"/>
              <w:bottom w:val="single" w:sz="4" w:space="0" w:color="auto"/>
              <w:right w:val="nil"/>
            </w:tcBorders>
            <w:shd w:val="clear" w:color="auto" w:fill="auto"/>
            <w:noWrap/>
            <w:vAlign w:val="center"/>
            <w:hideMark/>
          </w:tcPr>
          <w:p w14:paraId="03F4CF76" w14:textId="77777777" w:rsidR="0097090C" w:rsidRPr="005D5898" w:rsidRDefault="0097090C" w:rsidP="0097090C">
            <w:pPr>
              <w:rPr>
                <w:sz w:val="18"/>
                <w:szCs w:val="18"/>
              </w:rPr>
            </w:pPr>
            <w:r w:rsidRPr="005D5898">
              <w:rPr>
                <w:sz w:val="18"/>
                <w:szCs w:val="18"/>
              </w:rPr>
              <w:t>2015</w:t>
            </w:r>
          </w:p>
        </w:tc>
        <w:tc>
          <w:tcPr>
            <w:tcW w:w="1012" w:type="dxa"/>
            <w:tcBorders>
              <w:top w:val="nil"/>
              <w:left w:val="nil"/>
              <w:bottom w:val="single" w:sz="4" w:space="0" w:color="auto"/>
              <w:right w:val="nil"/>
            </w:tcBorders>
            <w:shd w:val="clear" w:color="000000" w:fill="D9D9D9"/>
            <w:noWrap/>
            <w:vAlign w:val="center"/>
            <w:hideMark/>
          </w:tcPr>
          <w:p w14:paraId="61C7951E" w14:textId="77777777" w:rsidR="0097090C" w:rsidRPr="005D5898" w:rsidRDefault="0097090C" w:rsidP="0097090C">
            <w:pPr>
              <w:rPr>
                <w:sz w:val="18"/>
                <w:szCs w:val="18"/>
              </w:rPr>
            </w:pPr>
            <w:r w:rsidRPr="005D5898">
              <w:rPr>
                <w:sz w:val="18"/>
                <w:szCs w:val="18"/>
              </w:rPr>
              <w:t>2016</w:t>
            </w:r>
          </w:p>
        </w:tc>
        <w:tc>
          <w:tcPr>
            <w:tcW w:w="1012" w:type="dxa"/>
            <w:tcBorders>
              <w:top w:val="nil"/>
              <w:left w:val="nil"/>
              <w:bottom w:val="single" w:sz="4" w:space="0" w:color="auto"/>
              <w:right w:val="nil"/>
            </w:tcBorders>
            <w:shd w:val="clear" w:color="auto" w:fill="auto"/>
            <w:noWrap/>
            <w:vAlign w:val="center"/>
            <w:hideMark/>
          </w:tcPr>
          <w:p w14:paraId="40B08307" w14:textId="77777777" w:rsidR="0097090C" w:rsidRPr="005D5898" w:rsidRDefault="0097090C" w:rsidP="0097090C">
            <w:pPr>
              <w:rPr>
                <w:sz w:val="18"/>
                <w:szCs w:val="18"/>
              </w:rPr>
            </w:pPr>
            <w:r w:rsidRPr="005D5898">
              <w:rPr>
                <w:sz w:val="18"/>
                <w:szCs w:val="18"/>
              </w:rPr>
              <w:t>2015</w:t>
            </w:r>
          </w:p>
        </w:tc>
        <w:tc>
          <w:tcPr>
            <w:tcW w:w="1036" w:type="dxa"/>
            <w:tcBorders>
              <w:top w:val="nil"/>
              <w:left w:val="nil"/>
              <w:bottom w:val="single" w:sz="4" w:space="0" w:color="auto"/>
              <w:right w:val="nil"/>
            </w:tcBorders>
            <w:shd w:val="clear" w:color="000000" w:fill="D9D9D9"/>
            <w:noWrap/>
            <w:vAlign w:val="center"/>
            <w:hideMark/>
          </w:tcPr>
          <w:p w14:paraId="4E9F894C" w14:textId="77777777" w:rsidR="0097090C" w:rsidRPr="005D5898" w:rsidRDefault="0097090C" w:rsidP="0097090C">
            <w:pPr>
              <w:rPr>
                <w:sz w:val="18"/>
                <w:szCs w:val="18"/>
              </w:rPr>
            </w:pPr>
            <w:r w:rsidRPr="005D5898">
              <w:rPr>
                <w:sz w:val="18"/>
                <w:szCs w:val="18"/>
              </w:rPr>
              <w:t>2016</w:t>
            </w:r>
          </w:p>
        </w:tc>
        <w:tc>
          <w:tcPr>
            <w:tcW w:w="1036" w:type="dxa"/>
            <w:tcBorders>
              <w:top w:val="nil"/>
              <w:left w:val="nil"/>
              <w:bottom w:val="single" w:sz="4" w:space="0" w:color="auto"/>
              <w:right w:val="nil"/>
            </w:tcBorders>
            <w:shd w:val="clear" w:color="auto" w:fill="auto"/>
            <w:noWrap/>
            <w:vAlign w:val="center"/>
            <w:hideMark/>
          </w:tcPr>
          <w:p w14:paraId="5962F5B6" w14:textId="77777777" w:rsidR="0097090C" w:rsidRPr="005D5898" w:rsidRDefault="0097090C" w:rsidP="0097090C">
            <w:pPr>
              <w:rPr>
                <w:sz w:val="18"/>
                <w:szCs w:val="18"/>
              </w:rPr>
            </w:pPr>
            <w:r w:rsidRPr="005D5898">
              <w:rPr>
                <w:sz w:val="18"/>
                <w:szCs w:val="18"/>
              </w:rPr>
              <w:t>2015</w:t>
            </w:r>
          </w:p>
        </w:tc>
        <w:tc>
          <w:tcPr>
            <w:tcW w:w="914" w:type="dxa"/>
            <w:tcBorders>
              <w:top w:val="nil"/>
              <w:left w:val="nil"/>
              <w:bottom w:val="single" w:sz="4" w:space="0" w:color="auto"/>
              <w:right w:val="nil"/>
            </w:tcBorders>
            <w:shd w:val="clear" w:color="000000" w:fill="D9D9D9"/>
            <w:noWrap/>
            <w:vAlign w:val="center"/>
            <w:hideMark/>
          </w:tcPr>
          <w:p w14:paraId="44791D6F" w14:textId="77777777" w:rsidR="0097090C" w:rsidRPr="005D5898" w:rsidRDefault="0097090C" w:rsidP="0097090C">
            <w:pPr>
              <w:rPr>
                <w:sz w:val="18"/>
                <w:szCs w:val="18"/>
              </w:rPr>
            </w:pPr>
            <w:r w:rsidRPr="005D5898">
              <w:rPr>
                <w:sz w:val="18"/>
                <w:szCs w:val="18"/>
              </w:rPr>
              <w:t>2016</w:t>
            </w:r>
          </w:p>
        </w:tc>
        <w:tc>
          <w:tcPr>
            <w:tcW w:w="914" w:type="dxa"/>
            <w:tcBorders>
              <w:top w:val="nil"/>
              <w:left w:val="nil"/>
              <w:bottom w:val="single" w:sz="4" w:space="0" w:color="auto"/>
              <w:right w:val="nil"/>
            </w:tcBorders>
            <w:shd w:val="clear" w:color="auto" w:fill="auto"/>
            <w:noWrap/>
            <w:vAlign w:val="center"/>
            <w:hideMark/>
          </w:tcPr>
          <w:p w14:paraId="756B0EC0" w14:textId="77777777" w:rsidR="0097090C" w:rsidRPr="005D5898" w:rsidRDefault="0097090C" w:rsidP="0097090C">
            <w:pPr>
              <w:rPr>
                <w:sz w:val="18"/>
                <w:szCs w:val="18"/>
              </w:rPr>
            </w:pPr>
            <w:r w:rsidRPr="005D5898">
              <w:rPr>
                <w:sz w:val="18"/>
                <w:szCs w:val="18"/>
              </w:rPr>
              <w:t>2015</w:t>
            </w:r>
          </w:p>
        </w:tc>
        <w:tc>
          <w:tcPr>
            <w:tcW w:w="805" w:type="dxa"/>
            <w:tcBorders>
              <w:top w:val="nil"/>
              <w:left w:val="nil"/>
              <w:bottom w:val="single" w:sz="4" w:space="0" w:color="auto"/>
              <w:right w:val="nil"/>
            </w:tcBorders>
            <w:shd w:val="clear" w:color="000000" w:fill="D9D9D9"/>
            <w:noWrap/>
            <w:vAlign w:val="center"/>
            <w:hideMark/>
          </w:tcPr>
          <w:p w14:paraId="2721DD61" w14:textId="77777777" w:rsidR="0097090C" w:rsidRPr="005D5898" w:rsidRDefault="0097090C" w:rsidP="0097090C">
            <w:pPr>
              <w:rPr>
                <w:sz w:val="18"/>
                <w:szCs w:val="18"/>
              </w:rPr>
            </w:pPr>
            <w:r w:rsidRPr="005D5898">
              <w:rPr>
                <w:sz w:val="18"/>
                <w:szCs w:val="18"/>
              </w:rPr>
              <w:t>2016</w:t>
            </w:r>
          </w:p>
        </w:tc>
        <w:tc>
          <w:tcPr>
            <w:tcW w:w="806" w:type="dxa"/>
            <w:tcBorders>
              <w:top w:val="nil"/>
              <w:left w:val="nil"/>
              <w:bottom w:val="single" w:sz="4" w:space="0" w:color="auto"/>
              <w:right w:val="nil"/>
            </w:tcBorders>
            <w:shd w:val="clear" w:color="auto" w:fill="auto"/>
            <w:noWrap/>
            <w:vAlign w:val="center"/>
            <w:hideMark/>
          </w:tcPr>
          <w:p w14:paraId="59368F01" w14:textId="77777777" w:rsidR="0097090C" w:rsidRPr="005D5898" w:rsidRDefault="0097090C" w:rsidP="0097090C">
            <w:pPr>
              <w:rPr>
                <w:sz w:val="18"/>
                <w:szCs w:val="18"/>
              </w:rPr>
            </w:pPr>
            <w:r w:rsidRPr="005D5898">
              <w:rPr>
                <w:sz w:val="18"/>
                <w:szCs w:val="18"/>
              </w:rPr>
              <w:t>2015</w:t>
            </w:r>
          </w:p>
        </w:tc>
        <w:tc>
          <w:tcPr>
            <w:tcW w:w="914" w:type="dxa"/>
            <w:tcBorders>
              <w:top w:val="nil"/>
              <w:left w:val="nil"/>
              <w:bottom w:val="single" w:sz="4" w:space="0" w:color="auto"/>
              <w:right w:val="nil"/>
            </w:tcBorders>
            <w:shd w:val="clear" w:color="000000" w:fill="D9D9D9"/>
            <w:noWrap/>
            <w:vAlign w:val="center"/>
            <w:hideMark/>
          </w:tcPr>
          <w:p w14:paraId="1D18FF1E" w14:textId="77777777" w:rsidR="0097090C" w:rsidRPr="005D5898" w:rsidRDefault="0097090C" w:rsidP="0097090C">
            <w:pPr>
              <w:rPr>
                <w:sz w:val="18"/>
                <w:szCs w:val="18"/>
              </w:rPr>
            </w:pPr>
            <w:r w:rsidRPr="005D5898">
              <w:rPr>
                <w:sz w:val="18"/>
                <w:szCs w:val="18"/>
              </w:rPr>
              <w:t>2016</w:t>
            </w:r>
          </w:p>
        </w:tc>
        <w:tc>
          <w:tcPr>
            <w:tcW w:w="767" w:type="dxa"/>
            <w:tcBorders>
              <w:top w:val="nil"/>
              <w:left w:val="nil"/>
              <w:bottom w:val="single" w:sz="4" w:space="0" w:color="auto"/>
              <w:right w:val="nil"/>
            </w:tcBorders>
            <w:shd w:val="clear" w:color="auto" w:fill="auto"/>
            <w:noWrap/>
            <w:vAlign w:val="center"/>
            <w:hideMark/>
          </w:tcPr>
          <w:p w14:paraId="62FFEEFF" w14:textId="77777777" w:rsidR="0097090C" w:rsidRPr="005D5898" w:rsidRDefault="0097090C" w:rsidP="0097090C">
            <w:pPr>
              <w:rPr>
                <w:sz w:val="18"/>
                <w:szCs w:val="18"/>
              </w:rPr>
            </w:pPr>
            <w:r w:rsidRPr="005D5898">
              <w:rPr>
                <w:sz w:val="18"/>
                <w:szCs w:val="18"/>
              </w:rPr>
              <w:t>2015</w:t>
            </w:r>
          </w:p>
        </w:tc>
        <w:tc>
          <w:tcPr>
            <w:tcW w:w="1195" w:type="dxa"/>
            <w:tcBorders>
              <w:top w:val="nil"/>
              <w:left w:val="nil"/>
              <w:bottom w:val="single" w:sz="4" w:space="0" w:color="auto"/>
              <w:right w:val="nil"/>
            </w:tcBorders>
            <w:shd w:val="clear" w:color="000000" w:fill="D9D9D9"/>
            <w:noWrap/>
            <w:vAlign w:val="center"/>
            <w:hideMark/>
          </w:tcPr>
          <w:p w14:paraId="0F80A952" w14:textId="77777777" w:rsidR="0097090C" w:rsidRPr="005D5898" w:rsidRDefault="0097090C" w:rsidP="0097090C">
            <w:pPr>
              <w:rPr>
                <w:sz w:val="18"/>
                <w:szCs w:val="18"/>
              </w:rPr>
            </w:pPr>
            <w:r w:rsidRPr="005D5898">
              <w:rPr>
                <w:sz w:val="18"/>
                <w:szCs w:val="18"/>
              </w:rPr>
              <w:t>2016</w:t>
            </w:r>
          </w:p>
        </w:tc>
        <w:tc>
          <w:tcPr>
            <w:tcW w:w="1195" w:type="dxa"/>
            <w:tcBorders>
              <w:top w:val="nil"/>
              <w:left w:val="nil"/>
              <w:bottom w:val="single" w:sz="4" w:space="0" w:color="auto"/>
              <w:right w:val="nil"/>
            </w:tcBorders>
            <w:shd w:val="clear" w:color="auto" w:fill="auto"/>
            <w:noWrap/>
            <w:vAlign w:val="center"/>
            <w:hideMark/>
          </w:tcPr>
          <w:p w14:paraId="55EC6BDB" w14:textId="77777777" w:rsidR="0097090C" w:rsidRPr="005D5898" w:rsidRDefault="0097090C" w:rsidP="0097090C">
            <w:pPr>
              <w:rPr>
                <w:sz w:val="18"/>
                <w:szCs w:val="18"/>
              </w:rPr>
            </w:pPr>
            <w:r w:rsidRPr="005D5898">
              <w:rPr>
                <w:sz w:val="18"/>
                <w:szCs w:val="18"/>
              </w:rPr>
              <w:t>2015</w:t>
            </w:r>
          </w:p>
        </w:tc>
      </w:tr>
      <w:tr w:rsidR="0097090C" w:rsidRPr="005D5898" w14:paraId="289CF753" w14:textId="77777777" w:rsidTr="0097090C">
        <w:trPr>
          <w:trHeight w:val="265"/>
        </w:trPr>
        <w:tc>
          <w:tcPr>
            <w:tcW w:w="1735" w:type="dxa"/>
            <w:tcBorders>
              <w:top w:val="nil"/>
              <w:left w:val="nil"/>
              <w:bottom w:val="single" w:sz="4" w:space="0" w:color="auto"/>
              <w:right w:val="nil"/>
            </w:tcBorders>
            <w:shd w:val="clear" w:color="auto" w:fill="auto"/>
            <w:vAlign w:val="center"/>
            <w:hideMark/>
          </w:tcPr>
          <w:p w14:paraId="18EADA46" w14:textId="77777777" w:rsidR="0097090C" w:rsidRPr="005D5898" w:rsidRDefault="0097090C" w:rsidP="0097090C">
            <w:pPr>
              <w:rPr>
                <w:sz w:val="18"/>
                <w:szCs w:val="18"/>
              </w:rPr>
            </w:pPr>
            <w:r w:rsidRPr="005D5898">
              <w:rPr>
                <w:sz w:val="18"/>
                <w:szCs w:val="18"/>
              </w:rPr>
              <w:t> </w:t>
            </w:r>
          </w:p>
        </w:tc>
        <w:tc>
          <w:tcPr>
            <w:tcW w:w="729" w:type="dxa"/>
            <w:tcBorders>
              <w:top w:val="nil"/>
              <w:left w:val="nil"/>
              <w:bottom w:val="single" w:sz="4" w:space="0" w:color="auto"/>
              <w:right w:val="nil"/>
            </w:tcBorders>
            <w:shd w:val="clear" w:color="000000" w:fill="D9D9D9"/>
            <w:noWrap/>
            <w:vAlign w:val="center"/>
            <w:hideMark/>
          </w:tcPr>
          <w:p w14:paraId="04C460E3" w14:textId="77777777" w:rsidR="0097090C" w:rsidRPr="005D5898" w:rsidRDefault="0097090C" w:rsidP="0097090C">
            <w:pPr>
              <w:rPr>
                <w:sz w:val="18"/>
                <w:szCs w:val="18"/>
              </w:rPr>
            </w:pPr>
            <w:r w:rsidRPr="005D5898">
              <w:rPr>
                <w:sz w:val="18"/>
                <w:szCs w:val="18"/>
              </w:rPr>
              <w:t>$'000</w:t>
            </w:r>
          </w:p>
        </w:tc>
        <w:tc>
          <w:tcPr>
            <w:tcW w:w="1012" w:type="dxa"/>
            <w:tcBorders>
              <w:top w:val="nil"/>
              <w:left w:val="nil"/>
              <w:bottom w:val="single" w:sz="4" w:space="0" w:color="auto"/>
              <w:right w:val="nil"/>
            </w:tcBorders>
            <w:shd w:val="clear" w:color="auto" w:fill="auto"/>
            <w:noWrap/>
            <w:vAlign w:val="center"/>
            <w:hideMark/>
          </w:tcPr>
          <w:p w14:paraId="7CC59371" w14:textId="77777777" w:rsidR="0097090C" w:rsidRPr="005D5898" w:rsidRDefault="0097090C" w:rsidP="0097090C">
            <w:pPr>
              <w:rPr>
                <w:sz w:val="18"/>
                <w:szCs w:val="18"/>
              </w:rPr>
            </w:pPr>
            <w:r w:rsidRPr="005D5898">
              <w:rPr>
                <w:sz w:val="18"/>
                <w:szCs w:val="18"/>
              </w:rPr>
              <w:t>$'000</w:t>
            </w:r>
          </w:p>
        </w:tc>
        <w:tc>
          <w:tcPr>
            <w:tcW w:w="1012" w:type="dxa"/>
            <w:tcBorders>
              <w:top w:val="nil"/>
              <w:left w:val="nil"/>
              <w:bottom w:val="single" w:sz="4" w:space="0" w:color="auto"/>
              <w:right w:val="nil"/>
            </w:tcBorders>
            <w:shd w:val="clear" w:color="000000" w:fill="D9D9D9"/>
            <w:noWrap/>
            <w:vAlign w:val="center"/>
            <w:hideMark/>
          </w:tcPr>
          <w:p w14:paraId="42B651FB" w14:textId="77777777" w:rsidR="0097090C" w:rsidRPr="005D5898" w:rsidRDefault="0097090C" w:rsidP="0097090C">
            <w:pPr>
              <w:rPr>
                <w:sz w:val="18"/>
                <w:szCs w:val="18"/>
              </w:rPr>
            </w:pPr>
            <w:r w:rsidRPr="005D5898">
              <w:rPr>
                <w:sz w:val="18"/>
                <w:szCs w:val="18"/>
              </w:rPr>
              <w:t>$'000</w:t>
            </w:r>
          </w:p>
        </w:tc>
        <w:tc>
          <w:tcPr>
            <w:tcW w:w="1012" w:type="dxa"/>
            <w:tcBorders>
              <w:top w:val="nil"/>
              <w:left w:val="nil"/>
              <w:bottom w:val="single" w:sz="4" w:space="0" w:color="auto"/>
              <w:right w:val="nil"/>
            </w:tcBorders>
            <w:shd w:val="clear" w:color="auto" w:fill="auto"/>
            <w:noWrap/>
            <w:vAlign w:val="center"/>
            <w:hideMark/>
          </w:tcPr>
          <w:p w14:paraId="6773F4CE" w14:textId="77777777" w:rsidR="0097090C" w:rsidRPr="005D5898" w:rsidRDefault="0097090C" w:rsidP="0097090C">
            <w:pPr>
              <w:rPr>
                <w:sz w:val="18"/>
                <w:szCs w:val="18"/>
              </w:rPr>
            </w:pPr>
            <w:r w:rsidRPr="005D5898">
              <w:rPr>
                <w:sz w:val="18"/>
                <w:szCs w:val="18"/>
              </w:rPr>
              <w:t>$'000</w:t>
            </w:r>
          </w:p>
        </w:tc>
        <w:tc>
          <w:tcPr>
            <w:tcW w:w="1036" w:type="dxa"/>
            <w:tcBorders>
              <w:top w:val="nil"/>
              <w:left w:val="nil"/>
              <w:bottom w:val="single" w:sz="4" w:space="0" w:color="auto"/>
              <w:right w:val="nil"/>
            </w:tcBorders>
            <w:shd w:val="clear" w:color="000000" w:fill="D9D9D9"/>
            <w:noWrap/>
            <w:vAlign w:val="center"/>
            <w:hideMark/>
          </w:tcPr>
          <w:p w14:paraId="66836EE1" w14:textId="77777777" w:rsidR="0097090C" w:rsidRPr="005D5898" w:rsidRDefault="0097090C" w:rsidP="0097090C">
            <w:pPr>
              <w:rPr>
                <w:sz w:val="18"/>
                <w:szCs w:val="18"/>
              </w:rPr>
            </w:pPr>
            <w:r w:rsidRPr="005D5898">
              <w:rPr>
                <w:sz w:val="18"/>
                <w:szCs w:val="18"/>
              </w:rPr>
              <w:t>$'000</w:t>
            </w:r>
          </w:p>
        </w:tc>
        <w:tc>
          <w:tcPr>
            <w:tcW w:w="1036" w:type="dxa"/>
            <w:tcBorders>
              <w:top w:val="nil"/>
              <w:left w:val="nil"/>
              <w:bottom w:val="single" w:sz="4" w:space="0" w:color="auto"/>
              <w:right w:val="nil"/>
            </w:tcBorders>
            <w:shd w:val="clear" w:color="auto" w:fill="auto"/>
            <w:noWrap/>
            <w:vAlign w:val="center"/>
            <w:hideMark/>
          </w:tcPr>
          <w:p w14:paraId="5B41AB18" w14:textId="77777777" w:rsidR="0097090C" w:rsidRPr="005D5898" w:rsidRDefault="0097090C" w:rsidP="0097090C">
            <w:pPr>
              <w:rPr>
                <w:sz w:val="18"/>
                <w:szCs w:val="18"/>
              </w:rPr>
            </w:pPr>
            <w:r w:rsidRPr="005D5898">
              <w:rPr>
                <w:sz w:val="18"/>
                <w:szCs w:val="18"/>
              </w:rPr>
              <w:t>$'000</w:t>
            </w:r>
          </w:p>
        </w:tc>
        <w:tc>
          <w:tcPr>
            <w:tcW w:w="914" w:type="dxa"/>
            <w:tcBorders>
              <w:top w:val="nil"/>
              <w:left w:val="nil"/>
              <w:bottom w:val="single" w:sz="4" w:space="0" w:color="auto"/>
              <w:right w:val="nil"/>
            </w:tcBorders>
            <w:shd w:val="clear" w:color="000000" w:fill="D9D9D9"/>
            <w:noWrap/>
            <w:vAlign w:val="center"/>
            <w:hideMark/>
          </w:tcPr>
          <w:p w14:paraId="014D8D24" w14:textId="77777777" w:rsidR="0097090C" w:rsidRPr="005D5898" w:rsidRDefault="0097090C" w:rsidP="0097090C">
            <w:pPr>
              <w:rPr>
                <w:sz w:val="18"/>
                <w:szCs w:val="18"/>
              </w:rPr>
            </w:pPr>
            <w:r w:rsidRPr="005D5898">
              <w:rPr>
                <w:sz w:val="18"/>
                <w:szCs w:val="18"/>
              </w:rPr>
              <w:t>$'000</w:t>
            </w:r>
          </w:p>
        </w:tc>
        <w:tc>
          <w:tcPr>
            <w:tcW w:w="914" w:type="dxa"/>
            <w:tcBorders>
              <w:top w:val="nil"/>
              <w:left w:val="nil"/>
              <w:bottom w:val="single" w:sz="4" w:space="0" w:color="auto"/>
              <w:right w:val="nil"/>
            </w:tcBorders>
            <w:shd w:val="clear" w:color="auto" w:fill="auto"/>
            <w:noWrap/>
            <w:vAlign w:val="center"/>
            <w:hideMark/>
          </w:tcPr>
          <w:p w14:paraId="172C5441" w14:textId="77777777" w:rsidR="0097090C" w:rsidRPr="005D5898" w:rsidRDefault="0097090C" w:rsidP="0097090C">
            <w:pPr>
              <w:rPr>
                <w:sz w:val="18"/>
                <w:szCs w:val="18"/>
              </w:rPr>
            </w:pPr>
            <w:r w:rsidRPr="005D5898">
              <w:rPr>
                <w:sz w:val="18"/>
                <w:szCs w:val="18"/>
              </w:rPr>
              <w:t>$'000</w:t>
            </w:r>
          </w:p>
        </w:tc>
        <w:tc>
          <w:tcPr>
            <w:tcW w:w="805" w:type="dxa"/>
            <w:tcBorders>
              <w:top w:val="nil"/>
              <w:left w:val="nil"/>
              <w:bottom w:val="single" w:sz="4" w:space="0" w:color="auto"/>
              <w:right w:val="nil"/>
            </w:tcBorders>
            <w:shd w:val="clear" w:color="000000" w:fill="D9D9D9"/>
            <w:noWrap/>
            <w:vAlign w:val="center"/>
            <w:hideMark/>
          </w:tcPr>
          <w:p w14:paraId="1AA9019B" w14:textId="77777777" w:rsidR="0097090C" w:rsidRPr="005D5898" w:rsidRDefault="0097090C" w:rsidP="0097090C">
            <w:pPr>
              <w:rPr>
                <w:sz w:val="18"/>
                <w:szCs w:val="18"/>
              </w:rPr>
            </w:pPr>
            <w:r w:rsidRPr="005D5898">
              <w:rPr>
                <w:sz w:val="18"/>
                <w:szCs w:val="18"/>
              </w:rPr>
              <w:t>$'000</w:t>
            </w:r>
          </w:p>
        </w:tc>
        <w:tc>
          <w:tcPr>
            <w:tcW w:w="806" w:type="dxa"/>
            <w:tcBorders>
              <w:top w:val="nil"/>
              <w:left w:val="nil"/>
              <w:bottom w:val="single" w:sz="4" w:space="0" w:color="auto"/>
              <w:right w:val="nil"/>
            </w:tcBorders>
            <w:shd w:val="clear" w:color="auto" w:fill="auto"/>
            <w:noWrap/>
            <w:vAlign w:val="center"/>
            <w:hideMark/>
          </w:tcPr>
          <w:p w14:paraId="60AF5AEE" w14:textId="77777777" w:rsidR="0097090C" w:rsidRPr="005D5898" w:rsidRDefault="0097090C" w:rsidP="0097090C">
            <w:pPr>
              <w:rPr>
                <w:sz w:val="18"/>
                <w:szCs w:val="18"/>
              </w:rPr>
            </w:pPr>
            <w:r w:rsidRPr="005D5898">
              <w:rPr>
                <w:sz w:val="18"/>
                <w:szCs w:val="18"/>
              </w:rPr>
              <w:t>$'000</w:t>
            </w:r>
          </w:p>
        </w:tc>
        <w:tc>
          <w:tcPr>
            <w:tcW w:w="914" w:type="dxa"/>
            <w:tcBorders>
              <w:top w:val="nil"/>
              <w:left w:val="nil"/>
              <w:bottom w:val="single" w:sz="4" w:space="0" w:color="auto"/>
              <w:right w:val="nil"/>
            </w:tcBorders>
            <w:shd w:val="clear" w:color="000000" w:fill="D9D9D9"/>
            <w:noWrap/>
            <w:vAlign w:val="center"/>
            <w:hideMark/>
          </w:tcPr>
          <w:p w14:paraId="424046D2" w14:textId="77777777" w:rsidR="0097090C" w:rsidRPr="005D5898" w:rsidRDefault="0097090C" w:rsidP="0097090C">
            <w:pPr>
              <w:rPr>
                <w:sz w:val="18"/>
                <w:szCs w:val="18"/>
              </w:rPr>
            </w:pPr>
            <w:r w:rsidRPr="005D5898">
              <w:rPr>
                <w:sz w:val="18"/>
                <w:szCs w:val="18"/>
              </w:rPr>
              <w:t>$'000</w:t>
            </w:r>
          </w:p>
        </w:tc>
        <w:tc>
          <w:tcPr>
            <w:tcW w:w="767" w:type="dxa"/>
            <w:tcBorders>
              <w:top w:val="nil"/>
              <w:left w:val="nil"/>
              <w:bottom w:val="single" w:sz="4" w:space="0" w:color="auto"/>
              <w:right w:val="nil"/>
            </w:tcBorders>
            <w:shd w:val="clear" w:color="auto" w:fill="auto"/>
            <w:noWrap/>
            <w:vAlign w:val="center"/>
            <w:hideMark/>
          </w:tcPr>
          <w:p w14:paraId="36E9CD17" w14:textId="77777777" w:rsidR="0097090C" w:rsidRPr="005D5898" w:rsidRDefault="0097090C" w:rsidP="0097090C">
            <w:pPr>
              <w:rPr>
                <w:sz w:val="18"/>
                <w:szCs w:val="18"/>
              </w:rPr>
            </w:pPr>
            <w:r w:rsidRPr="005D5898">
              <w:rPr>
                <w:sz w:val="18"/>
                <w:szCs w:val="18"/>
              </w:rPr>
              <w:t>$'000</w:t>
            </w:r>
          </w:p>
        </w:tc>
        <w:tc>
          <w:tcPr>
            <w:tcW w:w="1195" w:type="dxa"/>
            <w:tcBorders>
              <w:top w:val="nil"/>
              <w:left w:val="nil"/>
              <w:bottom w:val="single" w:sz="4" w:space="0" w:color="auto"/>
              <w:right w:val="nil"/>
            </w:tcBorders>
            <w:shd w:val="clear" w:color="000000" w:fill="D9D9D9"/>
            <w:noWrap/>
            <w:vAlign w:val="center"/>
            <w:hideMark/>
          </w:tcPr>
          <w:p w14:paraId="426DCD49" w14:textId="77777777" w:rsidR="0097090C" w:rsidRPr="005D5898" w:rsidRDefault="0097090C" w:rsidP="0097090C">
            <w:pPr>
              <w:rPr>
                <w:sz w:val="18"/>
                <w:szCs w:val="18"/>
              </w:rPr>
            </w:pPr>
            <w:r w:rsidRPr="005D5898">
              <w:rPr>
                <w:sz w:val="18"/>
                <w:szCs w:val="18"/>
              </w:rPr>
              <w:t>$'000</w:t>
            </w:r>
          </w:p>
        </w:tc>
        <w:tc>
          <w:tcPr>
            <w:tcW w:w="1195" w:type="dxa"/>
            <w:tcBorders>
              <w:top w:val="nil"/>
              <w:left w:val="nil"/>
              <w:bottom w:val="single" w:sz="4" w:space="0" w:color="auto"/>
              <w:right w:val="nil"/>
            </w:tcBorders>
            <w:shd w:val="clear" w:color="auto" w:fill="auto"/>
            <w:noWrap/>
            <w:vAlign w:val="center"/>
            <w:hideMark/>
          </w:tcPr>
          <w:p w14:paraId="096952DF" w14:textId="77777777" w:rsidR="0097090C" w:rsidRPr="005D5898" w:rsidRDefault="0097090C" w:rsidP="0097090C">
            <w:pPr>
              <w:rPr>
                <w:sz w:val="18"/>
                <w:szCs w:val="18"/>
              </w:rPr>
            </w:pPr>
            <w:r w:rsidRPr="005D5898">
              <w:rPr>
                <w:sz w:val="18"/>
                <w:szCs w:val="18"/>
              </w:rPr>
              <w:t>$'000</w:t>
            </w:r>
          </w:p>
        </w:tc>
      </w:tr>
      <w:tr w:rsidR="0097090C" w:rsidRPr="005D5898" w14:paraId="1E944265" w14:textId="77777777" w:rsidTr="0097090C">
        <w:trPr>
          <w:trHeight w:val="312"/>
        </w:trPr>
        <w:tc>
          <w:tcPr>
            <w:tcW w:w="1735" w:type="dxa"/>
            <w:tcBorders>
              <w:top w:val="nil"/>
              <w:left w:val="nil"/>
              <w:bottom w:val="nil"/>
              <w:right w:val="nil"/>
            </w:tcBorders>
            <w:shd w:val="clear" w:color="auto" w:fill="auto"/>
            <w:vAlign w:val="center"/>
            <w:hideMark/>
          </w:tcPr>
          <w:p w14:paraId="28C8FB7A" w14:textId="77777777" w:rsidR="0097090C" w:rsidRPr="005D5898" w:rsidRDefault="0097090C" w:rsidP="0097090C">
            <w:pPr>
              <w:rPr>
                <w:b/>
                <w:bCs/>
                <w:sz w:val="18"/>
                <w:szCs w:val="18"/>
              </w:rPr>
            </w:pPr>
            <w:r w:rsidRPr="005D5898">
              <w:rPr>
                <w:b/>
                <w:bCs/>
                <w:sz w:val="18"/>
                <w:szCs w:val="18"/>
              </w:rPr>
              <w:t>Opening balance</w:t>
            </w:r>
          </w:p>
        </w:tc>
        <w:tc>
          <w:tcPr>
            <w:tcW w:w="729" w:type="dxa"/>
            <w:tcBorders>
              <w:top w:val="nil"/>
              <w:left w:val="nil"/>
              <w:bottom w:val="nil"/>
              <w:right w:val="nil"/>
            </w:tcBorders>
            <w:shd w:val="clear" w:color="000000" w:fill="D9D9D9"/>
            <w:noWrap/>
            <w:vAlign w:val="center"/>
            <w:hideMark/>
          </w:tcPr>
          <w:p w14:paraId="4164465F" w14:textId="77777777" w:rsidR="0097090C" w:rsidRPr="005D5898" w:rsidRDefault="0097090C" w:rsidP="0097090C">
            <w:pPr>
              <w:rPr>
                <w:b/>
                <w:bCs/>
                <w:sz w:val="18"/>
                <w:szCs w:val="18"/>
              </w:rPr>
            </w:pPr>
            <w:r w:rsidRPr="005D5898">
              <w:rPr>
                <w:b/>
                <w:bCs/>
                <w:sz w:val="18"/>
                <w:szCs w:val="18"/>
              </w:rPr>
              <w:t>502,970</w:t>
            </w:r>
          </w:p>
        </w:tc>
        <w:tc>
          <w:tcPr>
            <w:tcW w:w="1012" w:type="dxa"/>
            <w:tcBorders>
              <w:top w:val="nil"/>
              <w:left w:val="nil"/>
              <w:bottom w:val="nil"/>
              <w:right w:val="nil"/>
            </w:tcBorders>
            <w:shd w:val="clear" w:color="auto" w:fill="auto"/>
            <w:noWrap/>
            <w:vAlign w:val="center"/>
            <w:hideMark/>
          </w:tcPr>
          <w:p w14:paraId="3EEC7631" w14:textId="77777777" w:rsidR="0097090C" w:rsidRPr="005D5898" w:rsidRDefault="0097090C" w:rsidP="0097090C">
            <w:pPr>
              <w:rPr>
                <w:b/>
                <w:bCs/>
                <w:sz w:val="18"/>
                <w:szCs w:val="18"/>
              </w:rPr>
            </w:pPr>
            <w:r w:rsidRPr="005D5898">
              <w:rPr>
                <w:b/>
                <w:bCs/>
                <w:sz w:val="18"/>
                <w:szCs w:val="18"/>
              </w:rPr>
              <w:t>502,188</w:t>
            </w:r>
          </w:p>
        </w:tc>
        <w:tc>
          <w:tcPr>
            <w:tcW w:w="1012" w:type="dxa"/>
            <w:tcBorders>
              <w:top w:val="nil"/>
              <w:left w:val="nil"/>
              <w:bottom w:val="nil"/>
              <w:right w:val="nil"/>
            </w:tcBorders>
            <w:shd w:val="clear" w:color="000000" w:fill="D9D9D9"/>
            <w:noWrap/>
            <w:vAlign w:val="center"/>
            <w:hideMark/>
          </w:tcPr>
          <w:p w14:paraId="107EFAD0" w14:textId="77777777" w:rsidR="0097090C" w:rsidRPr="005D5898" w:rsidRDefault="0097090C" w:rsidP="0097090C">
            <w:pPr>
              <w:rPr>
                <w:b/>
                <w:bCs/>
                <w:sz w:val="18"/>
                <w:szCs w:val="18"/>
              </w:rPr>
            </w:pPr>
            <w:r w:rsidRPr="005D5898">
              <w:rPr>
                <w:b/>
                <w:bCs/>
                <w:sz w:val="18"/>
                <w:szCs w:val="18"/>
              </w:rPr>
              <w:t>153,982</w:t>
            </w:r>
          </w:p>
        </w:tc>
        <w:tc>
          <w:tcPr>
            <w:tcW w:w="1012" w:type="dxa"/>
            <w:tcBorders>
              <w:top w:val="nil"/>
              <w:left w:val="nil"/>
              <w:bottom w:val="nil"/>
              <w:right w:val="nil"/>
            </w:tcBorders>
            <w:shd w:val="clear" w:color="auto" w:fill="auto"/>
            <w:noWrap/>
            <w:vAlign w:val="center"/>
            <w:hideMark/>
          </w:tcPr>
          <w:p w14:paraId="7268BC33" w14:textId="77777777" w:rsidR="0097090C" w:rsidRPr="005D5898" w:rsidRDefault="0097090C" w:rsidP="0097090C">
            <w:pPr>
              <w:rPr>
                <w:b/>
                <w:bCs/>
                <w:sz w:val="18"/>
                <w:szCs w:val="18"/>
              </w:rPr>
            </w:pPr>
            <w:r w:rsidRPr="005D5898">
              <w:rPr>
                <w:b/>
                <w:bCs/>
                <w:sz w:val="18"/>
                <w:szCs w:val="18"/>
              </w:rPr>
              <w:t>153,982</w:t>
            </w:r>
          </w:p>
        </w:tc>
        <w:tc>
          <w:tcPr>
            <w:tcW w:w="1036" w:type="dxa"/>
            <w:tcBorders>
              <w:top w:val="nil"/>
              <w:left w:val="nil"/>
              <w:bottom w:val="nil"/>
              <w:right w:val="nil"/>
            </w:tcBorders>
            <w:shd w:val="clear" w:color="000000" w:fill="D9D9D9"/>
            <w:noWrap/>
            <w:vAlign w:val="center"/>
            <w:hideMark/>
          </w:tcPr>
          <w:p w14:paraId="3708EB09" w14:textId="77777777" w:rsidR="0097090C" w:rsidRPr="005D5898" w:rsidRDefault="0097090C" w:rsidP="0097090C">
            <w:pPr>
              <w:rPr>
                <w:b/>
                <w:bCs/>
                <w:sz w:val="18"/>
                <w:szCs w:val="18"/>
              </w:rPr>
            </w:pPr>
            <w:r w:rsidRPr="005D5898">
              <w:rPr>
                <w:b/>
                <w:bCs/>
                <w:sz w:val="18"/>
                <w:szCs w:val="18"/>
              </w:rPr>
              <w:t>323,481</w:t>
            </w:r>
          </w:p>
        </w:tc>
        <w:tc>
          <w:tcPr>
            <w:tcW w:w="1036" w:type="dxa"/>
            <w:tcBorders>
              <w:top w:val="nil"/>
              <w:left w:val="nil"/>
              <w:bottom w:val="nil"/>
              <w:right w:val="nil"/>
            </w:tcBorders>
            <w:shd w:val="clear" w:color="auto" w:fill="auto"/>
            <w:noWrap/>
            <w:vAlign w:val="center"/>
            <w:hideMark/>
          </w:tcPr>
          <w:p w14:paraId="6C2D9182" w14:textId="77777777" w:rsidR="0097090C" w:rsidRPr="005D5898" w:rsidRDefault="0097090C" w:rsidP="0097090C">
            <w:pPr>
              <w:rPr>
                <w:b/>
                <w:bCs/>
                <w:sz w:val="18"/>
                <w:szCs w:val="18"/>
              </w:rPr>
            </w:pPr>
            <w:r w:rsidRPr="005D5898">
              <w:rPr>
                <w:b/>
                <w:bCs/>
                <w:sz w:val="18"/>
                <w:szCs w:val="18"/>
              </w:rPr>
              <w:t>338,971</w:t>
            </w:r>
          </w:p>
        </w:tc>
        <w:tc>
          <w:tcPr>
            <w:tcW w:w="914" w:type="dxa"/>
            <w:tcBorders>
              <w:top w:val="nil"/>
              <w:left w:val="nil"/>
              <w:bottom w:val="nil"/>
              <w:right w:val="nil"/>
            </w:tcBorders>
            <w:shd w:val="clear" w:color="000000" w:fill="D9D9D9"/>
            <w:noWrap/>
            <w:vAlign w:val="center"/>
            <w:hideMark/>
          </w:tcPr>
          <w:p w14:paraId="2B340EE1" w14:textId="77777777" w:rsidR="0097090C" w:rsidRPr="005D5898" w:rsidRDefault="0097090C" w:rsidP="0097090C">
            <w:pPr>
              <w:rPr>
                <w:b/>
                <w:bCs/>
                <w:sz w:val="18"/>
                <w:szCs w:val="18"/>
              </w:rPr>
            </w:pPr>
            <w:r w:rsidRPr="005D5898">
              <w:rPr>
                <w:b/>
                <w:bCs/>
                <w:sz w:val="18"/>
                <w:szCs w:val="18"/>
              </w:rPr>
              <w:t>4,363</w:t>
            </w:r>
          </w:p>
        </w:tc>
        <w:tc>
          <w:tcPr>
            <w:tcW w:w="914" w:type="dxa"/>
            <w:tcBorders>
              <w:top w:val="nil"/>
              <w:left w:val="nil"/>
              <w:bottom w:val="nil"/>
              <w:right w:val="nil"/>
            </w:tcBorders>
            <w:shd w:val="clear" w:color="auto" w:fill="auto"/>
            <w:noWrap/>
            <w:vAlign w:val="center"/>
            <w:hideMark/>
          </w:tcPr>
          <w:p w14:paraId="072BA1E3" w14:textId="77777777" w:rsidR="0097090C" w:rsidRPr="005D5898" w:rsidRDefault="0097090C" w:rsidP="0097090C">
            <w:pPr>
              <w:rPr>
                <w:b/>
                <w:bCs/>
                <w:sz w:val="18"/>
                <w:szCs w:val="18"/>
              </w:rPr>
            </w:pPr>
            <w:r w:rsidRPr="005D5898">
              <w:rPr>
                <w:b/>
                <w:bCs/>
                <w:sz w:val="18"/>
                <w:szCs w:val="18"/>
              </w:rPr>
              <w:t>4,044</w:t>
            </w:r>
          </w:p>
        </w:tc>
        <w:tc>
          <w:tcPr>
            <w:tcW w:w="805" w:type="dxa"/>
            <w:tcBorders>
              <w:top w:val="nil"/>
              <w:left w:val="nil"/>
              <w:bottom w:val="nil"/>
              <w:right w:val="nil"/>
            </w:tcBorders>
            <w:shd w:val="clear" w:color="000000" w:fill="D9D9D9"/>
            <w:noWrap/>
            <w:vAlign w:val="center"/>
            <w:hideMark/>
          </w:tcPr>
          <w:p w14:paraId="2FEE3444" w14:textId="77777777" w:rsidR="0097090C" w:rsidRPr="005D5898" w:rsidRDefault="0097090C" w:rsidP="0097090C">
            <w:pPr>
              <w:rPr>
                <w:b/>
                <w:bCs/>
                <w:sz w:val="18"/>
                <w:szCs w:val="18"/>
              </w:rPr>
            </w:pPr>
            <w:r w:rsidRPr="005D5898">
              <w:rPr>
                <w:b/>
                <w:bCs/>
                <w:sz w:val="18"/>
                <w:szCs w:val="18"/>
              </w:rPr>
              <w:t>1,922</w:t>
            </w:r>
          </w:p>
        </w:tc>
        <w:tc>
          <w:tcPr>
            <w:tcW w:w="806" w:type="dxa"/>
            <w:tcBorders>
              <w:top w:val="nil"/>
              <w:left w:val="nil"/>
              <w:bottom w:val="nil"/>
              <w:right w:val="nil"/>
            </w:tcBorders>
            <w:shd w:val="clear" w:color="auto" w:fill="auto"/>
            <w:noWrap/>
            <w:vAlign w:val="center"/>
            <w:hideMark/>
          </w:tcPr>
          <w:p w14:paraId="6057F463" w14:textId="77777777" w:rsidR="0097090C" w:rsidRPr="005D5898" w:rsidRDefault="0097090C" w:rsidP="0097090C">
            <w:pPr>
              <w:rPr>
                <w:b/>
                <w:bCs/>
                <w:sz w:val="18"/>
                <w:szCs w:val="18"/>
              </w:rPr>
            </w:pPr>
            <w:r w:rsidRPr="005D5898">
              <w:rPr>
                <w:b/>
                <w:bCs/>
                <w:sz w:val="18"/>
                <w:szCs w:val="18"/>
              </w:rPr>
              <w:t>2,400</w:t>
            </w:r>
          </w:p>
        </w:tc>
        <w:tc>
          <w:tcPr>
            <w:tcW w:w="914" w:type="dxa"/>
            <w:tcBorders>
              <w:top w:val="nil"/>
              <w:left w:val="nil"/>
              <w:bottom w:val="nil"/>
              <w:right w:val="nil"/>
            </w:tcBorders>
            <w:shd w:val="clear" w:color="000000" w:fill="D9D9D9"/>
            <w:noWrap/>
            <w:vAlign w:val="center"/>
            <w:hideMark/>
          </w:tcPr>
          <w:p w14:paraId="29475215" w14:textId="77777777" w:rsidR="0097090C" w:rsidRPr="005D5898" w:rsidRDefault="0097090C" w:rsidP="0097090C">
            <w:pPr>
              <w:rPr>
                <w:b/>
                <w:bCs/>
                <w:sz w:val="18"/>
                <w:szCs w:val="18"/>
              </w:rPr>
            </w:pPr>
            <w:r w:rsidRPr="005D5898">
              <w:rPr>
                <w:b/>
                <w:bCs/>
                <w:sz w:val="18"/>
                <w:szCs w:val="18"/>
              </w:rPr>
              <w:t>2,990</w:t>
            </w:r>
          </w:p>
        </w:tc>
        <w:tc>
          <w:tcPr>
            <w:tcW w:w="767" w:type="dxa"/>
            <w:tcBorders>
              <w:top w:val="nil"/>
              <w:left w:val="nil"/>
              <w:bottom w:val="nil"/>
              <w:right w:val="nil"/>
            </w:tcBorders>
            <w:shd w:val="clear" w:color="auto" w:fill="auto"/>
            <w:noWrap/>
            <w:vAlign w:val="center"/>
            <w:hideMark/>
          </w:tcPr>
          <w:p w14:paraId="3024BA7C" w14:textId="77777777" w:rsidR="0097090C" w:rsidRPr="005D5898" w:rsidRDefault="0097090C" w:rsidP="0097090C">
            <w:pPr>
              <w:rPr>
                <w:b/>
                <w:bCs/>
                <w:sz w:val="18"/>
                <w:szCs w:val="18"/>
              </w:rPr>
            </w:pPr>
            <w:r w:rsidRPr="005D5898">
              <w:rPr>
                <w:b/>
                <w:bCs/>
                <w:sz w:val="18"/>
                <w:szCs w:val="18"/>
              </w:rPr>
              <w:t>644</w:t>
            </w:r>
          </w:p>
        </w:tc>
        <w:tc>
          <w:tcPr>
            <w:tcW w:w="1195" w:type="dxa"/>
            <w:tcBorders>
              <w:top w:val="nil"/>
              <w:left w:val="nil"/>
              <w:bottom w:val="nil"/>
              <w:right w:val="nil"/>
            </w:tcBorders>
            <w:shd w:val="clear" w:color="000000" w:fill="D9D9D9"/>
            <w:noWrap/>
            <w:vAlign w:val="center"/>
            <w:hideMark/>
          </w:tcPr>
          <w:p w14:paraId="0C12EC22" w14:textId="77777777" w:rsidR="0097090C" w:rsidRPr="005D5898" w:rsidRDefault="0097090C" w:rsidP="0097090C">
            <w:pPr>
              <w:rPr>
                <w:b/>
                <w:bCs/>
                <w:sz w:val="18"/>
                <w:szCs w:val="18"/>
              </w:rPr>
            </w:pPr>
            <w:r w:rsidRPr="005D5898">
              <w:rPr>
                <w:b/>
                <w:bCs/>
                <w:sz w:val="18"/>
                <w:szCs w:val="18"/>
              </w:rPr>
              <w:t>989,708</w:t>
            </w:r>
          </w:p>
        </w:tc>
        <w:tc>
          <w:tcPr>
            <w:tcW w:w="1195" w:type="dxa"/>
            <w:tcBorders>
              <w:top w:val="nil"/>
              <w:left w:val="nil"/>
              <w:bottom w:val="nil"/>
              <w:right w:val="nil"/>
            </w:tcBorders>
            <w:shd w:val="clear" w:color="auto" w:fill="auto"/>
            <w:noWrap/>
            <w:vAlign w:val="center"/>
            <w:hideMark/>
          </w:tcPr>
          <w:p w14:paraId="4CF999F6" w14:textId="77777777" w:rsidR="0097090C" w:rsidRPr="005D5898" w:rsidRDefault="0097090C" w:rsidP="0097090C">
            <w:pPr>
              <w:rPr>
                <w:b/>
                <w:bCs/>
                <w:sz w:val="18"/>
                <w:szCs w:val="18"/>
              </w:rPr>
            </w:pPr>
            <w:r w:rsidRPr="005D5898">
              <w:rPr>
                <w:b/>
                <w:bCs/>
                <w:sz w:val="18"/>
                <w:szCs w:val="18"/>
              </w:rPr>
              <w:t>1,002,229</w:t>
            </w:r>
          </w:p>
        </w:tc>
      </w:tr>
      <w:tr w:rsidR="0097090C" w:rsidRPr="005D5898" w14:paraId="7E62E8DF" w14:textId="77777777" w:rsidTr="0097090C">
        <w:trPr>
          <w:trHeight w:val="265"/>
        </w:trPr>
        <w:tc>
          <w:tcPr>
            <w:tcW w:w="1735" w:type="dxa"/>
            <w:tcBorders>
              <w:top w:val="nil"/>
              <w:left w:val="nil"/>
              <w:bottom w:val="nil"/>
              <w:right w:val="nil"/>
            </w:tcBorders>
            <w:shd w:val="clear" w:color="auto" w:fill="auto"/>
            <w:vAlign w:val="center"/>
            <w:hideMark/>
          </w:tcPr>
          <w:p w14:paraId="38C3CFDE" w14:textId="77777777" w:rsidR="0097090C" w:rsidRPr="005D5898" w:rsidRDefault="0097090C" w:rsidP="0097090C">
            <w:pPr>
              <w:rPr>
                <w:sz w:val="18"/>
                <w:szCs w:val="18"/>
              </w:rPr>
            </w:pPr>
            <w:r w:rsidRPr="005D5898">
              <w:rPr>
                <w:sz w:val="18"/>
                <w:szCs w:val="18"/>
              </w:rPr>
              <w:t>Additions</w:t>
            </w:r>
          </w:p>
        </w:tc>
        <w:tc>
          <w:tcPr>
            <w:tcW w:w="729" w:type="dxa"/>
            <w:tcBorders>
              <w:top w:val="nil"/>
              <w:left w:val="nil"/>
              <w:bottom w:val="nil"/>
              <w:right w:val="nil"/>
            </w:tcBorders>
            <w:shd w:val="clear" w:color="000000" w:fill="D9D9D9"/>
            <w:noWrap/>
            <w:vAlign w:val="center"/>
            <w:hideMark/>
          </w:tcPr>
          <w:p w14:paraId="4B0A53CF" w14:textId="77777777" w:rsidR="0097090C" w:rsidRPr="005D5898" w:rsidRDefault="0097090C" w:rsidP="0097090C">
            <w:pPr>
              <w:rPr>
                <w:sz w:val="18"/>
                <w:szCs w:val="18"/>
              </w:rPr>
            </w:pPr>
            <w:r w:rsidRPr="005D5898">
              <w:rPr>
                <w:sz w:val="18"/>
                <w:szCs w:val="18"/>
              </w:rPr>
              <w:t>1,157</w:t>
            </w:r>
          </w:p>
        </w:tc>
        <w:tc>
          <w:tcPr>
            <w:tcW w:w="1012" w:type="dxa"/>
            <w:tcBorders>
              <w:top w:val="nil"/>
              <w:left w:val="nil"/>
              <w:bottom w:val="nil"/>
              <w:right w:val="nil"/>
            </w:tcBorders>
            <w:shd w:val="clear" w:color="auto" w:fill="auto"/>
            <w:noWrap/>
            <w:vAlign w:val="center"/>
            <w:hideMark/>
          </w:tcPr>
          <w:p w14:paraId="663E1612" w14:textId="77777777" w:rsidR="0097090C" w:rsidRPr="005D5898" w:rsidRDefault="0097090C" w:rsidP="0097090C">
            <w:pPr>
              <w:rPr>
                <w:sz w:val="18"/>
                <w:szCs w:val="18"/>
              </w:rPr>
            </w:pPr>
            <w:r w:rsidRPr="005D5898">
              <w:rPr>
                <w:sz w:val="18"/>
                <w:szCs w:val="18"/>
              </w:rPr>
              <w:t>905</w:t>
            </w:r>
          </w:p>
        </w:tc>
        <w:tc>
          <w:tcPr>
            <w:tcW w:w="1012" w:type="dxa"/>
            <w:tcBorders>
              <w:top w:val="nil"/>
              <w:left w:val="nil"/>
              <w:bottom w:val="nil"/>
              <w:right w:val="nil"/>
            </w:tcBorders>
            <w:shd w:val="clear" w:color="000000" w:fill="D9D9D9"/>
            <w:noWrap/>
            <w:vAlign w:val="center"/>
            <w:hideMark/>
          </w:tcPr>
          <w:p w14:paraId="76E1A3A0" w14:textId="77777777" w:rsidR="0097090C" w:rsidRPr="005D5898" w:rsidRDefault="0097090C" w:rsidP="0097090C">
            <w:pPr>
              <w:rPr>
                <w:sz w:val="18"/>
                <w:szCs w:val="18"/>
              </w:rPr>
            </w:pPr>
            <w:r w:rsidRPr="005D5898">
              <w:rPr>
                <w:sz w:val="18"/>
                <w:szCs w:val="18"/>
              </w:rPr>
              <w:t>0</w:t>
            </w:r>
          </w:p>
        </w:tc>
        <w:tc>
          <w:tcPr>
            <w:tcW w:w="1012" w:type="dxa"/>
            <w:tcBorders>
              <w:top w:val="nil"/>
              <w:left w:val="nil"/>
              <w:bottom w:val="nil"/>
              <w:right w:val="nil"/>
            </w:tcBorders>
            <w:shd w:val="clear" w:color="auto" w:fill="auto"/>
            <w:noWrap/>
            <w:vAlign w:val="center"/>
            <w:hideMark/>
          </w:tcPr>
          <w:p w14:paraId="494F3154" w14:textId="77777777" w:rsidR="0097090C" w:rsidRPr="005D5898" w:rsidRDefault="0097090C" w:rsidP="0097090C">
            <w:pPr>
              <w:rPr>
                <w:sz w:val="18"/>
                <w:szCs w:val="18"/>
              </w:rPr>
            </w:pPr>
            <w:r w:rsidRPr="005D5898">
              <w:rPr>
                <w:sz w:val="18"/>
                <w:szCs w:val="18"/>
              </w:rPr>
              <w:t>0</w:t>
            </w:r>
          </w:p>
        </w:tc>
        <w:tc>
          <w:tcPr>
            <w:tcW w:w="1036" w:type="dxa"/>
            <w:tcBorders>
              <w:top w:val="nil"/>
              <w:left w:val="nil"/>
              <w:bottom w:val="nil"/>
              <w:right w:val="nil"/>
            </w:tcBorders>
            <w:shd w:val="clear" w:color="000000" w:fill="D9D9D9"/>
            <w:noWrap/>
            <w:vAlign w:val="center"/>
            <w:hideMark/>
          </w:tcPr>
          <w:p w14:paraId="7E243542" w14:textId="77777777" w:rsidR="0097090C" w:rsidRPr="005D5898" w:rsidRDefault="0097090C" w:rsidP="0097090C">
            <w:pPr>
              <w:rPr>
                <w:sz w:val="18"/>
                <w:szCs w:val="18"/>
              </w:rPr>
            </w:pPr>
            <w:r w:rsidRPr="005D5898">
              <w:rPr>
                <w:sz w:val="18"/>
                <w:szCs w:val="18"/>
              </w:rPr>
              <w:t>3,443</w:t>
            </w:r>
          </w:p>
        </w:tc>
        <w:tc>
          <w:tcPr>
            <w:tcW w:w="1036" w:type="dxa"/>
            <w:tcBorders>
              <w:top w:val="nil"/>
              <w:left w:val="nil"/>
              <w:bottom w:val="nil"/>
              <w:right w:val="nil"/>
            </w:tcBorders>
            <w:shd w:val="clear" w:color="auto" w:fill="auto"/>
            <w:noWrap/>
            <w:vAlign w:val="center"/>
            <w:hideMark/>
          </w:tcPr>
          <w:p w14:paraId="4E1C2BB2" w14:textId="77777777" w:rsidR="0097090C" w:rsidRPr="005D5898" w:rsidRDefault="0097090C" w:rsidP="0097090C">
            <w:pPr>
              <w:rPr>
                <w:sz w:val="18"/>
                <w:szCs w:val="18"/>
              </w:rPr>
            </w:pPr>
            <w:r w:rsidRPr="005D5898">
              <w:rPr>
                <w:sz w:val="18"/>
                <w:szCs w:val="18"/>
              </w:rPr>
              <w:t>176</w:t>
            </w:r>
          </w:p>
        </w:tc>
        <w:tc>
          <w:tcPr>
            <w:tcW w:w="914" w:type="dxa"/>
            <w:tcBorders>
              <w:top w:val="nil"/>
              <w:left w:val="nil"/>
              <w:bottom w:val="nil"/>
              <w:right w:val="nil"/>
            </w:tcBorders>
            <w:shd w:val="clear" w:color="000000" w:fill="D9D9D9"/>
            <w:noWrap/>
            <w:vAlign w:val="center"/>
            <w:hideMark/>
          </w:tcPr>
          <w:p w14:paraId="29C53C48" w14:textId="77777777" w:rsidR="0097090C" w:rsidRPr="005D5898" w:rsidRDefault="0097090C" w:rsidP="0097090C">
            <w:pPr>
              <w:rPr>
                <w:sz w:val="18"/>
                <w:szCs w:val="18"/>
              </w:rPr>
            </w:pPr>
            <w:r w:rsidRPr="005D5898">
              <w:rPr>
                <w:sz w:val="18"/>
                <w:szCs w:val="18"/>
              </w:rPr>
              <w:t>1,319</w:t>
            </w:r>
          </w:p>
        </w:tc>
        <w:tc>
          <w:tcPr>
            <w:tcW w:w="914" w:type="dxa"/>
            <w:tcBorders>
              <w:top w:val="nil"/>
              <w:left w:val="nil"/>
              <w:bottom w:val="nil"/>
              <w:right w:val="nil"/>
            </w:tcBorders>
            <w:shd w:val="clear" w:color="auto" w:fill="auto"/>
            <w:noWrap/>
            <w:vAlign w:val="center"/>
            <w:hideMark/>
          </w:tcPr>
          <w:p w14:paraId="0EA67039" w14:textId="77777777" w:rsidR="0097090C" w:rsidRPr="005D5898" w:rsidRDefault="0097090C" w:rsidP="0097090C">
            <w:pPr>
              <w:rPr>
                <w:sz w:val="18"/>
                <w:szCs w:val="18"/>
              </w:rPr>
            </w:pPr>
            <w:r w:rsidRPr="005D5898">
              <w:rPr>
                <w:sz w:val="18"/>
                <w:szCs w:val="18"/>
              </w:rPr>
              <w:t>1,578</w:t>
            </w:r>
          </w:p>
        </w:tc>
        <w:tc>
          <w:tcPr>
            <w:tcW w:w="805" w:type="dxa"/>
            <w:tcBorders>
              <w:top w:val="nil"/>
              <w:left w:val="nil"/>
              <w:bottom w:val="nil"/>
              <w:right w:val="nil"/>
            </w:tcBorders>
            <w:shd w:val="clear" w:color="000000" w:fill="D9D9D9"/>
            <w:noWrap/>
            <w:vAlign w:val="center"/>
            <w:hideMark/>
          </w:tcPr>
          <w:p w14:paraId="222BFAEC" w14:textId="77777777" w:rsidR="0097090C" w:rsidRPr="005D5898" w:rsidRDefault="0097090C" w:rsidP="0097090C">
            <w:pPr>
              <w:rPr>
                <w:sz w:val="18"/>
                <w:szCs w:val="18"/>
              </w:rPr>
            </w:pPr>
            <w:r w:rsidRPr="005D5898">
              <w:rPr>
                <w:sz w:val="18"/>
                <w:szCs w:val="18"/>
              </w:rPr>
              <w:t>52</w:t>
            </w:r>
          </w:p>
        </w:tc>
        <w:tc>
          <w:tcPr>
            <w:tcW w:w="806" w:type="dxa"/>
            <w:tcBorders>
              <w:top w:val="nil"/>
              <w:left w:val="nil"/>
              <w:bottom w:val="nil"/>
              <w:right w:val="nil"/>
            </w:tcBorders>
            <w:shd w:val="clear" w:color="auto" w:fill="auto"/>
            <w:noWrap/>
            <w:vAlign w:val="center"/>
            <w:hideMark/>
          </w:tcPr>
          <w:p w14:paraId="0C45FCC4" w14:textId="77777777" w:rsidR="0097090C" w:rsidRPr="005D5898" w:rsidRDefault="0097090C" w:rsidP="0097090C">
            <w:pPr>
              <w:rPr>
                <w:sz w:val="18"/>
                <w:szCs w:val="18"/>
              </w:rPr>
            </w:pPr>
            <w:r w:rsidRPr="005D5898">
              <w:rPr>
                <w:sz w:val="18"/>
                <w:szCs w:val="18"/>
              </w:rPr>
              <w:t>254</w:t>
            </w:r>
          </w:p>
        </w:tc>
        <w:tc>
          <w:tcPr>
            <w:tcW w:w="914" w:type="dxa"/>
            <w:tcBorders>
              <w:top w:val="nil"/>
              <w:left w:val="nil"/>
              <w:bottom w:val="nil"/>
              <w:right w:val="nil"/>
            </w:tcBorders>
            <w:shd w:val="clear" w:color="000000" w:fill="D9D9D9"/>
            <w:noWrap/>
            <w:vAlign w:val="center"/>
            <w:hideMark/>
          </w:tcPr>
          <w:p w14:paraId="73FE9430" w14:textId="77777777" w:rsidR="0097090C" w:rsidRPr="005D5898" w:rsidRDefault="0097090C" w:rsidP="0097090C">
            <w:pPr>
              <w:rPr>
                <w:sz w:val="18"/>
                <w:szCs w:val="18"/>
              </w:rPr>
            </w:pPr>
            <w:r w:rsidRPr="005D5898">
              <w:rPr>
                <w:sz w:val="18"/>
                <w:szCs w:val="18"/>
              </w:rPr>
              <w:t>4,499</w:t>
            </w:r>
          </w:p>
        </w:tc>
        <w:tc>
          <w:tcPr>
            <w:tcW w:w="767" w:type="dxa"/>
            <w:tcBorders>
              <w:top w:val="nil"/>
              <w:left w:val="nil"/>
              <w:bottom w:val="nil"/>
              <w:right w:val="nil"/>
            </w:tcBorders>
            <w:shd w:val="clear" w:color="auto" w:fill="auto"/>
            <w:noWrap/>
            <w:vAlign w:val="center"/>
            <w:hideMark/>
          </w:tcPr>
          <w:p w14:paraId="0887DCFE" w14:textId="77777777" w:rsidR="0097090C" w:rsidRPr="005D5898" w:rsidRDefault="0097090C" w:rsidP="0097090C">
            <w:pPr>
              <w:rPr>
                <w:sz w:val="18"/>
                <w:szCs w:val="18"/>
              </w:rPr>
            </w:pPr>
            <w:r w:rsidRPr="005D5898">
              <w:rPr>
                <w:sz w:val="18"/>
                <w:szCs w:val="18"/>
              </w:rPr>
              <w:t>2,512</w:t>
            </w:r>
          </w:p>
        </w:tc>
        <w:tc>
          <w:tcPr>
            <w:tcW w:w="1195" w:type="dxa"/>
            <w:tcBorders>
              <w:top w:val="nil"/>
              <w:left w:val="nil"/>
              <w:bottom w:val="nil"/>
              <w:right w:val="nil"/>
            </w:tcBorders>
            <w:shd w:val="clear" w:color="000000" w:fill="D9D9D9"/>
            <w:noWrap/>
            <w:vAlign w:val="center"/>
            <w:hideMark/>
          </w:tcPr>
          <w:p w14:paraId="5F35B0F2" w14:textId="77777777" w:rsidR="0097090C" w:rsidRPr="005D5898" w:rsidRDefault="0097090C" w:rsidP="0097090C">
            <w:pPr>
              <w:rPr>
                <w:sz w:val="18"/>
                <w:szCs w:val="18"/>
              </w:rPr>
            </w:pPr>
            <w:r w:rsidRPr="005D5898">
              <w:rPr>
                <w:sz w:val="18"/>
                <w:szCs w:val="18"/>
              </w:rPr>
              <w:t>10,470</w:t>
            </w:r>
          </w:p>
        </w:tc>
        <w:tc>
          <w:tcPr>
            <w:tcW w:w="1195" w:type="dxa"/>
            <w:tcBorders>
              <w:top w:val="nil"/>
              <w:left w:val="nil"/>
              <w:bottom w:val="nil"/>
              <w:right w:val="nil"/>
            </w:tcBorders>
            <w:shd w:val="clear" w:color="auto" w:fill="auto"/>
            <w:noWrap/>
            <w:vAlign w:val="center"/>
            <w:hideMark/>
          </w:tcPr>
          <w:p w14:paraId="29D2285B" w14:textId="77777777" w:rsidR="0097090C" w:rsidRPr="005D5898" w:rsidRDefault="0097090C" w:rsidP="0097090C">
            <w:pPr>
              <w:rPr>
                <w:sz w:val="18"/>
                <w:szCs w:val="18"/>
              </w:rPr>
            </w:pPr>
            <w:r w:rsidRPr="005D5898">
              <w:rPr>
                <w:sz w:val="18"/>
                <w:szCs w:val="18"/>
              </w:rPr>
              <w:t>5,425</w:t>
            </w:r>
          </w:p>
        </w:tc>
      </w:tr>
      <w:tr w:rsidR="0097090C" w:rsidRPr="005D5898" w14:paraId="0D9203F0" w14:textId="77777777" w:rsidTr="0097090C">
        <w:trPr>
          <w:trHeight w:val="265"/>
        </w:trPr>
        <w:tc>
          <w:tcPr>
            <w:tcW w:w="1735" w:type="dxa"/>
            <w:tcBorders>
              <w:top w:val="nil"/>
              <w:left w:val="nil"/>
              <w:bottom w:val="nil"/>
              <w:right w:val="nil"/>
            </w:tcBorders>
            <w:shd w:val="clear" w:color="auto" w:fill="auto"/>
            <w:vAlign w:val="center"/>
            <w:hideMark/>
          </w:tcPr>
          <w:p w14:paraId="338CAD98" w14:textId="77777777" w:rsidR="0097090C" w:rsidRPr="005D5898" w:rsidRDefault="0097090C" w:rsidP="0097090C">
            <w:pPr>
              <w:rPr>
                <w:sz w:val="18"/>
                <w:szCs w:val="18"/>
              </w:rPr>
            </w:pPr>
            <w:r w:rsidRPr="005D5898">
              <w:rPr>
                <w:sz w:val="18"/>
                <w:szCs w:val="18"/>
              </w:rPr>
              <w:t>Disposals</w:t>
            </w:r>
          </w:p>
        </w:tc>
        <w:tc>
          <w:tcPr>
            <w:tcW w:w="729" w:type="dxa"/>
            <w:tcBorders>
              <w:top w:val="nil"/>
              <w:left w:val="nil"/>
              <w:bottom w:val="nil"/>
              <w:right w:val="nil"/>
            </w:tcBorders>
            <w:shd w:val="clear" w:color="000000" w:fill="D9D9D9"/>
            <w:noWrap/>
            <w:vAlign w:val="center"/>
            <w:hideMark/>
          </w:tcPr>
          <w:p w14:paraId="36EC805A" w14:textId="77777777" w:rsidR="0097090C" w:rsidRPr="005D5898" w:rsidRDefault="0097090C" w:rsidP="0097090C">
            <w:pPr>
              <w:rPr>
                <w:sz w:val="18"/>
                <w:szCs w:val="18"/>
              </w:rPr>
            </w:pPr>
            <w:r w:rsidRPr="005D5898">
              <w:rPr>
                <w:sz w:val="18"/>
                <w:szCs w:val="18"/>
              </w:rPr>
              <w:t>(10)</w:t>
            </w:r>
          </w:p>
        </w:tc>
        <w:tc>
          <w:tcPr>
            <w:tcW w:w="1012" w:type="dxa"/>
            <w:tcBorders>
              <w:top w:val="nil"/>
              <w:left w:val="nil"/>
              <w:bottom w:val="nil"/>
              <w:right w:val="nil"/>
            </w:tcBorders>
            <w:shd w:val="clear" w:color="auto" w:fill="auto"/>
            <w:noWrap/>
            <w:vAlign w:val="center"/>
            <w:hideMark/>
          </w:tcPr>
          <w:p w14:paraId="2A04D842" w14:textId="77777777" w:rsidR="0097090C" w:rsidRPr="005D5898" w:rsidRDefault="0097090C" w:rsidP="0097090C">
            <w:pPr>
              <w:rPr>
                <w:sz w:val="18"/>
                <w:szCs w:val="18"/>
              </w:rPr>
            </w:pPr>
            <w:r w:rsidRPr="005D5898">
              <w:rPr>
                <w:sz w:val="18"/>
                <w:szCs w:val="18"/>
              </w:rPr>
              <w:t>(2)</w:t>
            </w:r>
          </w:p>
        </w:tc>
        <w:tc>
          <w:tcPr>
            <w:tcW w:w="1012" w:type="dxa"/>
            <w:tcBorders>
              <w:top w:val="nil"/>
              <w:left w:val="nil"/>
              <w:bottom w:val="nil"/>
              <w:right w:val="nil"/>
            </w:tcBorders>
            <w:shd w:val="clear" w:color="000000" w:fill="D9D9D9"/>
            <w:noWrap/>
            <w:vAlign w:val="center"/>
            <w:hideMark/>
          </w:tcPr>
          <w:p w14:paraId="16E93478" w14:textId="77777777" w:rsidR="0097090C" w:rsidRPr="005D5898" w:rsidRDefault="0097090C" w:rsidP="0097090C">
            <w:pPr>
              <w:rPr>
                <w:sz w:val="18"/>
                <w:szCs w:val="18"/>
              </w:rPr>
            </w:pPr>
            <w:r w:rsidRPr="005D5898">
              <w:rPr>
                <w:sz w:val="18"/>
                <w:szCs w:val="18"/>
              </w:rPr>
              <w:t>0</w:t>
            </w:r>
          </w:p>
        </w:tc>
        <w:tc>
          <w:tcPr>
            <w:tcW w:w="1012" w:type="dxa"/>
            <w:tcBorders>
              <w:top w:val="nil"/>
              <w:left w:val="nil"/>
              <w:bottom w:val="nil"/>
              <w:right w:val="nil"/>
            </w:tcBorders>
            <w:shd w:val="clear" w:color="auto" w:fill="auto"/>
            <w:noWrap/>
            <w:vAlign w:val="center"/>
            <w:hideMark/>
          </w:tcPr>
          <w:p w14:paraId="0B8EA6EE" w14:textId="77777777" w:rsidR="0097090C" w:rsidRPr="005D5898" w:rsidRDefault="0097090C" w:rsidP="0097090C">
            <w:pPr>
              <w:rPr>
                <w:sz w:val="18"/>
                <w:szCs w:val="18"/>
              </w:rPr>
            </w:pPr>
            <w:r w:rsidRPr="005D5898">
              <w:rPr>
                <w:sz w:val="18"/>
                <w:szCs w:val="18"/>
              </w:rPr>
              <w:t>0</w:t>
            </w:r>
          </w:p>
        </w:tc>
        <w:tc>
          <w:tcPr>
            <w:tcW w:w="1036" w:type="dxa"/>
            <w:tcBorders>
              <w:top w:val="nil"/>
              <w:left w:val="nil"/>
              <w:bottom w:val="nil"/>
              <w:right w:val="nil"/>
            </w:tcBorders>
            <w:shd w:val="clear" w:color="000000" w:fill="D9D9D9"/>
            <w:noWrap/>
            <w:vAlign w:val="center"/>
            <w:hideMark/>
          </w:tcPr>
          <w:p w14:paraId="7AA6A8F0" w14:textId="77777777" w:rsidR="0097090C" w:rsidRPr="005D5898" w:rsidRDefault="0097090C" w:rsidP="0097090C">
            <w:pPr>
              <w:rPr>
                <w:sz w:val="18"/>
                <w:szCs w:val="18"/>
              </w:rPr>
            </w:pPr>
            <w:r w:rsidRPr="005D5898">
              <w:rPr>
                <w:sz w:val="18"/>
                <w:szCs w:val="18"/>
              </w:rPr>
              <w:t>(165)</w:t>
            </w:r>
          </w:p>
        </w:tc>
        <w:tc>
          <w:tcPr>
            <w:tcW w:w="1036" w:type="dxa"/>
            <w:tcBorders>
              <w:top w:val="nil"/>
              <w:left w:val="nil"/>
              <w:bottom w:val="nil"/>
              <w:right w:val="nil"/>
            </w:tcBorders>
            <w:shd w:val="clear" w:color="auto" w:fill="auto"/>
            <w:noWrap/>
            <w:vAlign w:val="center"/>
            <w:hideMark/>
          </w:tcPr>
          <w:p w14:paraId="66ABED08" w14:textId="77777777" w:rsidR="0097090C" w:rsidRPr="005D5898" w:rsidRDefault="0097090C" w:rsidP="0097090C">
            <w:pPr>
              <w:rPr>
                <w:sz w:val="18"/>
                <w:szCs w:val="18"/>
              </w:rPr>
            </w:pPr>
            <w:r w:rsidRPr="005D5898">
              <w:rPr>
                <w:sz w:val="18"/>
                <w:szCs w:val="18"/>
              </w:rPr>
              <w:t>0</w:t>
            </w:r>
          </w:p>
        </w:tc>
        <w:tc>
          <w:tcPr>
            <w:tcW w:w="914" w:type="dxa"/>
            <w:tcBorders>
              <w:top w:val="nil"/>
              <w:left w:val="nil"/>
              <w:bottom w:val="nil"/>
              <w:right w:val="nil"/>
            </w:tcBorders>
            <w:shd w:val="clear" w:color="000000" w:fill="D9D9D9"/>
            <w:noWrap/>
            <w:vAlign w:val="center"/>
            <w:hideMark/>
          </w:tcPr>
          <w:p w14:paraId="6CB130D5" w14:textId="77777777" w:rsidR="0097090C" w:rsidRPr="005D5898" w:rsidRDefault="0097090C" w:rsidP="0097090C">
            <w:pPr>
              <w:rPr>
                <w:sz w:val="18"/>
                <w:szCs w:val="18"/>
              </w:rPr>
            </w:pPr>
            <w:r w:rsidRPr="005D5898">
              <w:rPr>
                <w:sz w:val="18"/>
                <w:szCs w:val="18"/>
              </w:rPr>
              <w:t>(328)</w:t>
            </w:r>
          </w:p>
        </w:tc>
        <w:tc>
          <w:tcPr>
            <w:tcW w:w="914" w:type="dxa"/>
            <w:tcBorders>
              <w:top w:val="nil"/>
              <w:left w:val="nil"/>
              <w:bottom w:val="nil"/>
              <w:right w:val="nil"/>
            </w:tcBorders>
            <w:shd w:val="clear" w:color="auto" w:fill="auto"/>
            <w:noWrap/>
            <w:vAlign w:val="center"/>
            <w:hideMark/>
          </w:tcPr>
          <w:p w14:paraId="64AB4EEB" w14:textId="77777777" w:rsidR="0097090C" w:rsidRPr="005D5898" w:rsidRDefault="0097090C" w:rsidP="0097090C">
            <w:pPr>
              <w:rPr>
                <w:sz w:val="18"/>
                <w:szCs w:val="18"/>
              </w:rPr>
            </w:pPr>
            <w:r w:rsidRPr="005D5898">
              <w:rPr>
                <w:sz w:val="18"/>
                <w:szCs w:val="18"/>
              </w:rPr>
              <w:t>(49)</w:t>
            </w:r>
          </w:p>
        </w:tc>
        <w:tc>
          <w:tcPr>
            <w:tcW w:w="805" w:type="dxa"/>
            <w:tcBorders>
              <w:top w:val="nil"/>
              <w:left w:val="nil"/>
              <w:bottom w:val="nil"/>
              <w:right w:val="nil"/>
            </w:tcBorders>
            <w:shd w:val="clear" w:color="000000" w:fill="D9D9D9"/>
            <w:noWrap/>
            <w:vAlign w:val="center"/>
            <w:hideMark/>
          </w:tcPr>
          <w:p w14:paraId="1AFF6ACF" w14:textId="77777777" w:rsidR="0097090C" w:rsidRPr="005D5898" w:rsidRDefault="0097090C" w:rsidP="0097090C">
            <w:pPr>
              <w:rPr>
                <w:sz w:val="18"/>
                <w:szCs w:val="18"/>
              </w:rPr>
            </w:pPr>
            <w:r w:rsidRPr="005D5898">
              <w:rPr>
                <w:sz w:val="18"/>
                <w:szCs w:val="18"/>
              </w:rPr>
              <w:t> </w:t>
            </w:r>
          </w:p>
        </w:tc>
        <w:tc>
          <w:tcPr>
            <w:tcW w:w="806" w:type="dxa"/>
            <w:tcBorders>
              <w:top w:val="nil"/>
              <w:left w:val="nil"/>
              <w:bottom w:val="nil"/>
              <w:right w:val="nil"/>
            </w:tcBorders>
            <w:shd w:val="clear" w:color="auto" w:fill="auto"/>
            <w:noWrap/>
            <w:vAlign w:val="center"/>
            <w:hideMark/>
          </w:tcPr>
          <w:p w14:paraId="53B14E15" w14:textId="77777777" w:rsidR="0097090C" w:rsidRPr="005D5898" w:rsidRDefault="0097090C" w:rsidP="0097090C">
            <w:pPr>
              <w:rPr>
                <w:sz w:val="18"/>
                <w:szCs w:val="18"/>
              </w:rPr>
            </w:pPr>
            <w:r w:rsidRPr="005D5898">
              <w:rPr>
                <w:sz w:val="18"/>
                <w:szCs w:val="18"/>
              </w:rPr>
              <w:t>(6)</w:t>
            </w:r>
          </w:p>
        </w:tc>
        <w:tc>
          <w:tcPr>
            <w:tcW w:w="914" w:type="dxa"/>
            <w:tcBorders>
              <w:top w:val="nil"/>
              <w:left w:val="nil"/>
              <w:bottom w:val="nil"/>
              <w:right w:val="nil"/>
            </w:tcBorders>
            <w:shd w:val="clear" w:color="000000" w:fill="D9D9D9"/>
            <w:noWrap/>
            <w:vAlign w:val="center"/>
            <w:hideMark/>
          </w:tcPr>
          <w:p w14:paraId="540D4F06" w14:textId="77777777" w:rsidR="0097090C" w:rsidRPr="005D5898" w:rsidRDefault="0097090C" w:rsidP="0097090C">
            <w:pPr>
              <w:rPr>
                <w:sz w:val="18"/>
                <w:szCs w:val="18"/>
              </w:rPr>
            </w:pPr>
            <w:r w:rsidRPr="005D5898">
              <w:rPr>
                <w:sz w:val="18"/>
                <w:szCs w:val="18"/>
              </w:rPr>
              <w:t>0</w:t>
            </w:r>
          </w:p>
        </w:tc>
        <w:tc>
          <w:tcPr>
            <w:tcW w:w="767" w:type="dxa"/>
            <w:tcBorders>
              <w:top w:val="nil"/>
              <w:left w:val="nil"/>
              <w:bottom w:val="nil"/>
              <w:right w:val="nil"/>
            </w:tcBorders>
            <w:shd w:val="clear" w:color="auto" w:fill="auto"/>
            <w:noWrap/>
            <w:vAlign w:val="center"/>
            <w:hideMark/>
          </w:tcPr>
          <w:p w14:paraId="1D9D7964" w14:textId="77777777" w:rsidR="0097090C" w:rsidRPr="005D5898" w:rsidRDefault="0097090C" w:rsidP="0097090C">
            <w:pPr>
              <w:rPr>
                <w:sz w:val="18"/>
                <w:szCs w:val="18"/>
              </w:rPr>
            </w:pPr>
            <w:r w:rsidRPr="005D5898">
              <w:rPr>
                <w:sz w:val="18"/>
                <w:szCs w:val="18"/>
              </w:rPr>
              <w:t>0</w:t>
            </w:r>
          </w:p>
        </w:tc>
        <w:tc>
          <w:tcPr>
            <w:tcW w:w="1195" w:type="dxa"/>
            <w:tcBorders>
              <w:top w:val="nil"/>
              <w:left w:val="nil"/>
              <w:bottom w:val="nil"/>
              <w:right w:val="nil"/>
            </w:tcBorders>
            <w:shd w:val="clear" w:color="000000" w:fill="D9D9D9"/>
            <w:noWrap/>
            <w:vAlign w:val="center"/>
            <w:hideMark/>
          </w:tcPr>
          <w:p w14:paraId="3D46AD7F" w14:textId="77777777" w:rsidR="0097090C" w:rsidRPr="005D5898" w:rsidRDefault="0097090C" w:rsidP="0097090C">
            <w:pPr>
              <w:rPr>
                <w:sz w:val="18"/>
                <w:szCs w:val="18"/>
              </w:rPr>
            </w:pPr>
            <w:r w:rsidRPr="005D5898">
              <w:rPr>
                <w:sz w:val="18"/>
                <w:szCs w:val="18"/>
              </w:rPr>
              <w:t>(503)</w:t>
            </w:r>
          </w:p>
        </w:tc>
        <w:tc>
          <w:tcPr>
            <w:tcW w:w="1195" w:type="dxa"/>
            <w:tcBorders>
              <w:top w:val="nil"/>
              <w:left w:val="nil"/>
              <w:bottom w:val="nil"/>
              <w:right w:val="nil"/>
            </w:tcBorders>
            <w:shd w:val="clear" w:color="auto" w:fill="auto"/>
            <w:noWrap/>
            <w:vAlign w:val="center"/>
            <w:hideMark/>
          </w:tcPr>
          <w:p w14:paraId="5B7AB581" w14:textId="77777777" w:rsidR="0097090C" w:rsidRPr="005D5898" w:rsidRDefault="0097090C" w:rsidP="0097090C">
            <w:pPr>
              <w:rPr>
                <w:sz w:val="18"/>
                <w:szCs w:val="18"/>
              </w:rPr>
            </w:pPr>
            <w:r w:rsidRPr="005D5898">
              <w:rPr>
                <w:sz w:val="18"/>
                <w:szCs w:val="18"/>
              </w:rPr>
              <w:t>(57)</w:t>
            </w:r>
          </w:p>
        </w:tc>
      </w:tr>
      <w:tr w:rsidR="0097090C" w:rsidRPr="005D5898" w14:paraId="0CF0F342" w14:textId="77777777" w:rsidTr="0097090C">
        <w:trPr>
          <w:trHeight w:val="265"/>
        </w:trPr>
        <w:tc>
          <w:tcPr>
            <w:tcW w:w="1735" w:type="dxa"/>
            <w:tcBorders>
              <w:top w:val="nil"/>
              <w:left w:val="nil"/>
              <w:bottom w:val="nil"/>
              <w:right w:val="nil"/>
            </w:tcBorders>
            <w:shd w:val="clear" w:color="auto" w:fill="auto"/>
            <w:vAlign w:val="center"/>
            <w:hideMark/>
          </w:tcPr>
          <w:p w14:paraId="35ADBB25" w14:textId="77777777" w:rsidR="0097090C" w:rsidRPr="005D5898" w:rsidRDefault="0097090C" w:rsidP="0097090C">
            <w:pPr>
              <w:rPr>
                <w:sz w:val="18"/>
                <w:szCs w:val="18"/>
              </w:rPr>
            </w:pPr>
            <w:r w:rsidRPr="005D5898">
              <w:rPr>
                <w:sz w:val="18"/>
                <w:szCs w:val="18"/>
              </w:rPr>
              <w:t>Asset revaluation</w:t>
            </w:r>
          </w:p>
        </w:tc>
        <w:tc>
          <w:tcPr>
            <w:tcW w:w="729" w:type="dxa"/>
            <w:tcBorders>
              <w:top w:val="nil"/>
              <w:left w:val="nil"/>
              <w:bottom w:val="nil"/>
              <w:right w:val="nil"/>
            </w:tcBorders>
            <w:shd w:val="clear" w:color="000000" w:fill="D9D9D9"/>
            <w:noWrap/>
            <w:vAlign w:val="center"/>
            <w:hideMark/>
          </w:tcPr>
          <w:p w14:paraId="64F153AE" w14:textId="77777777" w:rsidR="0097090C" w:rsidRPr="005D5898" w:rsidRDefault="0097090C" w:rsidP="0097090C">
            <w:pPr>
              <w:rPr>
                <w:sz w:val="18"/>
                <w:szCs w:val="18"/>
              </w:rPr>
            </w:pPr>
            <w:r w:rsidRPr="005D5898">
              <w:rPr>
                <w:sz w:val="18"/>
                <w:szCs w:val="18"/>
              </w:rPr>
              <w:t>210,326</w:t>
            </w:r>
          </w:p>
        </w:tc>
        <w:tc>
          <w:tcPr>
            <w:tcW w:w="1012" w:type="dxa"/>
            <w:tcBorders>
              <w:top w:val="nil"/>
              <w:left w:val="nil"/>
              <w:bottom w:val="nil"/>
              <w:right w:val="nil"/>
            </w:tcBorders>
            <w:shd w:val="clear" w:color="auto" w:fill="auto"/>
            <w:noWrap/>
            <w:vAlign w:val="center"/>
            <w:hideMark/>
          </w:tcPr>
          <w:p w14:paraId="192420DE" w14:textId="77777777" w:rsidR="0097090C" w:rsidRPr="005D5898" w:rsidRDefault="0097090C" w:rsidP="0097090C">
            <w:pPr>
              <w:rPr>
                <w:sz w:val="18"/>
                <w:szCs w:val="18"/>
              </w:rPr>
            </w:pPr>
            <w:r w:rsidRPr="005D5898">
              <w:rPr>
                <w:sz w:val="18"/>
                <w:szCs w:val="18"/>
              </w:rPr>
              <w:t>0</w:t>
            </w:r>
          </w:p>
        </w:tc>
        <w:tc>
          <w:tcPr>
            <w:tcW w:w="1012" w:type="dxa"/>
            <w:tcBorders>
              <w:top w:val="nil"/>
              <w:left w:val="nil"/>
              <w:bottom w:val="nil"/>
              <w:right w:val="nil"/>
            </w:tcBorders>
            <w:shd w:val="clear" w:color="000000" w:fill="D9D9D9"/>
            <w:noWrap/>
            <w:vAlign w:val="center"/>
            <w:hideMark/>
          </w:tcPr>
          <w:p w14:paraId="1A0D9248" w14:textId="77777777" w:rsidR="0097090C" w:rsidRPr="005D5898" w:rsidRDefault="0097090C" w:rsidP="0097090C">
            <w:pPr>
              <w:rPr>
                <w:sz w:val="18"/>
                <w:szCs w:val="18"/>
              </w:rPr>
            </w:pPr>
            <w:r w:rsidRPr="005D5898">
              <w:rPr>
                <w:sz w:val="18"/>
                <w:szCs w:val="18"/>
              </w:rPr>
              <w:t>232,377</w:t>
            </w:r>
          </w:p>
        </w:tc>
        <w:tc>
          <w:tcPr>
            <w:tcW w:w="1012" w:type="dxa"/>
            <w:tcBorders>
              <w:top w:val="nil"/>
              <w:left w:val="nil"/>
              <w:bottom w:val="nil"/>
              <w:right w:val="nil"/>
            </w:tcBorders>
            <w:shd w:val="clear" w:color="auto" w:fill="auto"/>
            <w:noWrap/>
            <w:vAlign w:val="center"/>
            <w:hideMark/>
          </w:tcPr>
          <w:p w14:paraId="15B19F63" w14:textId="77777777" w:rsidR="0097090C" w:rsidRPr="005D5898" w:rsidRDefault="0097090C" w:rsidP="0097090C">
            <w:pPr>
              <w:rPr>
                <w:sz w:val="18"/>
                <w:szCs w:val="18"/>
              </w:rPr>
            </w:pPr>
            <w:r w:rsidRPr="005D5898">
              <w:rPr>
                <w:sz w:val="18"/>
                <w:szCs w:val="18"/>
              </w:rPr>
              <w:t>0</w:t>
            </w:r>
          </w:p>
        </w:tc>
        <w:tc>
          <w:tcPr>
            <w:tcW w:w="1036" w:type="dxa"/>
            <w:tcBorders>
              <w:top w:val="nil"/>
              <w:left w:val="nil"/>
              <w:bottom w:val="nil"/>
              <w:right w:val="nil"/>
            </w:tcBorders>
            <w:shd w:val="clear" w:color="000000" w:fill="D9D9D9"/>
            <w:noWrap/>
            <w:vAlign w:val="center"/>
            <w:hideMark/>
          </w:tcPr>
          <w:p w14:paraId="5A3C5A87" w14:textId="77777777" w:rsidR="0097090C" w:rsidRPr="005D5898" w:rsidRDefault="0097090C" w:rsidP="0097090C">
            <w:pPr>
              <w:rPr>
                <w:sz w:val="18"/>
                <w:szCs w:val="18"/>
              </w:rPr>
            </w:pPr>
            <w:r w:rsidRPr="005D5898">
              <w:rPr>
                <w:sz w:val="18"/>
                <w:szCs w:val="18"/>
              </w:rPr>
              <w:t>201,361</w:t>
            </w:r>
          </w:p>
        </w:tc>
        <w:tc>
          <w:tcPr>
            <w:tcW w:w="1036" w:type="dxa"/>
            <w:tcBorders>
              <w:top w:val="nil"/>
              <w:left w:val="nil"/>
              <w:bottom w:val="nil"/>
              <w:right w:val="nil"/>
            </w:tcBorders>
            <w:shd w:val="clear" w:color="auto" w:fill="auto"/>
            <w:noWrap/>
            <w:vAlign w:val="center"/>
            <w:hideMark/>
          </w:tcPr>
          <w:p w14:paraId="5869C468" w14:textId="77777777" w:rsidR="0097090C" w:rsidRPr="005D5898" w:rsidRDefault="0097090C" w:rsidP="0097090C">
            <w:pPr>
              <w:rPr>
                <w:sz w:val="18"/>
                <w:szCs w:val="18"/>
              </w:rPr>
            </w:pPr>
            <w:r w:rsidRPr="005D5898">
              <w:rPr>
                <w:sz w:val="18"/>
                <w:szCs w:val="18"/>
              </w:rPr>
              <w:t>0</w:t>
            </w:r>
          </w:p>
        </w:tc>
        <w:tc>
          <w:tcPr>
            <w:tcW w:w="914" w:type="dxa"/>
            <w:tcBorders>
              <w:top w:val="nil"/>
              <w:left w:val="nil"/>
              <w:bottom w:val="nil"/>
              <w:right w:val="nil"/>
            </w:tcBorders>
            <w:shd w:val="clear" w:color="000000" w:fill="D9D9D9"/>
            <w:noWrap/>
            <w:vAlign w:val="center"/>
            <w:hideMark/>
          </w:tcPr>
          <w:p w14:paraId="6CA0C20A" w14:textId="77777777" w:rsidR="0097090C" w:rsidRPr="005D5898" w:rsidRDefault="0097090C" w:rsidP="0097090C">
            <w:pPr>
              <w:rPr>
                <w:sz w:val="18"/>
                <w:szCs w:val="18"/>
              </w:rPr>
            </w:pPr>
            <w:r w:rsidRPr="005D5898">
              <w:rPr>
                <w:sz w:val="18"/>
                <w:szCs w:val="18"/>
              </w:rPr>
              <w:t>0</w:t>
            </w:r>
          </w:p>
        </w:tc>
        <w:tc>
          <w:tcPr>
            <w:tcW w:w="914" w:type="dxa"/>
            <w:tcBorders>
              <w:top w:val="nil"/>
              <w:left w:val="nil"/>
              <w:bottom w:val="nil"/>
              <w:right w:val="nil"/>
            </w:tcBorders>
            <w:shd w:val="clear" w:color="auto" w:fill="auto"/>
            <w:noWrap/>
            <w:vAlign w:val="center"/>
            <w:hideMark/>
          </w:tcPr>
          <w:p w14:paraId="6E40E7ED" w14:textId="77777777" w:rsidR="0097090C" w:rsidRPr="005D5898" w:rsidRDefault="0097090C" w:rsidP="0097090C">
            <w:pPr>
              <w:rPr>
                <w:sz w:val="18"/>
                <w:szCs w:val="18"/>
              </w:rPr>
            </w:pPr>
            <w:r w:rsidRPr="005D5898">
              <w:rPr>
                <w:sz w:val="18"/>
                <w:szCs w:val="18"/>
              </w:rPr>
              <w:t>0</w:t>
            </w:r>
          </w:p>
        </w:tc>
        <w:tc>
          <w:tcPr>
            <w:tcW w:w="805" w:type="dxa"/>
            <w:tcBorders>
              <w:top w:val="nil"/>
              <w:left w:val="nil"/>
              <w:bottom w:val="nil"/>
              <w:right w:val="nil"/>
            </w:tcBorders>
            <w:shd w:val="clear" w:color="000000" w:fill="D9D9D9"/>
            <w:noWrap/>
            <w:vAlign w:val="center"/>
            <w:hideMark/>
          </w:tcPr>
          <w:p w14:paraId="4B0E5753" w14:textId="77777777" w:rsidR="0097090C" w:rsidRPr="005D5898" w:rsidRDefault="0097090C" w:rsidP="0097090C">
            <w:pPr>
              <w:rPr>
                <w:sz w:val="18"/>
                <w:szCs w:val="18"/>
              </w:rPr>
            </w:pPr>
            <w:r w:rsidRPr="005D5898">
              <w:rPr>
                <w:sz w:val="18"/>
                <w:szCs w:val="18"/>
              </w:rPr>
              <w:t> </w:t>
            </w:r>
          </w:p>
        </w:tc>
        <w:tc>
          <w:tcPr>
            <w:tcW w:w="806" w:type="dxa"/>
            <w:tcBorders>
              <w:top w:val="nil"/>
              <w:left w:val="nil"/>
              <w:bottom w:val="nil"/>
              <w:right w:val="nil"/>
            </w:tcBorders>
            <w:shd w:val="clear" w:color="auto" w:fill="auto"/>
            <w:noWrap/>
            <w:vAlign w:val="center"/>
            <w:hideMark/>
          </w:tcPr>
          <w:p w14:paraId="0038D81C" w14:textId="77777777" w:rsidR="0097090C" w:rsidRPr="005D5898" w:rsidRDefault="0097090C" w:rsidP="0097090C">
            <w:pPr>
              <w:rPr>
                <w:sz w:val="18"/>
                <w:szCs w:val="18"/>
              </w:rPr>
            </w:pPr>
            <w:r w:rsidRPr="005D5898">
              <w:rPr>
                <w:sz w:val="18"/>
                <w:szCs w:val="18"/>
              </w:rPr>
              <w:t>0</w:t>
            </w:r>
          </w:p>
        </w:tc>
        <w:tc>
          <w:tcPr>
            <w:tcW w:w="914" w:type="dxa"/>
            <w:tcBorders>
              <w:top w:val="nil"/>
              <w:left w:val="nil"/>
              <w:bottom w:val="nil"/>
              <w:right w:val="nil"/>
            </w:tcBorders>
            <w:shd w:val="clear" w:color="000000" w:fill="D9D9D9"/>
            <w:noWrap/>
            <w:vAlign w:val="center"/>
            <w:hideMark/>
          </w:tcPr>
          <w:p w14:paraId="1FC74C31" w14:textId="77777777" w:rsidR="0097090C" w:rsidRPr="005D5898" w:rsidRDefault="0097090C" w:rsidP="0097090C">
            <w:pPr>
              <w:rPr>
                <w:sz w:val="18"/>
                <w:szCs w:val="18"/>
              </w:rPr>
            </w:pPr>
            <w:r w:rsidRPr="005D5898">
              <w:rPr>
                <w:sz w:val="18"/>
                <w:szCs w:val="18"/>
              </w:rPr>
              <w:t>0</w:t>
            </w:r>
          </w:p>
        </w:tc>
        <w:tc>
          <w:tcPr>
            <w:tcW w:w="767" w:type="dxa"/>
            <w:tcBorders>
              <w:top w:val="nil"/>
              <w:left w:val="nil"/>
              <w:bottom w:val="nil"/>
              <w:right w:val="nil"/>
            </w:tcBorders>
            <w:shd w:val="clear" w:color="auto" w:fill="auto"/>
            <w:noWrap/>
            <w:vAlign w:val="center"/>
            <w:hideMark/>
          </w:tcPr>
          <w:p w14:paraId="3BC2B91D" w14:textId="77777777" w:rsidR="0097090C" w:rsidRPr="005D5898" w:rsidRDefault="0097090C" w:rsidP="0097090C">
            <w:pPr>
              <w:rPr>
                <w:sz w:val="18"/>
                <w:szCs w:val="18"/>
              </w:rPr>
            </w:pPr>
            <w:r w:rsidRPr="005D5898">
              <w:rPr>
                <w:sz w:val="18"/>
                <w:szCs w:val="18"/>
              </w:rPr>
              <w:t>0</w:t>
            </w:r>
          </w:p>
        </w:tc>
        <w:tc>
          <w:tcPr>
            <w:tcW w:w="1195" w:type="dxa"/>
            <w:tcBorders>
              <w:top w:val="nil"/>
              <w:left w:val="nil"/>
              <w:bottom w:val="nil"/>
              <w:right w:val="nil"/>
            </w:tcBorders>
            <w:shd w:val="clear" w:color="000000" w:fill="D9D9D9"/>
            <w:noWrap/>
            <w:vAlign w:val="center"/>
            <w:hideMark/>
          </w:tcPr>
          <w:p w14:paraId="38445013" w14:textId="77777777" w:rsidR="0097090C" w:rsidRPr="005D5898" w:rsidRDefault="0097090C" w:rsidP="0097090C">
            <w:pPr>
              <w:rPr>
                <w:sz w:val="18"/>
                <w:szCs w:val="18"/>
              </w:rPr>
            </w:pPr>
            <w:r w:rsidRPr="005D5898">
              <w:rPr>
                <w:sz w:val="18"/>
                <w:szCs w:val="18"/>
              </w:rPr>
              <w:t>644,064</w:t>
            </w:r>
          </w:p>
        </w:tc>
        <w:tc>
          <w:tcPr>
            <w:tcW w:w="1195" w:type="dxa"/>
            <w:tcBorders>
              <w:top w:val="nil"/>
              <w:left w:val="nil"/>
              <w:bottom w:val="nil"/>
              <w:right w:val="nil"/>
            </w:tcBorders>
            <w:shd w:val="clear" w:color="auto" w:fill="auto"/>
            <w:noWrap/>
            <w:vAlign w:val="center"/>
            <w:hideMark/>
          </w:tcPr>
          <w:p w14:paraId="2FC0A7C5" w14:textId="77777777" w:rsidR="0097090C" w:rsidRPr="005D5898" w:rsidRDefault="0097090C" w:rsidP="0097090C">
            <w:pPr>
              <w:rPr>
                <w:sz w:val="18"/>
                <w:szCs w:val="18"/>
              </w:rPr>
            </w:pPr>
            <w:r w:rsidRPr="005D5898">
              <w:rPr>
                <w:sz w:val="18"/>
                <w:szCs w:val="18"/>
              </w:rPr>
              <w:t>0</w:t>
            </w:r>
          </w:p>
        </w:tc>
      </w:tr>
      <w:tr w:rsidR="0097090C" w:rsidRPr="005D5898" w14:paraId="640B13D3" w14:textId="77777777" w:rsidTr="0097090C">
        <w:trPr>
          <w:trHeight w:val="265"/>
        </w:trPr>
        <w:tc>
          <w:tcPr>
            <w:tcW w:w="1735" w:type="dxa"/>
            <w:tcBorders>
              <w:top w:val="nil"/>
              <w:left w:val="nil"/>
              <w:bottom w:val="nil"/>
              <w:right w:val="nil"/>
            </w:tcBorders>
            <w:shd w:val="clear" w:color="auto" w:fill="auto"/>
            <w:vAlign w:val="center"/>
            <w:hideMark/>
          </w:tcPr>
          <w:p w14:paraId="12B0D16B" w14:textId="77777777" w:rsidR="0097090C" w:rsidRPr="005D5898" w:rsidRDefault="0097090C" w:rsidP="0097090C">
            <w:pPr>
              <w:rPr>
                <w:sz w:val="18"/>
                <w:szCs w:val="18"/>
              </w:rPr>
            </w:pPr>
            <w:r w:rsidRPr="005D5898">
              <w:rPr>
                <w:sz w:val="18"/>
                <w:szCs w:val="18"/>
              </w:rPr>
              <w:t>Transfers</w:t>
            </w:r>
          </w:p>
        </w:tc>
        <w:tc>
          <w:tcPr>
            <w:tcW w:w="729" w:type="dxa"/>
            <w:tcBorders>
              <w:top w:val="nil"/>
              <w:left w:val="nil"/>
              <w:bottom w:val="nil"/>
              <w:right w:val="nil"/>
            </w:tcBorders>
            <w:shd w:val="clear" w:color="000000" w:fill="D9D9D9"/>
            <w:noWrap/>
            <w:vAlign w:val="center"/>
            <w:hideMark/>
          </w:tcPr>
          <w:p w14:paraId="245EB051" w14:textId="77777777" w:rsidR="0097090C" w:rsidRPr="005D5898" w:rsidRDefault="0097090C" w:rsidP="0097090C">
            <w:pPr>
              <w:rPr>
                <w:sz w:val="18"/>
                <w:szCs w:val="18"/>
              </w:rPr>
            </w:pPr>
            <w:r w:rsidRPr="005D5898">
              <w:rPr>
                <w:sz w:val="18"/>
                <w:szCs w:val="18"/>
              </w:rPr>
              <w:t>0</w:t>
            </w:r>
          </w:p>
        </w:tc>
        <w:tc>
          <w:tcPr>
            <w:tcW w:w="1012" w:type="dxa"/>
            <w:tcBorders>
              <w:top w:val="nil"/>
              <w:left w:val="nil"/>
              <w:bottom w:val="nil"/>
              <w:right w:val="nil"/>
            </w:tcBorders>
            <w:shd w:val="clear" w:color="auto" w:fill="auto"/>
            <w:noWrap/>
            <w:vAlign w:val="center"/>
            <w:hideMark/>
          </w:tcPr>
          <w:p w14:paraId="5F9EE0FA" w14:textId="77777777" w:rsidR="0097090C" w:rsidRPr="005D5898" w:rsidRDefault="0097090C" w:rsidP="0097090C">
            <w:pPr>
              <w:rPr>
                <w:sz w:val="18"/>
                <w:szCs w:val="18"/>
              </w:rPr>
            </w:pPr>
            <w:r w:rsidRPr="005D5898">
              <w:rPr>
                <w:sz w:val="18"/>
                <w:szCs w:val="18"/>
              </w:rPr>
              <w:t>0</w:t>
            </w:r>
          </w:p>
        </w:tc>
        <w:tc>
          <w:tcPr>
            <w:tcW w:w="1012" w:type="dxa"/>
            <w:tcBorders>
              <w:top w:val="nil"/>
              <w:left w:val="nil"/>
              <w:bottom w:val="nil"/>
              <w:right w:val="nil"/>
            </w:tcBorders>
            <w:shd w:val="clear" w:color="000000" w:fill="D9D9D9"/>
            <w:noWrap/>
            <w:vAlign w:val="center"/>
            <w:hideMark/>
          </w:tcPr>
          <w:p w14:paraId="6D29B095" w14:textId="77777777" w:rsidR="0097090C" w:rsidRPr="005D5898" w:rsidRDefault="0097090C" w:rsidP="0097090C">
            <w:pPr>
              <w:rPr>
                <w:sz w:val="18"/>
                <w:szCs w:val="18"/>
              </w:rPr>
            </w:pPr>
            <w:r w:rsidRPr="005D5898">
              <w:rPr>
                <w:sz w:val="18"/>
                <w:szCs w:val="18"/>
              </w:rPr>
              <w:t>0</w:t>
            </w:r>
          </w:p>
        </w:tc>
        <w:tc>
          <w:tcPr>
            <w:tcW w:w="1012" w:type="dxa"/>
            <w:tcBorders>
              <w:top w:val="nil"/>
              <w:left w:val="nil"/>
              <w:bottom w:val="nil"/>
              <w:right w:val="nil"/>
            </w:tcBorders>
            <w:shd w:val="clear" w:color="auto" w:fill="auto"/>
            <w:noWrap/>
            <w:vAlign w:val="center"/>
            <w:hideMark/>
          </w:tcPr>
          <w:p w14:paraId="73683531" w14:textId="77777777" w:rsidR="0097090C" w:rsidRPr="005D5898" w:rsidRDefault="0097090C" w:rsidP="0097090C">
            <w:pPr>
              <w:rPr>
                <w:sz w:val="18"/>
                <w:szCs w:val="18"/>
              </w:rPr>
            </w:pPr>
            <w:r w:rsidRPr="005D5898">
              <w:rPr>
                <w:sz w:val="18"/>
                <w:szCs w:val="18"/>
              </w:rPr>
              <w:t>0</w:t>
            </w:r>
          </w:p>
        </w:tc>
        <w:tc>
          <w:tcPr>
            <w:tcW w:w="1036" w:type="dxa"/>
            <w:tcBorders>
              <w:top w:val="nil"/>
              <w:left w:val="nil"/>
              <w:bottom w:val="nil"/>
              <w:right w:val="nil"/>
            </w:tcBorders>
            <w:shd w:val="clear" w:color="000000" w:fill="D9D9D9"/>
            <w:noWrap/>
            <w:vAlign w:val="center"/>
            <w:hideMark/>
          </w:tcPr>
          <w:p w14:paraId="7FCD9CBF" w14:textId="77777777" w:rsidR="0097090C" w:rsidRPr="005D5898" w:rsidRDefault="0097090C" w:rsidP="0097090C">
            <w:pPr>
              <w:rPr>
                <w:sz w:val="18"/>
                <w:szCs w:val="18"/>
              </w:rPr>
            </w:pPr>
            <w:r w:rsidRPr="005D5898">
              <w:rPr>
                <w:sz w:val="18"/>
                <w:szCs w:val="18"/>
              </w:rPr>
              <w:t>49</w:t>
            </w:r>
          </w:p>
        </w:tc>
        <w:tc>
          <w:tcPr>
            <w:tcW w:w="1036" w:type="dxa"/>
            <w:tcBorders>
              <w:top w:val="nil"/>
              <w:left w:val="nil"/>
              <w:bottom w:val="nil"/>
              <w:right w:val="nil"/>
            </w:tcBorders>
            <w:shd w:val="clear" w:color="auto" w:fill="auto"/>
            <w:noWrap/>
            <w:vAlign w:val="center"/>
            <w:hideMark/>
          </w:tcPr>
          <w:p w14:paraId="0E0346A6" w14:textId="77777777" w:rsidR="0097090C" w:rsidRPr="005D5898" w:rsidRDefault="0097090C" w:rsidP="0097090C">
            <w:pPr>
              <w:rPr>
                <w:sz w:val="18"/>
                <w:szCs w:val="18"/>
              </w:rPr>
            </w:pPr>
            <w:r w:rsidRPr="005D5898">
              <w:rPr>
                <w:sz w:val="18"/>
                <w:szCs w:val="18"/>
              </w:rPr>
              <w:t>0</w:t>
            </w:r>
          </w:p>
        </w:tc>
        <w:tc>
          <w:tcPr>
            <w:tcW w:w="914" w:type="dxa"/>
            <w:tcBorders>
              <w:top w:val="nil"/>
              <w:left w:val="nil"/>
              <w:bottom w:val="nil"/>
              <w:right w:val="nil"/>
            </w:tcBorders>
            <w:shd w:val="clear" w:color="000000" w:fill="D9D9D9"/>
            <w:noWrap/>
            <w:vAlign w:val="center"/>
            <w:hideMark/>
          </w:tcPr>
          <w:p w14:paraId="2EB9FA24" w14:textId="77777777" w:rsidR="0097090C" w:rsidRPr="005D5898" w:rsidRDefault="0097090C" w:rsidP="0097090C">
            <w:pPr>
              <w:rPr>
                <w:sz w:val="18"/>
                <w:szCs w:val="18"/>
              </w:rPr>
            </w:pPr>
            <w:r w:rsidRPr="005D5898">
              <w:rPr>
                <w:sz w:val="18"/>
                <w:szCs w:val="18"/>
              </w:rPr>
              <w:t>2,926</w:t>
            </w:r>
          </w:p>
        </w:tc>
        <w:tc>
          <w:tcPr>
            <w:tcW w:w="914" w:type="dxa"/>
            <w:tcBorders>
              <w:top w:val="nil"/>
              <w:left w:val="nil"/>
              <w:bottom w:val="nil"/>
              <w:right w:val="nil"/>
            </w:tcBorders>
            <w:shd w:val="clear" w:color="auto" w:fill="auto"/>
            <w:noWrap/>
            <w:vAlign w:val="center"/>
            <w:hideMark/>
          </w:tcPr>
          <w:p w14:paraId="2FBDF485" w14:textId="77777777" w:rsidR="0097090C" w:rsidRPr="005D5898" w:rsidRDefault="0097090C" w:rsidP="0097090C">
            <w:pPr>
              <w:rPr>
                <w:sz w:val="18"/>
                <w:szCs w:val="18"/>
              </w:rPr>
            </w:pPr>
            <w:r w:rsidRPr="005D5898">
              <w:rPr>
                <w:sz w:val="18"/>
                <w:szCs w:val="18"/>
              </w:rPr>
              <w:t>73</w:t>
            </w:r>
          </w:p>
        </w:tc>
        <w:tc>
          <w:tcPr>
            <w:tcW w:w="805" w:type="dxa"/>
            <w:tcBorders>
              <w:top w:val="nil"/>
              <w:left w:val="nil"/>
              <w:bottom w:val="nil"/>
              <w:right w:val="nil"/>
            </w:tcBorders>
            <w:shd w:val="clear" w:color="000000" w:fill="D9D9D9"/>
            <w:noWrap/>
            <w:vAlign w:val="center"/>
            <w:hideMark/>
          </w:tcPr>
          <w:p w14:paraId="255A6A0F" w14:textId="77777777" w:rsidR="0097090C" w:rsidRPr="005D5898" w:rsidRDefault="0097090C" w:rsidP="0097090C">
            <w:pPr>
              <w:rPr>
                <w:sz w:val="18"/>
                <w:szCs w:val="18"/>
              </w:rPr>
            </w:pPr>
            <w:r w:rsidRPr="005D5898">
              <w:rPr>
                <w:sz w:val="18"/>
                <w:szCs w:val="18"/>
              </w:rPr>
              <w:t> </w:t>
            </w:r>
          </w:p>
        </w:tc>
        <w:tc>
          <w:tcPr>
            <w:tcW w:w="806" w:type="dxa"/>
            <w:tcBorders>
              <w:top w:val="nil"/>
              <w:left w:val="nil"/>
              <w:bottom w:val="nil"/>
              <w:right w:val="nil"/>
            </w:tcBorders>
            <w:shd w:val="clear" w:color="auto" w:fill="auto"/>
            <w:noWrap/>
            <w:vAlign w:val="center"/>
            <w:hideMark/>
          </w:tcPr>
          <w:p w14:paraId="18A38FD4" w14:textId="77777777" w:rsidR="0097090C" w:rsidRPr="005D5898" w:rsidRDefault="0097090C" w:rsidP="0097090C">
            <w:pPr>
              <w:rPr>
                <w:sz w:val="18"/>
                <w:szCs w:val="18"/>
              </w:rPr>
            </w:pPr>
            <w:r w:rsidRPr="005D5898">
              <w:rPr>
                <w:sz w:val="18"/>
                <w:szCs w:val="18"/>
              </w:rPr>
              <w:t>93</w:t>
            </w:r>
          </w:p>
        </w:tc>
        <w:tc>
          <w:tcPr>
            <w:tcW w:w="914" w:type="dxa"/>
            <w:tcBorders>
              <w:top w:val="nil"/>
              <w:left w:val="nil"/>
              <w:bottom w:val="nil"/>
              <w:right w:val="nil"/>
            </w:tcBorders>
            <w:shd w:val="clear" w:color="000000" w:fill="D9D9D9"/>
            <w:noWrap/>
            <w:vAlign w:val="center"/>
            <w:hideMark/>
          </w:tcPr>
          <w:p w14:paraId="55D16B57" w14:textId="77777777" w:rsidR="0097090C" w:rsidRPr="005D5898" w:rsidRDefault="0097090C" w:rsidP="0097090C">
            <w:pPr>
              <w:rPr>
                <w:sz w:val="18"/>
                <w:szCs w:val="18"/>
              </w:rPr>
            </w:pPr>
            <w:r w:rsidRPr="005D5898">
              <w:rPr>
                <w:sz w:val="18"/>
                <w:szCs w:val="18"/>
              </w:rPr>
              <w:t>(2,975)</w:t>
            </w:r>
          </w:p>
        </w:tc>
        <w:tc>
          <w:tcPr>
            <w:tcW w:w="767" w:type="dxa"/>
            <w:tcBorders>
              <w:top w:val="nil"/>
              <w:left w:val="nil"/>
              <w:bottom w:val="nil"/>
              <w:right w:val="nil"/>
            </w:tcBorders>
            <w:shd w:val="clear" w:color="auto" w:fill="auto"/>
            <w:noWrap/>
            <w:vAlign w:val="center"/>
            <w:hideMark/>
          </w:tcPr>
          <w:p w14:paraId="5E0FD2B4" w14:textId="77777777" w:rsidR="0097090C" w:rsidRPr="005D5898" w:rsidRDefault="0097090C" w:rsidP="0097090C">
            <w:pPr>
              <w:rPr>
                <w:sz w:val="18"/>
                <w:szCs w:val="18"/>
              </w:rPr>
            </w:pPr>
            <w:r w:rsidRPr="005D5898">
              <w:rPr>
                <w:sz w:val="18"/>
                <w:szCs w:val="18"/>
              </w:rPr>
              <w:t>(166)</w:t>
            </w:r>
          </w:p>
        </w:tc>
        <w:tc>
          <w:tcPr>
            <w:tcW w:w="1195" w:type="dxa"/>
            <w:tcBorders>
              <w:top w:val="nil"/>
              <w:left w:val="nil"/>
              <w:bottom w:val="nil"/>
              <w:right w:val="nil"/>
            </w:tcBorders>
            <w:shd w:val="clear" w:color="000000" w:fill="D9D9D9"/>
            <w:noWrap/>
            <w:vAlign w:val="center"/>
            <w:hideMark/>
          </w:tcPr>
          <w:p w14:paraId="20132506" w14:textId="77777777" w:rsidR="0097090C" w:rsidRPr="005D5898" w:rsidRDefault="0097090C" w:rsidP="0097090C">
            <w:pPr>
              <w:rPr>
                <w:sz w:val="18"/>
                <w:szCs w:val="18"/>
              </w:rPr>
            </w:pPr>
            <w:r w:rsidRPr="005D5898">
              <w:rPr>
                <w:sz w:val="18"/>
                <w:szCs w:val="18"/>
              </w:rPr>
              <w:t>0</w:t>
            </w:r>
          </w:p>
        </w:tc>
        <w:tc>
          <w:tcPr>
            <w:tcW w:w="1195" w:type="dxa"/>
            <w:tcBorders>
              <w:top w:val="nil"/>
              <w:left w:val="nil"/>
              <w:bottom w:val="nil"/>
              <w:right w:val="nil"/>
            </w:tcBorders>
            <w:shd w:val="clear" w:color="auto" w:fill="auto"/>
            <w:noWrap/>
            <w:vAlign w:val="center"/>
            <w:hideMark/>
          </w:tcPr>
          <w:p w14:paraId="198024A9" w14:textId="77777777" w:rsidR="0097090C" w:rsidRPr="005D5898" w:rsidRDefault="0097090C" w:rsidP="0097090C">
            <w:pPr>
              <w:rPr>
                <w:sz w:val="18"/>
                <w:szCs w:val="18"/>
              </w:rPr>
            </w:pPr>
            <w:r w:rsidRPr="005D5898">
              <w:rPr>
                <w:sz w:val="18"/>
                <w:szCs w:val="18"/>
              </w:rPr>
              <w:t>0</w:t>
            </w:r>
          </w:p>
        </w:tc>
      </w:tr>
      <w:tr w:rsidR="0097090C" w:rsidRPr="005D5898" w14:paraId="53144125" w14:textId="77777777" w:rsidTr="0097090C">
        <w:trPr>
          <w:trHeight w:val="265"/>
        </w:trPr>
        <w:tc>
          <w:tcPr>
            <w:tcW w:w="1735" w:type="dxa"/>
            <w:tcBorders>
              <w:top w:val="nil"/>
              <w:left w:val="nil"/>
              <w:bottom w:val="nil"/>
              <w:right w:val="nil"/>
            </w:tcBorders>
            <w:shd w:val="clear" w:color="auto" w:fill="auto"/>
            <w:vAlign w:val="center"/>
            <w:hideMark/>
          </w:tcPr>
          <w:p w14:paraId="18047AD8" w14:textId="77777777" w:rsidR="0097090C" w:rsidRPr="005D5898" w:rsidRDefault="0097090C" w:rsidP="0097090C">
            <w:pPr>
              <w:rPr>
                <w:sz w:val="18"/>
                <w:szCs w:val="18"/>
              </w:rPr>
            </w:pPr>
            <w:r w:rsidRPr="005D5898">
              <w:rPr>
                <w:sz w:val="18"/>
                <w:szCs w:val="18"/>
              </w:rPr>
              <w:t>Depreciation</w:t>
            </w:r>
          </w:p>
        </w:tc>
        <w:tc>
          <w:tcPr>
            <w:tcW w:w="729" w:type="dxa"/>
            <w:tcBorders>
              <w:top w:val="nil"/>
              <w:left w:val="nil"/>
              <w:bottom w:val="nil"/>
              <w:right w:val="nil"/>
            </w:tcBorders>
            <w:shd w:val="clear" w:color="000000" w:fill="D9D9D9"/>
            <w:noWrap/>
            <w:vAlign w:val="center"/>
            <w:hideMark/>
          </w:tcPr>
          <w:p w14:paraId="7EE9673D" w14:textId="77777777" w:rsidR="0097090C" w:rsidRPr="005D5898" w:rsidRDefault="0097090C" w:rsidP="0097090C">
            <w:pPr>
              <w:rPr>
                <w:sz w:val="18"/>
                <w:szCs w:val="18"/>
              </w:rPr>
            </w:pPr>
            <w:r w:rsidRPr="005D5898">
              <w:rPr>
                <w:sz w:val="18"/>
                <w:szCs w:val="18"/>
              </w:rPr>
              <w:t>(103)</w:t>
            </w:r>
          </w:p>
        </w:tc>
        <w:tc>
          <w:tcPr>
            <w:tcW w:w="1012" w:type="dxa"/>
            <w:tcBorders>
              <w:top w:val="nil"/>
              <w:left w:val="nil"/>
              <w:bottom w:val="nil"/>
              <w:right w:val="nil"/>
            </w:tcBorders>
            <w:shd w:val="clear" w:color="auto" w:fill="auto"/>
            <w:noWrap/>
            <w:vAlign w:val="center"/>
            <w:hideMark/>
          </w:tcPr>
          <w:p w14:paraId="5B2A86E5" w14:textId="77777777" w:rsidR="0097090C" w:rsidRPr="005D5898" w:rsidRDefault="0097090C" w:rsidP="0097090C">
            <w:pPr>
              <w:rPr>
                <w:sz w:val="18"/>
                <w:szCs w:val="18"/>
              </w:rPr>
            </w:pPr>
            <w:r w:rsidRPr="005D5898">
              <w:rPr>
                <w:sz w:val="18"/>
                <w:szCs w:val="18"/>
              </w:rPr>
              <w:t>(121)</w:t>
            </w:r>
          </w:p>
        </w:tc>
        <w:tc>
          <w:tcPr>
            <w:tcW w:w="1012" w:type="dxa"/>
            <w:tcBorders>
              <w:top w:val="nil"/>
              <w:left w:val="nil"/>
              <w:bottom w:val="nil"/>
              <w:right w:val="nil"/>
            </w:tcBorders>
            <w:shd w:val="clear" w:color="000000" w:fill="D9D9D9"/>
            <w:noWrap/>
            <w:vAlign w:val="center"/>
            <w:hideMark/>
          </w:tcPr>
          <w:p w14:paraId="0985E339" w14:textId="77777777" w:rsidR="0097090C" w:rsidRPr="005D5898" w:rsidRDefault="0097090C" w:rsidP="0097090C">
            <w:pPr>
              <w:rPr>
                <w:sz w:val="18"/>
                <w:szCs w:val="18"/>
              </w:rPr>
            </w:pPr>
            <w:r w:rsidRPr="005D5898">
              <w:rPr>
                <w:sz w:val="18"/>
                <w:szCs w:val="18"/>
              </w:rPr>
              <w:t>0</w:t>
            </w:r>
          </w:p>
        </w:tc>
        <w:tc>
          <w:tcPr>
            <w:tcW w:w="1012" w:type="dxa"/>
            <w:tcBorders>
              <w:top w:val="nil"/>
              <w:left w:val="nil"/>
              <w:bottom w:val="nil"/>
              <w:right w:val="nil"/>
            </w:tcBorders>
            <w:shd w:val="clear" w:color="auto" w:fill="auto"/>
            <w:noWrap/>
            <w:vAlign w:val="center"/>
            <w:hideMark/>
          </w:tcPr>
          <w:p w14:paraId="706AC7FD" w14:textId="77777777" w:rsidR="0097090C" w:rsidRPr="005D5898" w:rsidRDefault="0097090C" w:rsidP="0097090C">
            <w:pPr>
              <w:rPr>
                <w:sz w:val="18"/>
                <w:szCs w:val="18"/>
              </w:rPr>
            </w:pPr>
            <w:r w:rsidRPr="005D5898">
              <w:rPr>
                <w:sz w:val="18"/>
                <w:szCs w:val="18"/>
              </w:rPr>
              <w:t>0</w:t>
            </w:r>
          </w:p>
        </w:tc>
        <w:tc>
          <w:tcPr>
            <w:tcW w:w="1036" w:type="dxa"/>
            <w:tcBorders>
              <w:top w:val="nil"/>
              <w:left w:val="nil"/>
              <w:bottom w:val="nil"/>
              <w:right w:val="nil"/>
            </w:tcBorders>
            <w:shd w:val="clear" w:color="000000" w:fill="D9D9D9"/>
            <w:noWrap/>
            <w:vAlign w:val="center"/>
            <w:hideMark/>
          </w:tcPr>
          <w:p w14:paraId="4B871D49" w14:textId="77777777" w:rsidR="0097090C" w:rsidRPr="005D5898" w:rsidRDefault="0097090C" w:rsidP="0097090C">
            <w:pPr>
              <w:rPr>
                <w:sz w:val="18"/>
                <w:szCs w:val="18"/>
              </w:rPr>
            </w:pPr>
            <w:r w:rsidRPr="005D5898">
              <w:rPr>
                <w:sz w:val="18"/>
                <w:szCs w:val="18"/>
              </w:rPr>
              <w:t>(15,708)</w:t>
            </w:r>
          </w:p>
        </w:tc>
        <w:tc>
          <w:tcPr>
            <w:tcW w:w="1036" w:type="dxa"/>
            <w:tcBorders>
              <w:top w:val="nil"/>
              <w:left w:val="nil"/>
              <w:bottom w:val="nil"/>
              <w:right w:val="nil"/>
            </w:tcBorders>
            <w:shd w:val="clear" w:color="auto" w:fill="auto"/>
            <w:noWrap/>
            <w:vAlign w:val="center"/>
            <w:hideMark/>
          </w:tcPr>
          <w:p w14:paraId="197B5469" w14:textId="77777777" w:rsidR="0097090C" w:rsidRPr="005D5898" w:rsidRDefault="0097090C" w:rsidP="0097090C">
            <w:pPr>
              <w:rPr>
                <w:sz w:val="18"/>
                <w:szCs w:val="18"/>
              </w:rPr>
            </w:pPr>
            <w:r w:rsidRPr="005D5898">
              <w:rPr>
                <w:sz w:val="18"/>
                <w:szCs w:val="18"/>
              </w:rPr>
              <w:t>(15,666)</w:t>
            </w:r>
          </w:p>
        </w:tc>
        <w:tc>
          <w:tcPr>
            <w:tcW w:w="914" w:type="dxa"/>
            <w:tcBorders>
              <w:top w:val="nil"/>
              <w:left w:val="nil"/>
              <w:bottom w:val="nil"/>
              <w:right w:val="nil"/>
            </w:tcBorders>
            <w:shd w:val="clear" w:color="000000" w:fill="D9D9D9"/>
            <w:noWrap/>
            <w:vAlign w:val="center"/>
            <w:hideMark/>
          </w:tcPr>
          <w:p w14:paraId="2B620049" w14:textId="77777777" w:rsidR="0097090C" w:rsidRPr="005D5898" w:rsidRDefault="0097090C" w:rsidP="0097090C">
            <w:pPr>
              <w:rPr>
                <w:sz w:val="18"/>
                <w:szCs w:val="18"/>
              </w:rPr>
            </w:pPr>
            <w:r w:rsidRPr="005D5898">
              <w:rPr>
                <w:sz w:val="18"/>
                <w:szCs w:val="18"/>
              </w:rPr>
              <w:t>(1,402)</w:t>
            </w:r>
          </w:p>
        </w:tc>
        <w:tc>
          <w:tcPr>
            <w:tcW w:w="914" w:type="dxa"/>
            <w:tcBorders>
              <w:top w:val="nil"/>
              <w:left w:val="nil"/>
              <w:bottom w:val="nil"/>
              <w:right w:val="nil"/>
            </w:tcBorders>
            <w:shd w:val="clear" w:color="auto" w:fill="auto"/>
            <w:noWrap/>
            <w:vAlign w:val="center"/>
            <w:hideMark/>
          </w:tcPr>
          <w:p w14:paraId="69B1B693" w14:textId="77777777" w:rsidR="0097090C" w:rsidRPr="005D5898" w:rsidRDefault="0097090C" w:rsidP="0097090C">
            <w:pPr>
              <w:rPr>
                <w:sz w:val="18"/>
                <w:szCs w:val="18"/>
              </w:rPr>
            </w:pPr>
            <w:r w:rsidRPr="005D5898">
              <w:rPr>
                <w:sz w:val="18"/>
                <w:szCs w:val="18"/>
              </w:rPr>
              <w:t>(1,283)</w:t>
            </w:r>
          </w:p>
        </w:tc>
        <w:tc>
          <w:tcPr>
            <w:tcW w:w="805" w:type="dxa"/>
            <w:tcBorders>
              <w:top w:val="nil"/>
              <w:left w:val="nil"/>
              <w:bottom w:val="nil"/>
              <w:right w:val="nil"/>
            </w:tcBorders>
            <w:shd w:val="clear" w:color="000000" w:fill="D9D9D9"/>
            <w:noWrap/>
            <w:vAlign w:val="center"/>
            <w:hideMark/>
          </w:tcPr>
          <w:p w14:paraId="61B61F3C" w14:textId="77777777" w:rsidR="0097090C" w:rsidRPr="005D5898" w:rsidRDefault="0097090C" w:rsidP="0097090C">
            <w:pPr>
              <w:rPr>
                <w:sz w:val="18"/>
                <w:szCs w:val="18"/>
              </w:rPr>
            </w:pPr>
            <w:r w:rsidRPr="005D5898">
              <w:rPr>
                <w:sz w:val="18"/>
                <w:szCs w:val="18"/>
              </w:rPr>
              <w:t>(601)</w:t>
            </w:r>
          </w:p>
        </w:tc>
        <w:tc>
          <w:tcPr>
            <w:tcW w:w="806" w:type="dxa"/>
            <w:tcBorders>
              <w:top w:val="nil"/>
              <w:left w:val="nil"/>
              <w:bottom w:val="nil"/>
              <w:right w:val="nil"/>
            </w:tcBorders>
            <w:shd w:val="clear" w:color="auto" w:fill="auto"/>
            <w:noWrap/>
            <w:vAlign w:val="center"/>
            <w:hideMark/>
          </w:tcPr>
          <w:p w14:paraId="22D927FA" w14:textId="77777777" w:rsidR="0097090C" w:rsidRPr="005D5898" w:rsidRDefault="0097090C" w:rsidP="0097090C">
            <w:pPr>
              <w:rPr>
                <w:sz w:val="18"/>
                <w:szCs w:val="18"/>
              </w:rPr>
            </w:pPr>
            <w:r w:rsidRPr="005D5898">
              <w:rPr>
                <w:sz w:val="18"/>
                <w:szCs w:val="18"/>
              </w:rPr>
              <w:t>(819)</w:t>
            </w:r>
          </w:p>
        </w:tc>
        <w:tc>
          <w:tcPr>
            <w:tcW w:w="914" w:type="dxa"/>
            <w:tcBorders>
              <w:top w:val="nil"/>
              <w:left w:val="nil"/>
              <w:bottom w:val="nil"/>
              <w:right w:val="nil"/>
            </w:tcBorders>
            <w:shd w:val="clear" w:color="000000" w:fill="D9D9D9"/>
            <w:noWrap/>
            <w:vAlign w:val="center"/>
            <w:hideMark/>
          </w:tcPr>
          <w:p w14:paraId="7FDF59DD" w14:textId="77777777" w:rsidR="0097090C" w:rsidRPr="005D5898" w:rsidRDefault="0097090C" w:rsidP="0097090C">
            <w:pPr>
              <w:rPr>
                <w:sz w:val="18"/>
                <w:szCs w:val="18"/>
              </w:rPr>
            </w:pPr>
            <w:r w:rsidRPr="005D5898">
              <w:rPr>
                <w:sz w:val="18"/>
                <w:szCs w:val="18"/>
              </w:rPr>
              <w:t> </w:t>
            </w:r>
          </w:p>
        </w:tc>
        <w:tc>
          <w:tcPr>
            <w:tcW w:w="767" w:type="dxa"/>
            <w:tcBorders>
              <w:top w:val="nil"/>
              <w:left w:val="nil"/>
              <w:bottom w:val="nil"/>
              <w:right w:val="nil"/>
            </w:tcBorders>
            <w:shd w:val="clear" w:color="auto" w:fill="auto"/>
            <w:noWrap/>
            <w:vAlign w:val="center"/>
            <w:hideMark/>
          </w:tcPr>
          <w:p w14:paraId="36876E65" w14:textId="77777777" w:rsidR="0097090C" w:rsidRPr="005D5898" w:rsidRDefault="0097090C" w:rsidP="0097090C">
            <w:pPr>
              <w:rPr>
                <w:sz w:val="18"/>
                <w:szCs w:val="18"/>
              </w:rPr>
            </w:pPr>
          </w:p>
        </w:tc>
        <w:tc>
          <w:tcPr>
            <w:tcW w:w="1195" w:type="dxa"/>
            <w:tcBorders>
              <w:top w:val="nil"/>
              <w:left w:val="nil"/>
              <w:bottom w:val="nil"/>
              <w:right w:val="nil"/>
            </w:tcBorders>
            <w:shd w:val="clear" w:color="000000" w:fill="D9D9D9"/>
            <w:noWrap/>
            <w:vAlign w:val="center"/>
            <w:hideMark/>
          </w:tcPr>
          <w:p w14:paraId="04A2DCF4" w14:textId="77777777" w:rsidR="0097090C" w:rsidRPr="005D5898" w:rsidRDefault="0097090C" w:rsidP="0097090C">
            <w:pPr>
              <w:rPr>
                <w:sz w:val="18"/>
                <w:szCs w:val="18"/>
              </w:rPr>
            </w:pPr>
            <w:r w:rsidRPr="005D5898">
              <w:rPr>
                <w:sz w:val="18"/>
                <w:szCs w:val="18"/>
              </w:rPr>
              <w:t>(17,814)</w:t>
            </w:r>
          </w:p>
        </w:tc>
        <w:tc>
          <w:tcPr>
            <w:tcW w:w="1195" w:type="dxa"/>
            <w:tcBorders>
              <w:top w:val="nil"/>
              <w:left w:val="nil"/>
              <w:bottom w:val="nil"/>
              <w:right w:val="nil"/>
            </w:tcBorders>
            <w:shd w:val="clear" w:color="auto" w:fill="auto"/>
            <w:noWrap/>
            <w:vAlign w:val="center"/>
            <w:hideMark/>
          </w:tcPr>
          <w:p w14:paraId="77034252" w14:textId="77777777" w:rsidR="0097090C" w:rsidRPr="005D5898" w:rsidRDefault="0097090C" w:rsidP="0097090C">
            <w:pPr>
              <w:rPr>
                <w:sz w:val="18"/>
                <w:szCs w:val="18"/>
              </w:rPr>
            </w:pPr>
            <w:r w:rsidRPr="005D5898">
              <w:rPr>
                <w:sz w:val="18"/>
                <w:szCs w:val="18"/>
              </w:rPr>
              <w:t>(17,889)</w:t>
            </w:r>
          </w:p>
        </w:tc>
      </w:tr>
      <w:tr w:rsidR="0097090C" w:rsidRPr="005D5898" w14:paraId="47F6598D" w14:textId="77777777" w:rsidTr="0097090C">
        <w:trPr>
          <w:trHeight w:val="312"/>
        </w:trPr>
        <w:tc>
          <w:tcPr>
            <w:tcW w:w="1735" w:type="dxa"/>
            <w:tcBorders>
              <w:top w:val="single" w:sz="4" w:space="0" w:color="auto"/>
              <w:left w:val="nil"/>
              <w:bottom w:val="single" w:sz="4" w:space="0" w:color="auto"/>
              <w:right w:val="nil"/>
            </w:tcBorders>
            <w:shd w:val="clear" w:color="auto" w:fill="auto"/>
            <w:vAlign w:val="center"/>
            <w:hideMark/>
          </w:tcPr>
          <w:p w14:paraId="4B13FDEF" w14:textId="77777777" w:rsidR="0097090C" w:rsidRPr="005D5898" w:rsidRDefault="0097090C" w:rsidP="0097090C">
            <w:pPr>
              <w:rPr>
                <w:b/>
                <w:bCs/>
                <w:sz w:val="18"/>
                <w:szCs w:val="18"/>
              </w:rPr>
            </w:pPr>
            <w:r w:rsidRPr="005D5898">
              <w:rPr>
                <w:b/>
                <w:bCs/>
                <w:sz w:val="18"/>
                <w:szCs w:val="18"/>
              </w:rPr>
              <w:t>Closing balance</w:t>
            </w:r>
          </w:p>
        </w:tc>
        <w:tc>
          <w:tcPr>
            <w:tcW w:w="729" w:type="dxa"/>
            <w:tcBorders>
              <w:top w:val="single" w:sz="4" w:space="0" w:color="auto"/>
              <w:left w:val="nil"/>
              <w:bottom w:val="single" w:sz="4" w:space="0" w:color="auto"/>
              <w:right w:val="nil"/>
            </w:tcBorders>
            <w:shd w:val="clear" w:color="000000" w:fill="D9D9D9"/>
            <w:noWrap/>
            <w:vAlign w:val="center"/>
            <w:hideMark/>
          </w:tcPr>
          <w:p w14:paraId="59019D54" w14:textId="77777777" w:rsidR="0097090C" w:rsidRPr="005D5898" w:rsidRDefault="0097090C" w:rsidP="0097090C">
            <w:pPr>
              <w:rPr>
                <w:b/>
                <w:bCs/>
                <w:sz w:val="18"/>
                <w:szCs w:val="18"/>
              </w:rPr>
            </w:pPr>
            <w:r w:rsidRPr="005D5898">
              <w:rPr>
                <w:b/>
                <w:bCs/>
                <w:sz w:val="18"/>
                <w:szCs w:val="18"/>
              </w:rPr>
              <w:t>714,340</w:t>
            </w:r>
          </w:p>
        </w:tc>
        <w:tc>
          <w:tcPr>
            <w:tcW w:w="1012" w:type="dxa"/>
            <w:tcBorders>
              <w:top w:val="single" w:sz="4" w:space="0" w:color="auto"/>
              <w:left w:val="nil"/>
              <w:bottom w:val="single" w:sz="4" w:space="0" w:color="auto"/>
              <w:right w:val="nil"/>
            </w:tcBorders>
            <w:shd w:val="clear" w:color="auto" w:fill="auto"/>
            <w:noWrap/>
            <w:vAlign w:val="center"/>
            <w:hideMark/>
          </w:tcPr>
          <w:p w14:paraId="2DFD81BF" w14:textId="77777777" w:rsidR="0097090C" w:rsidRPr="005D5898" w:rsidRDefault="0097090C" w:rsidP="0097090C">
            <w:pPr>
              <w:rPr>
                <w:b/>
                <w:bCs/>
                <w:sz w:val="18"/>
                <w:szCs w:val="18"/>
              </w:rPr>
            </w:pPr>
            <w:r w:rsidRPr="005D5898">
              <w:rPr>
                <w:b/>
                <w:bCs/>
                <w:sz w:val="18"/>
                <w:szCs w:val="18"/>
              </w:rPr>
              <w:t>502,970</w:t>
            </w:r>
          </w:p>
        </w:tc>
        <w:tc>
          <w:tcPr>
            <w:tcW w:w="1012" w:type="dxa"/>
            <w:tcBorders>
              <w:top w:val="single" w:sz="4" w:space="0" w:color="auto"/>
              <w:left w:val="nil"/>
              <w:bottom w:val="single" w:sz="4" w:space="0" w:color="auto"/>
              <w:right w:val="nil"/>
            </w:tcBorders>
            <w:shd w:val="clear" w:color="000000" w:fill="D9D9D9"/>
            <w:noWrap/>
            <w:vAlign w:val="center"/>
            <w:hideMark/>
          </w:tcPr>
          <w:p w14:paraId="71675B3E" w14:textId="77777777" w:rsidR="0097090C" w:rsidRPr="005D5898" w:rsidRDefault="0097090C" w:rsidP="0097090C">
            <w:pPr>
              <w:rPr>
                <w:b/>
                <w:bCs/>
                <w:sz w:val="18"/>
                <w:szCs w:val="18"/>
              </w:rPr>
            </w:pPr>
            <w:r w:rsidRPr="005D5898">
              <w:rPr>
                <w:b/>
                <w:bCs/>
                <w:sz w:val="18"/>
                <w:szCs w:val="18"/>
              </w:rPr>
              <w:t>386,359</w:t>
            </w:r>
          </w:p>
        </w:tc>
        <w:tc>
          <w:tcPr>
            <w:tcW w:w="1012" w:type="dxa"/>
            <w:tcBorders>
              <w:top w:val="single" w:sz="4" w:space="0" w:color="auto"/>
              <w:left w:val="nil"/>
              <w:bottom w:val="single" w:sz="4" w:space="0" w:color="auto"/>
              <w:right w:val="nil"/>
            </w:tcBorders>
            <w:shd w:val="clear" w:color="auto" w:fill="auto"/>
            <w:noWrap/>
            <w:vAlign w:val="center"/>
            <w:hideMark/>
          </w:tcPr>
          <w:p w14:paraId="25245814" w14:textId="77777777" w:rsidR="0097090C" w:rsidRPr="005D5898" w:rsidRDefault="0097090C" w:rsidP="0097090C">
            <w:pPr>
              <w:rPr>
                <w:b/>
                <w:bCs/>
                <w:sz w:val="18"/>
                <w:szCs w:val="18"/>
              </w:rPr>
            </w:pPr>
            <w:r w:rsidRPr="005D5898">
              <w:rPr>
                <w:b/>
                <w:bCs/>
                <w:sz w:val="18"/>
                <w:szCs w:val="18"/>
              </w:rPr>
              <w:t>153,982</w:t>
            </w:r>
          </w:p>
        </w:tc>
        <w:tc>
          <w:tcPr>
            <w:tcW w:w="1036" w:type="dxa"/>
            <w:tcBorders>
              <w:top w:val="single" w:sz="4" w:space="0" w:color="auto"/>
              <w:left w:val="nil"/>
              <w:bottom w:val="single" w:sz="4" w:space="0" w:color="auto"/>
              <w:right w:val="nil"/>
            </w:tcBorders>
            <w:shd w:val="clear" w:color="000000" w:fill="D9D9D9"/>
            <w:noWrap/>
            <w:vAlign w:val="center"/>
            <w:hideMark/>
          </w:tcPr>
          <w:p w14:paraId="7E53C929" w14:textId="77777777" w:rsidR="0097090C" w:rsidRPr="005D5898" w:rsidRDefault="0097090C" w:rsidP="0097090C">
            <w:pPr>
              <w:rPr>
                <w:b/>
                <w:bCs/>
                <w:sz w:val="18"/>
                <w:szCs w:val="18"/>
              </w:rPr>
            </w:pPr>
            <w:r w:rsidRPr="005D5898">
              <w:rPr>
                <w:b/>
                <w:bCs/>
                <w:sz w:val="18"/>
                <w:szCs w:val="18"/>
              </w:rPr>
              <w:t>512,461</w:t>
            </w:r>
          </w:p>
        </w:tc>
        <w:tc>
          <w:tcPr>
            <w:tcW w:w="1036" w:type="dxa"/>
            <w:tcBorders>
              <w:top w:val="single" w:sz="4" w:space="0" w:color="auto"/>
              <w:left w:val="nil"/>
              <w:bottom w:val="single" w:sz="4" w:space="0" w:color="auto"/>
              <w:right w:val="nil"/>
            </w:tcBorders>
            <w:shd w:val="clear" w:color="auto" w:fill="auto"/>
            <w:noWrap/>
            <w:vAlign w:val="center"/>
            <w:hideMark/>
          </w:tcPr>
          <w:p w14:paraId="6F591830" w14:textId="77777777" w:rsidR="0097090C" w:rsidRPr="005D5898" w:rsidRDefault="0097090C" w:rsidP="0097090C">
            <w:pPr>
              <w:rPr>
                <w:b/>
                <w:bCs/>
                <w:sz w:val="18"/>
                <w:szCs w:val="18"/>
              </w:rPr>
            </w:pPr>
            <w:r w:rsidRPr="005D5898">
              <w:rPr>
                <w:b/>
                <w:bCs/>
                <w:sz w:val="18"/>
                <w:szCs w:val="18"/>
              </w:rPr>
              <w:t>323,481</w:t>
            </w:r>
          </w:p>
        </w:tc>
        <w:tc>
          <w:tcPr>
            <w:tcW w:w="914" w:type="dxa"/>
            <w:tcBorders>
              <w:top w:val="single" w:sz="4" w:space="0" w:color="auto"/>
              <w:left w:val="nil"/>
              <w:bottom w:val="single" w:sz="4" w:space="0" w:color="auto"/>
              <w:right w:val="nil"/>
            </w:tcBorders>
            <w:shd w:val="clear" w:color="000000" w:fill="D9D9D9"/>
            <w:noWrap/>
            <w:vAlign w:val="center"/>
            <w:hideMark/>
          </w:tcPr>
          <w:p w14:paraId="4801D1AA" w14:textId="77777777" w:rsidR="0097090C" w:rsidRPr="005D5898" w:rsidRDefault="0097090C" w:rsidP="0097090C">
            <w:pPr>
              <w:rPr>
                <w:b/>
                <w:bCs/>
                <w:sz w:val="18"/>
                <w:szCs w:val="18"/>
              </w:rPr>
            </w:pPr>
            <w:r w:rsidRPr="005D5898">
              <w:rPr>
                <w:b/>
                <w:bCs/>
                <w:sz w:val="18"/>
                <w:szCs w:val="18"/>
              </w:rPr>
              <w:t>6,878</w:t>
            </w:r>
          </w:p>
        </w:tc>
        <w:tc>
          <w:tcPr>
            <w:tcW w:w="914" w:type="dxa"/>
            <w:tcBorders>
              <w:top w:val="single" w:sz="4" w:space="0" w:color="auto"/>
              <w:left w:val="nil"/>
              <w:bottom w:val="single" w:sz="4" w:space="0" w:color="auto"/>
              <w:right w:val="nil"/>
            </w:tcBorders>
            <w:shd w:val="clear" w:color="auto" w:fill="auto"/>
            <w:noWrap/>
            <w:vAlign w:val="center"/>
            <w:hideMark/>
          </w:tcPr>
          <w:p w14:paraId="08D533B6" w14:textId="77777777" w:rsidR="0097090C" w:rsidRPr="005D5898" w:rsidRDefault="0097090C" w:rsidP="0097090C">
            <w:pPr>
              <w:rPr>
                <w:b/>
                <w:bCs/>
                <w:sz w:val="18"/>
                <w:szCs w:val="18"/>
              </w:rPr>
            </w:pPr>
            <w:r w:rsidRPr="005D5898">
              <w:rPr>
                <w:b/>
                <w:bCs/>
                <w:sz w:val="18"/>
                <w:szCs w:val="18"/>
              </w:rPr>
              <w:t>4,363</w:t>
            </w:r>
          </w:p>
        </w:tc>
        <w:tc>
          <w:tcPr>
            <w:tcW w:w="805" w:type="dxa"/>
            <w:tcBorders>
              <w:top w:val="single" w:sz="4" w:space="0" w:color="auto"/>
              <w:left w:val="nil"/>
              <w:bottom w:val="single" w:sz="4" w:space="0" w:color="auto"/>
              <w:right w:val="nil"/>
            </w:tcBorders>
            <w:shd w:val="clear" w:color="000000" w:fill="D9D9D9"/>
            <w:noWrap/>
            <w:vAlign w:val="center"/>
            <w:hideMark/>
          </w:tcPr>
          <w:p w14:paraId="762D957F" w14:textId="77777777" w:rsidR="0097090C" w:rsidRPr="005D5898" w:rsidRDefault="0097090C" w:rsidP="0097090C">
            <w:pPr>
              <w:rPr>
                <w:b/>
                <w:bCs/>
                <w:sz w:val="18"/>
                <w:szCs w:val="18"/>
              </w:rPr>
            </w:pPr>
            <w:r w:rsidRPr="005D5898">
              <w:rPr>
                <w:b/>
                <w:bCs/>
                <w:sz w:val="18"/>
                <w:szCs w:val="18"/>
              </w:rPr>
              <w:t>1,373</w:t>
            </w:r>
          </w:p>
        </w:tc>
        <w:tc>
          <w:tcPr>
            <w:tcW w:w="806" w:type="dxa"/>
            <w:tcBorders>
              <w:top w:val="single" w:sz="4" w:space="0" w:color="auto"/>
              <w:left w:val="nil"/>
              <w:bottom w:val="single" w:sz="4" w:space="0" w:color="auto"/>
              <w:right w:val="nil"/>
            </w:tcBorders>
            <w:shd w:val="clear" w:color="auto" w:fill="auto"/>
            <w:noWrap/>
            <w:vAlign w:val="center"/>
            <w:hideMark/>
          </w:tcPr>
          <w:p w14:paraId="4DCD14CF" w14:textId="77777777" w:rsidR="0097090C" w:rsidRPr="005D5898" w:rsidRDefault="0097090C" w:rsidP="0097090C">
            <w:pPr>
              <w:rPr>
                <w:b/>
                <w:bCs/>
                <w:sz w:val="18"/>
                <w:szCs w:val="18"/>
              </w:rPr>
            </w:pPr>
            <w:r w:rsidRPr="005D5898">
              <w:rPr>
                <w:b/>
                <w:bCs/>
                <w:sz w:val="18"/>
                <w:szCs w:val="18"/>
              </w:rPr>
              <w:t>1,922</w:t>
            </w:r>
          </w:p>
        </w:tc>
        <w:tc>
          <w:tcPr>
            <w:tcW w:w="914" w:type="dxa"/>
            <w:tcBorders>
              <w:top w:val="single" w:sz="4" w:space="0" w:color="auto"/>
              <w:left w:val="nil"/>
              <w:bottom w:val="single" w:sz="4" w:space="0" w:color="auto"/>
              <w:right w:val="nil"/>
            </w:tcBorders>
            <w:shd w:val="clear" w:color="000000" w:fill="D9D9D9"/>
            <w:noWrap/>
            <w:vAlign w:val="center"/>
            <w:hideMark/>
          </w:tcPr>
          <w:p w14:paraId="4FA423C9" w14:textId="77777777" w:rsidR="0097090C" w:rsidRPr="005D5898" w:rsidRDefault="0097090C" w:rsidP="0097090C">
            <w:pPr>
              <w:rPr>
                <w:b/>
                <w:bCs/>
                <w:sz w:val="18"/>
                <w:szCs w:val="18"/>
              </w:rPr>
            </w:pPr>
            <w:r w:rsidRPr="005D5898">
              <w:rPr>
                <w:b/>
                <w:bCs/>
                <w:sz w:val="18"/>
                <w:szCs w:val="18"/>
              </w:rPr>
              <w:t>4,514</w:t>
            </w:r>
          </w:p>
        </w:tc>
        <w:tc>
          <w:tcPr>
            <w:tcW w:w="767" w:type="dxa"/>
            <w:tcBorders>
              <w:top w:val="single" w:sz="4" w:space="0" w:color="auto"/>
              <w:left w:val="nil"/>
              <w:bottom w:val="single" w:sz="4" w:space="0" w:color="auto"/>
              <w:right w:val="nil"/>
            </w:tcBorders>
            <w:shd w:val="clear" w:color="auto" w:fill="auto"/>
            <w:noWrap/>
            <w:vAlign w:val="center"/>
            <w:hideMark/>
          </w:tcPr>
          <w:p w14:paraId="66FDC702" w14:textId="77777777" w:rsidR="0097090C" w:rsidRPr="005D5898" w:rsidRDefault="0097090C" w:rsidP="0097090C">
            <w:pPr>
              <w:rPr>
                <w:b/>
                <w:bCs/>
                <w:sz w:val="18"/>
                <w:szCs w:val="18"/>
              </w:rPr>
            </w:pPr>
            <w:r w:rsidRPr="005D5898">
              <w:rPr>
                <w:b/>
                <w:bCs/>
                <w:sz w:val="18"/>
                <w:szCs w:val="18"/>
              </w:rPr>
              <w:t>2,990</w:t>
            </w:r>
          </w:p>
        </w:tc>
        <w:tc>
          <w:tcPr>
            <w:tcW w:w="1195" w:type="dxa"/>
            <w:tcBorders>
              <w:top w:val="single" w:sz="4" w:space="0" w:color="auto"/>
              <w:left w:val="nil"/>
              <w:bottom w:val="single" w:sz="4" w:space="0" w:color="auto"/>
              <w:right w:val="nil"/>
            </w:tcBorders>
            <w:shd w:val="clear" w:color="000000" w:fill="D9D9D9"/>
            <w:noWrap/>
            <w:vAlign w:val="center"/>
            <w:hideMark/>
          </w:tcPr>
          <w:p w14:paraId="30C894A2" w14:textId="77777777" w:rsidR="0097090C" w:rsidRPr="005D5898" w:rsidRDefault="0097090C" w:rsidP="0097090C">
            <w:pPr>
              <w:rPr>
                <w:b/>
                <w:bCs/>
                <w:sz w:val="18"/>
                <w:szCs w:val="18"/>
              </w:rPr>
            </w:pPr>
            <w:r w:rsidRPr="005D5898">
              <w:rPr>
                <w:b/>
                <w:bCs/>
                <w:sz w:val="18"/>
                <w:szCs w:val="18"/>
              </w:rPr>
              <w:t>1,625,925</w:t>
            </w:r>
          </w:p>
        </w:tc>
        <w:tc>
          <w:tcPr>
            <w:tcW w:w="1195" w:type="dxa"/>
            <w:tcBorders>
              <w:top w:val="single" w:sz="4" w:space="0" w:color="auto"/>
              <w:left w:val="nil"/>
              <w:bottom w:val="single" w:sz="4" w:space="0" w:color="auto"/>
              <w:right w:val="nil"/>
            </w:tcBorders>
            <w:shd w:val="clear" w:color="auto" w:fill="auto"/>
            <w:noWrap/>
            <w:vAlign w:val="center"/>
            <w:hideMark/>
          </w:tcPr>
          <w:p w14:paraId="19FADCD3" w14:textId="77777777" w:rsidR="0097090C" w:rsidRPr="005D5898" w:rsidRDefault="0097090C" w:rsidP="0097090C">
            <w:pPr>
              <w:rPr>
                <w:b/>
                <w:bCs/>
                <w:sz w:val="18"/>
                <w:szCs w:val="18"/>
              </w:rPr>
            </w:pPr>
            <w:r w:rsidRPr="005D5898">
              <w:rPr>
                <w:b/>
                <w:bCs/>
                <w:sz w:val="18"/>
                <w:szCs w:val="18"/>
              </w:rPr>
              <w:t>989,708</w:t>
            </w:r>
          </w:p>
        </w:tc>
      </w:tr>
    </w:tbl>
    <w:p w14:paraId="50D65A53" w14:textId="77777777" w:rsidR="0097090C" w:rsidRDefault="0097090C" w:rsidP="0097090C">
      <w:pPr>
        <w:rPr>
          <w:rFonts w:cs="Arial"/>
          <w:b/>
        </w:rPr>
      </w:pPr>
    </w:p>
    <w:p w14:paraId="4A5415C4" w14:textId="77777777" w:rsidR="0097090C" w:rsidRDefault="0097090C" w:rsidP="0097090C">
      <w:pPr>
        <w:pStyle w:val="Heading5"/>
      </w:pPr>
      <w:r w:rsidRPr="009F044A">
        <w:t>9(e) Fair value measurement hierarchy for assets</w:t>
      </w:r>
      <w:r>
        <w:t xml:space="preserve"> as at 30 June 2016</w:t>
      </w:r>
      <w:r w:rsidRPr="009F044A">
        <w:tab/>
      </w:r>
    </w:p>
    <w:tbl>
      <w:tblPr>
        <w:tblW w:w="13580" w:type="dxa"/>
        <w:tblInd w:w="108" w:type="dxa"/>
        <w:tblLook w:val="04A0" w:firstRow="1" w:lastRow="0" w:firstColumn="1" w:lastColumn="0" w:noHBand="0" w:noVBand="1"/>
      </w:tblPr>
      <w:tblGrid>
        <w:gridCol w:w="3720"/>
        <w:gridCol w:w="1460"/>
        <w:gridCol w:w="1140"/>
        <w:gridCol w:w="1140"/>
        <w:gridCol w:w="1140"/>
        <w:gridCol w:w="1440"/>
        <w:gridCol w:w="1180"/>
        <w:gridCol w:w="1180"/>
        <w:gridCol w:w="1180"/>
      </w:tblGrid>
      <w:tr w:rsidR="0097090C" w:rsidRPr="005D5898" w14:paraId="61A0190D" w14:textId="77777777" w:rsidTr="0097090C">
        <w:trPr>
          <w:trHeight w:val="525"/>
        </w:trPr>
        <w:tc>
          <w:tcPr>
            <w:tcW w:w="3720" w:type="dxa"/>
            <w:vMerge w:val="restart"/>
            <w:tcBorders>
              <w:top w:val="single" w:sz="4" w:space="0" w:color="auto"/>
              <w:left w:val="nil"/>
              <w:bottom w:val="single" w:sz="4" w:space="0" w:color="000000"/>
              <w:right w:val="nil"/>
            </w:tcBorders>
            <w:shd w:val="clear" w:color="auto" w:fill="auto"/>
            <w:hideMark/>
          </w:tcPr>
          <w:p w14:paraId="16D3E476" w14:textId="77777777" w:rsidR="0097090C" w:rsidRPr="005D5898" w:rsidRDefault="0097090C" w:rsidP="0097090C">
            <w:pPr>
              <w:rPr>
                <w:sz w:val="18"/>
                <w:szCs w:val="18"/>
              </w:rPr>
            </w:pPr>
            <w:r w:rsidRPr="005D5898">
              <w:rPr>
                <w:sz w:val="18"/>
                <w:szCs w:val="18"/>
              </w:rPr>
              <w:t> </w:t>
            </w:r>
          </w:p>
        </w:tc>
        <w:tc>
          <w:tcPr>
            <w:tcW w:w="1460" w:type="dxa"/>
            <w:tcBorders>
              <w:top w:val="single" w:sz="4" w:space="0" w:color="auto"/>
              <w:left w:val="nil"/>
              <w:bottom w:val="nil"/>
              <w:right w:val="nil"/>
            </w:tcBorders>
            <w:shd w:val="clear" w:color="000000" w:fill="D9D9D9"/>
            <w:vAlign w:val="center"/>
            <w:hideMark/>
          </w:tcPr>
          <w:p w14:paraId="59F037B1" w14:textId="77777777" w:rsidR="0097090C" w:rsidRPr="005D5898" w:rsidRDefault="0097090C" w:rsidP="0097090C">
            <w:pPr>
              <w:rPr>
                <w:sz w:val="18"/>
                <w:szCs w:val="18"/>
              </w:rPr>
            </w:pPr>
            <w:r w:rsidRPr="005D5898">
              <w:rPr>
                <w:sz w:val="18"/>
                <w:szCs w:val="18"/>
              </w:rPr>
              <w:t>Carrying amount as at</w:t>
            </w:r>
          </w:p>
        </w:tc>
        <w:tc>
          <w:tcPr>
            <w:tcW w:w="3420" w:type="dxa"/>
            <w:gridSpan w:val="3"/>
            <w:tcBorders>
              <w:top w:val="single" w:sz="4" w:space="0" w:color="auto"/>
              <w:left w:val="nil"/>
              <w:bottom w:val="single" w:sz="4" w:space="0" w:color="auto"/>
              <w:right w:val="nil"/>
            </w:tcBorders>
            <w:shd w:val="clear" w:color="auto" w:fill="auto"/>
            <w:vAlign w:val="center"/>
            <w:hideMark/>
          </w:tcPr>
          <w:p w14:paraId="6F955D4F" w14:textId="77777777" w:rsidR="0097090C" w:rsidRPr="005D5898" w:rsidRDefault="0097090C" w:rsidP="0097090C">
            <w:pPr>
              <w:rPr>
                <w:sz w:val="18"/>
                <w:szCs w:val="18"/>
              </w:rPr>
            </w:pPr>
            <w:r w:rsidRPr="005D5898">
              <w:rPr>
                <w:sz w:val="18"/>
                <w:szCs w:val="18"/>
              </w:rPr>
              <w:t>Fair value measurement at 30-Jun-16 using:</w:t>
            </w:r>
          </w:p>
        </w:tc>
        <w:tc>
          <w:tcPr>
            <w:tcW w:w="1440" w:type="dxa"/>
            <w:tcBorders>
              <w:top w:val="single" w:sz="4" w:space="0" w:color="auto"/>
              <w:left w:val="nil"/>
              <w:bottom w:val="nil"/>
              <w:right w:val="nil"/>
            </w:tcBorders>
            <w:shd w:val="clear" w:color="000000" w:fill="D9D9D9"/>
            <w:vAlign w:val="center"/>
            <w:hideMark/>
          </w:tcPr>
          <w:p w14:paraId="5029A200" w14:textId="77777777" w:rsidR="0097090C" w:rsidRPr="005D5898" w:rsidRDefault="0097090C" w:rsidP="0097090C">
            <w:pPr>
              <w:rPr>
                <w:sz w:val="18"/>
                <w:szCs w:val="18"/>
              </w:rPr>
            </w:pPr>
            <w:r w:rsidRPr="005D5898">
              <w:rPr>
                <w:sz w:val="18"/>
                <w:szCs w:val="18"/>
              </w:rPr>
              <w:t>Carrying amount as at</w:t>
            </w:r>
          </w:p>
        </w:tc>
        <w:tc>
          <w:tcPr>
            <w:tcW w:w="3540" w:type="dxa"/>
            <w:gridSpan w:val="3"/>
            <w:tcBorders>
              <w:top w:val="single" w:sz="4" w:space="0" w:color="auto"/>
              <w:left w:val="nil"/>
              <w:bottom w:val="single" w:sz="4" w:space="0" w:color="auto"/>
              <w:right w:val="nil"/>
            </w:tcBorders>
            <w:shd w:val="clear" w:color="auto" w:fill="auto"/>
            <w:vAlign w:val="center"/>
            <w:hideMark/>
          </w:tcPr>
          <w:p w14:paraId="6838AF0B" w14:textId="77777777" w:rsidR="0097090C" w:rsidRPr="005D5898" w:rsidRDefault="0097090C" w:rsidP="0097090C">
            <w:pPr>
              <w:rPr>
                <w:sz w:val="18"/>
                <w:szCs w:val="18"/>
              </w:rPr>
            </w:pPr>
            <w:r w:rsidRPr="005D5898">
              <w:rPr>
                <w:sz w:val="18"/>
                <w:szCs w:val="18"/>
              </w:rPr>
              <w:t>Fair value measurement at 30-Jun-15 using:</w:t>
            </w:r>
          </w:p>
        </w:tc>
      </w:tr>
      <w:tr w:rsidR="0097090C" w:rsidRPr="005D5898" w14:paraId="36F4F1D3" w14:textId="77777777" w:rsidTr="0097090C">
        <w:trPr>
          <w:trHeight w:val="420"/>
        </w:trPr>
        <w:tc>
          <w:tcPr>
            <w:tcW w:w="3720" w:type="dxa"/>
            <w:vMerge/>
            <w:tcBorders>
              <w:top w:val="single" w:sz="4" w:space="0" w:color="auto"/>
              <w:left w:val="nil"/>
              <w:bottom w:val="single" w:sz="4" w:space="0" w:color="000000"/>
              <w:right w:val="nil"/>
            </w:tcBorders>
            <w:vAlign w:val="center"/>
            <w:hideMark/>
          </w:tcPr>
          <w:p w14:paraId="55EE02AE" w14:textId="77777777" w:rsidR="0097090C" w:rsidRPr="005D5898" w:rsidRDefault="0097090C" w:rsidP="0097090C">
            <w:pPr>
              <w:rPr>
                <w:sz w:val="18"/>
                <w:szCs w:val="18"/>
              </w:rPr>
            </w:pPr>
          </w:p>
        </w:tc>
        <w:tc>
          <w:tcPr>
            <w:tcW w:w="1460" w:type="dxa"/>
            <w:tcBorders>
              <w:top w:val="nil"/>
              <w:left w:val="nil"/>
              <w:bottom w:val="single" w:sz="4" w:space="0" w:color="auto"/>
              <w:right w:val="nil"/>
            </w:tcBorders>
            <w:shd w:val="clear" w:color="000000" w:fill="D9D9D9"/>
            <w:vAlign w:val="center"/>
            <w:hideMark/>
          </w:tcPr>
          <w:p w14:paraId="26E9A9D3" w14:textId="77777777" w:rsidR="0097090C" w:rsidRPr="005D5898" w:rsidRDefault="0097090C" w:rsidP="0097090C">
            <w:pPr>
              <w:rPr>
                <w:sz w:val="18"/>
                <w:szCs w:val="18"/>
              </w:rPr>
            </w:pPr>
            <w:r w:rsidRPr="005D5898">
              <w:rPr>
                <w:sz w:val="18"/>
                <w:szCs w:val="18"/>
              </w:rPr>
              <w:t>30-Jun-16</w:t>
            </w:r>
          </w:p>
        </w:tc>
        <w:tc>
          <w:tcPr>
            <w:tcW w:w="1140" w:type="dxa"/>
            <w:tcBorders>
              <w:top w:val="nil"/>
              <w:left w:val="nil"/>
              <w:bottom w:val="single" w:sz="4" w:space="0" w:color="auto"/>
              <w:right w:val="nil"/>
            </w:tcBorders>
            <w:shd w:val="clear" w:color="auto" w:fill="auto"/>
            <w:noWrap/>
            <w:vAlign w:val="center"/>
            <w:hideMark/>
          </w:tcPr>
          <w:p w14:paraId="6D24CA9B" w14:textId="77777777" w:rsidR="0097090C" w:rsidRPr="005D5898" w:rsidRDefault="0097090C" w:rsidP="0097090C">
            <w:pPr>
              <w:rPr>
                <w:sz w:val="18"/>
                <w:szCs w:val="18"/>
              </w:rPr>
            </w:pPr>
            <w:r w:rsidRPr="005D5898">
              <w:rPr>
                <w:sz w:val="18"/>
                <w:szCs w:val="18"/>
              </w:rPr>
              <w:t>Level 1</w:t>
            </w:r>
            <w:r w:rsidRPr="005D5898">
              <w:rPr>
                <w:sz w:val="18"/>
                <w:szCs w:val="18"/>
                <w:vertAlign w:val="superscript"/>
              </w:rPr>
              <w:t>(i)</w:t>
            </w:r>
          </w:p>
        </w:tc>
        <w:tc>
          <w:tcPr>
            <w:tcW w:w="1140" w:type="dxa"/>
            <w:tcBorders>
              <w:top w:val="nil"/>
              <w:left w:val="nil"/>
              <w:bottom w:val="single" w:sz="4" w:space="0" w:color="auto"/>
              <w:right w:val="nil"/>
            </w:tcBorders>
            <w:shd w:val="clear" w:color="000000" w:fill="D9D9D9"/>
            <w:noWrap/>
            <w:vAlign w:val="center"/>
            <w:hideMark/>
          </w:tcPr>
          <w:p w14:paraId="377D9D09" w14:textId="77777777" w:rsidR="0097090C" w:rsidRPr="005D5898" w:rsidRDefault="0097090C" w:rsidP="0097090C">
            <w:pPr>
              <w:rPr>
                <w:sz w:val="18"/>
                <w:szCs w:val="18"/>
              </w:rPr>
            </w:pPr>
            <w:r w:rsidRPr="005D5898">
              <w:rPr>
                <w:sz w:val="18"/>
                <w:szCs w:val="18"/>
              </w:rPr>
              <w:t>Level 2</w:t>
            </w:r>
            <w:r w:rsidRPr="005D5898">
              <w:rPr>
                <w:sz w:val="18"/>
                <w:szCs w:val="18"/>
                <w:vertAlign w:val="superscript"/>
              </w:rPr>
              <w:t>(i)</w:t>
            </w:r>
          </w:p>
        </w:tc>
        <w:tc>
          <w:tcPr>
            <w:tcW w:w="1140" w:type="dxa"/>
            <w:tcBorders>
              <w:top w:val="nil"/>
              <w:left w:val="nil"/>
              <w:bottom w:val="single" w:sz="4" w:space="0" w:color="auto"/>
              <w:right w:val="nil"/>
            </w:tcBorders>
            <w:shd w:val="clear" w:color="auto" w:fill="auto"/>
            <w:noWrap/>
            <w:vAlign w:val="center"/>
            <w:hideMark/>
          </w:tcPr>
          <w:p w14:paraId="68FE3E81" w14:textId="77777777" w:rsidR="0097090C" w:rsidRPr="005D5898" w:rsidRDefault="0097090C" w:rsidP="0097090C">
            <w:pPr>
              <w:rPr>
                <w:sz w:val="18"/>
                <w:szCs w:val="18"/>
              </w:rPr>
            </w:pPr>
            <w:r w:rsidRPr="005D5898">
              <w:rPr>
                <w:sz w:val="18"/>
                <w:szCs w:val="18"/>
              </w:rPr>
              <w:t>Level 3</w:t>
            </w:r>
            <w:r w:rsidRPr="005D5898">
              <w:rPr>
                <w:sz w:val="18"/>
                <w:szCs w:val="18"/>
                <w:vertAlign w:val="superscript"/>
              </w:rPr>
              <w:t>(i)</w:t>
            </w:r>
          </w:p>
        </w:tc>
        <w:tc>
          <w:tcPr>
            <w:tcW w:w="1440" w:type="dxa"/>
            <w:tcBorders>
              <w:top w:val="nil"/>
              <w:left w:val="nil"/>
              <w:bottom w:val="single" w:sz="4" w:space="0" w:color="auto"/>
              <w:right w:val="nil"/>
            </w:tcBorders>
            <w:shd w:val="clear" w:color="000000" w:fill="D9D9D9"/>
            <w:vAlign w:val="center"/>
            <w:hideMark/>
          </w:tcPr>
          <w:p w14:paraId="7CB0CBB4" w14:textId="77777777" w:rsidR="0097090C" w:rsidRPr="005D5898" w:rsidRDefault="0097090C" w:rsidP="0097090C">
            <w:pPr>
              <w:rPr>
                <w:sz w:val="18"/>
                <w:szCs w:val="18"/>
              </w:rPr>
            </w:pPr>
            <w:r w:rsidRPr="005D5898">
              <w:rPr>
                <w:sz w:val="18"/>
                <w:szCs w:val="18"/>
              </w:rPr>
              <w:t>30-Jun-15</w:t>
            </w:r>
          </w:p>
        </w:tc>
        <w:tc>
          <w:tcPr>
            <w:tcW w:w="1180" w:type="dxa"/>
            <w:tcBorders>
              <w:top w:val="nil"/>
              <w:left w:val="nil"/>
              <w:bottom w:val="single" w:sz="4" w:space="0" w:color="auto"/>
              <w:right w:val="nil"/>
            </w:tcBorders>
            <w:shd w:val="clear" w:color="auto" w:fill="auto"/>
            <w:noWrap/>
            <w:vAlign w:val="center"/>
            <w:hideMark/>
          </w:tcPr>
          <w:p w14:paraId="2583A75D" w14:textId="77777777" w:rsidR="0097090C" w:rsidRPr="005D5898" w:rsidRDefault="0097090C" w:rsidP="0097090C">
            <w:pPr>
              <w:rPr>
                <w:sz w:val="18"/>
                <w:szCs w:val="18"/>
              </w:rPr>
            </w:pPr>
            <w:r w:rsidRPr="005D5898">
              <w:rPr>
                <w:sz w:val="18"/>
                <w:szCs w:val="18"/>
              </w:rPr>
              <w:t>Level 1</w:t>
            </w:r>
            <w:r w:rsidRPr="005D5898">
              <w:rPr>
                <w:sz w:val="18"/>
                <w:szCs w:val="18"/>
                <w:vertAlign w:val="superscript"/>
              </w:rPr>
              <w:t>(i)</w:t>
            </w:r>
          </w:p>
        </w:tc>
        <w:tc>
          <w:tcPr>
            <w:tcW w:w="1180" w:type="dxa"/>
            <w:tcBorders>
              <w:top w:val="nil"/>
              <w:left w:val="nil"/>
              <w:bottom w:val="single" w:sz="4" w:space="0" w:color="auto"/>
              <w:right w:val="nil"/>
            </w:tcBorders>
            <w:shd w:val="clear" w:color="000000" w:fill="D9D9D9"/>
            <w:noWrap/>
            <w:vAlign w:val="center"/>
            <w:hideMark/>
          </w:tcPr>
          <w:p w14:paraId="46B84EB6" w14:textId="77777777" w:rsidR="0097090C" w:rsidRPr="005D5898" w:rsidRDefault="0097090C" w:rsidP="0097090C">
            <w:pPr>
              <w:rPr>
                <w:sz w:val="18"/>
                <w:szCs w:val="18"/>
              </w:rPr>
            </w:pPr>
            <w:r w:rsidRPr="005D5898">
              <w:rPr>
                <w:sz w:val="18"/>
                <w:szCs w:val="18"/>
              </w:rPr>
              <w:t>Level 2</w:t>
            </w:r>
            <w:r w:rsidRPr="005D5898">
              <w:rPr>
                <w:sz w:val="18"/>
                <w:szCs w:val="18"/>
                <w:vertAlign w:val="superscript"/>
              </w:rPr>
              <w:t>(i)</w:t>
            </w:r>
          </w:p>
        </w:tc>
        <w:tc>
          <w:tcPr>
            <w:tcW w:w="1180" w:type="dxa"/>
            <w:tcBorders>
              <w:top w:val="nil"/>
              <w:left w:val="nil"/>
              <w:bottom w:val="single" w:sz="4" w:space="0" w:color="auto"/>
              <w:right w:val="nil"/>
            </w:tcBorders>
            <w:shd w:val="clear" w:color="auto" w:fill="auto"/>
            <w:noWrap/>
            <w:vAlign w:val="center"/>
            <w:hideMark/>
          </w:tcPr>
          <w:p w14:paraId="27B0713D" w14:textId="77777777" w:rsidR="0097090C" w:rsidRPr="005D5898" w:rsidRDefault="0097090C" w:rsidP="0097090C">
            <w:pPr>
              <w:rPr>
                <w:sz w:val="18"/>
                <w:szCs w:val="18"/>
              </w:rPr>
            </w:pPr>
            <w:r w:rsidRPr="005D5898">
              <w:rPr>
                <w:sz w:val="18"/>
                <w:szCs w:val="18"/>
              </w:rPr>
              <w:t>Level 3</w:t>
            </w:r>
            <w:r w:rsidRPr="005D5898">
              <w:rPr>
                <w:sz w:val="18"/>
                <w:szCs w:val="18"/>
                <w:vertAlign w:val="superscript"/>
              </w:rPr>
              <w:t>(i)</w:t>
            </w:r>
          </w:p>
        </w:tc>
      </w:tr>
      <w:tr w:rsidR="0097090C" w:rsidRPr="005D5898" w14:paraId="6040A8B2" w14:textId="77777777" w:rsidTr="0097090C">
        <w:trPr>
          <w:trHeight w:val="255"/>
        </w:trPr>
        <w:tc>
          <w:tcPr>
            <w:tcW w:w="3720" w:type="dxa"/>
            <w:tcBorders>
              <w:top w:val="nil"/>
              <w:left w:val="nil"/>
              <w:bottom w:val="single" w:sz="4" w:space="0" w:color="auto"/>
              <w:right w:val="nil"/>
            </w:tcBorders>
            <w:shd w:val="clear" w:color="auto" w:fill="auto"/>
            <w:vAlign w:val="center"/>
            <w:hideMark/>
          </w:tcPr>
          <w:p w14:paraId="6DEDFC1F" w14:textId="77777777" w:rsidR="0097090C" w:rsidRPr="005D5898" w:rsidRDefault="0097090C" w:rsidP="0097090C">
            <w:pPr>
              <w:rPr>
                <w:sz w:val="18"/>
                <w:szCs w:val="18"/>
              </w:rPr>
            </w:pPr>
            <w:r w:rsidRPr="005D5898">
              <w:rPr>
                <w:sz w:val="18"/>
                <w:szCs w:val="18"/>
              </w:rPr>
              <w:t> </w:t>
            </w:r>
          </w:p>
        </w:tc>
        <w:tc>
          <w:tcPr>
            <w:tcW w:w="1460" w:type="dxa"/>
            <w:tcBorders>
              <w:top w:val="nil"/>
              <w:left w:val="nil"/>
              <w:bottom w:val="single" w:sz="4" w:space="0" w:color="auto"/>
              <w:right w:val="nil"/>
            </w:tcBorders>
            <w:shd w:val="clear" w:color="000000" w:fill="D9D9D9"/>
            <w:noWrap/>
            <w:vAlign w:val="center"/>
            <w:hideMark/>
          </w:tcPr>
          <w:p w14:paraId="5DEE349C" w14:textId="77777777" w:rsidR="0097090C" w:rsidRPr="005D5898" w:rsidRDefault="0097090C" w:rsidP="0097090C">
            <w:pPr>
              <w:rPr>
                <w:sz w:val="18"/>
                <w:szCs w:val="18"/>
              </w:rPr>
            </w:pPr>
            <w:r w:rsidRPr="005D5898">
              <w:rPr>
                <w:sz w:val="18"/>
                <w:szCs w:val="18"/>
              </w:rPr>
              <w:t>$'000</w:t>
            </w:r>
          </w:p>
        </w:tc>
        <w:tc>
          <w:tcPr>
            <w:tcW w:w="1140" w:type="dxa"/>
            <w:tcBorders>
              <w:top w:val="nil"/>
              <w:left w:val="nil"/>
              <w:bottom w:val="single" w:sz="4" w:space="0" w:color="auto"/>
              <w:right w:val="nil"/>
            </w:tcBorders>
            <w:shd w:val="clear" w:color="auto" w:fill="auto"/>
            <w:noWrap/>
            <w:vAlign w:val="center"/>
            <w:hideMark/>
          </w:tcPr>
          <w:p w14:paraId="16652E8C" w14:textId="77777777" w:rsidR="0097090C" w:rsidRPr="005D5898" w:rsidRDefault="0097090C" w:rsidP="0097090C">
            <w:pPr>
              <w:rPr>
                <w:sz w:val="18"/>
                <w:szCs w:val="18"/>
              </w:rPr>
            </w:pPr>
            <w:r w:rsidRPr="005D5898">
              <w:rPr>
                <w:sz w:val="18"/>
                <w:szCs w:val="18"/>
              </w:rPr>
              <w:t>$'000</w:t>
            </w:r>
          </w:p>
        </w:tc>
        <w:tc>
          <w:tcPr>
            <w:tcW w:w="1140" w:type="dxa"/>
            <w:tcBorders>
              <w:top w:val="nil"/>
              <w:left w:val="nil"/>
              <w:bottom w:val="single" w:sz="4" w:space="0" w:color="auto"/>
              <w:right w:val="nil"/>
            </w:tcBorders>
            <w:shd w:val="clear" w:color="000000" w:fill="D9D9D9"/>
            <w:noWrap/>
            <w:vAlign w:val="center"/>
            <w:hideMark/>
          </w:tcPr>
          <w:p w14:paraId="42B77D96" w14:textId="77777777" w:rsidR="0097090C" w:rsidRPr="005D5898" w:rsidRDefault="0097090C" w:rsidP="0097090C">
            <w:pPr>
              <w:rPr>
                <w:sz w:val="18"/>
                <w:szCs w:val="18"/>
              </w:rPr>
            </w:pPr>
            <w:r w:rsidRPr="005D5898">
              <w:rPr>
                <w:sz w:val="18"/>
                <w:szCs w:val="18"/>
              </w:rPr>
              <w:t>$'000</w:t>
            </w:r>
          </w:p>
        </w:tc>
        <w:tc>
          <w:tcPr>
            <w:tcW w:w="1140" w:type="dxa"/>
            <w:tcBorders>
              <w:top w:val="nil"/>
              <w:left w:val="nil"/>
              <w:bottom w:val="single" w:sz="4" w:space="0" w:color="auto"/>
              <w:right w:val="nil"/>
            </w:tcBorders>
            <w:shd w:val="clear" w:color="auto" w:fill="auto"/>
            <w:noWrap/>
            <w:vAlign w:val="center"/>
            <w:hideMark/>
          </w:tcPr>
          <w:p w14:paraId="1459BD56" w14:textId="77777777" w:rsidR="0097090C" w:rsidRPr="005D5898" w:rsidRDefault="0097090C" w:rsidP="0097090C">
            <w:pPr>
              <w:rPr>
                <w:sz w:val="18"/>
                <w:szCs w:val="18"/>
              </w:rPr>
            </w:pPr>
            <w:r w:rsidRPr="005D5898">
              <w:rPr>
                <w:sz w:val="18"/>
                <w:szCs w:val="18"/>
              </w:rPr>
              <w:t>$'000</w:t>
            </w:r>
          </w:p>
        </w:tc>
        <w:tc>
          <w:tcPr>
            <w:tcW w:w="1440" w:type="dxa"/>
            <w:tcBorders>
              <w:top w:val="nil"/>
              <w:left w:val="nil"/>
              <w:bottom w:val="single" w:sz="4" w:space="0" w:color="auto"/>
              <w:right w:val="nil"/>
            </w:tcBorders>
            <w:shd w:val="clear" w:color="000000" w:fill="D9D9D9"/>
            <w:noWrap/>
            <w:vAlign w:val="center"/>
            <w:hideMark/>
          </w:tcPr>
          <w:p w14:paraId="51C1378D" w14:textId="77777777" w:rsidR="0097090C" w:rsidRPr="005D5898" w:rsidRDefault="0097090C" w:rsidP="0097090C">
            <w:pPr>
              <w:rPr>
                <w:sz w:val="18"/>
                <w:szCs w:val="18"/>
              </w:rPr>
            </w:pPr>
            <w:r w:rsidRPr="005D5898">
              <w:rPr>
                <w:sz w:val="18"/>
                <w:szCs w:val="18"/>
              </w:rPr>
              <w:t>$'000</w:t>
            </w:r>
          </w:p>
        </w:tc>
        <w:tc>
          <w:tcPr>
            <w:tcW w:w="1180" w:type="dxa"/>
            <w:tcBorders>
              <w:top w:val="nil"/>
              <w:left w:val="nil"/>
              <w:bottom w:val="single" w:sz="4" w:space="0" w:color="auto"/>
              <w:right w:val="nil"/>
            </w:tcBorders>
            <w:shd w:val="clear" w:color="auto" w:fill="auto"/>
            <w:noWrap/>
            <w:vAlign w:val="center"/>
            <w:hideMark/>
          </w:tcPr>
          <w:p w14:paraId="7C7CF59C" w14:textId="77777777" w:rsidR="0097090C" w:rsidRPr="005D5898" w:rsidRDefault="0097090C" w:rsidP="0097090C">
            <w:pPr>
              <w:rPr>
                <w:sz w:val="18"/>
                <w:szCs w:val="18"/>
              </w:rPr>
            </w:pPr>
            <w:r w:rsidRPr="005D5898">
              <w:rPr>
                <w:sz w:val="18"/>
                <w:szCs w:val="18"/>
              </w:rPr>
              <w:t>$'000</w:t>
            </w:r>
          </w:p>
        </w:tc>
        <w:tc>
          <w:tcPr>
            <w:tcW w:w="1180" w:type="dxa"/>
            <w:tcBorders>
              <w:top w:val="nil"/>
              <w:left w:val="nil"/>
              <w:bottom w:val="single" w:sz="4" w:space="0" w:color="auto"/>
              <w:right w:val="nil"/>
            </w:tcBorders>
            <w:shd w:val="clear" w:color="000000" w:fill="D9D9D9"/>
            <w:noWrap/>
            <w:vAlign w:val="center"/>
            <w:hideMark/>
          </w:tcPr>
          <w:p w14:paraId="60E75642" w14:textId="77777777" w:rsidR="0097090C" w:rsidRPr="005D5898" w:rsidRDefault="0097090C" w:rsidP="0097090C">
            <w:pPr>
              <w:rPr>
                <w:sz w:val="18"/>
                <w:szCs w:val="18"/>
              </w:rPr>
            </w:pPr>
            <w:r w:rsidRPr="005D5898">
              <w:rPr>
                <w:sz w:val="18"/>
                <w:szCs w:val="18"/>
              </w:rPr>
              <w:t>$'000</w:t>
            </w:r>
          </w:p>
        </w:tc>
        <w:tc>
          <w:tcPr>
            <w:tcW w:w="1180" w:type="dxa"/>
            <w:tcBorders>
              <w:top w:val="nil"/>
              <w:left w:val="nil"/>
              <w:bottom w:val="single" w:sz="4" w:space="0" w:color="auto"/>
              <w:right w:val="nil"/>
            </w:tcBorders>
            <w:shd w:val="clear" w:color="auto" w:fill="auto"/>
            <w:noWrap/>
            <w:vAlign w:val="center"/>
            <w:hideMark/>
          </w:tcPr>
          <w:p w14:paraId="25E51418" w14:textId="77777777" w:rsidR="0097090C" w:rsidRPr="005D5898" w:rsidRDefault="0097090C" w:rsidP="0097090C">
            <w:pPr>
              <w:rPr>
                <w:sz w:val="18"/>
                <w:szCs w:val="18"/>
              </w:rPr>
            </w:pPr>
            <w:r w:rsidRPr="005D5898">
              <w:rPr>
                <w:sz w:val="18"/>
                <w:szCs w:val="18"/>
              </w:rPr>
              <w:t>$'000</w:t>
            </w:r>
          </w:p>
        </w:tc>
      </w:tr>
      <w:tr w:rsidR="0097090C" w:rsidRPr="005D5898" w14:paraId="7327D906" w14:textId="77777777" w:rsidTr="0097090C">
        <w:trPr>
          <w:trHeight w:val="255"/>
        </w:trPr>
        <w:tc>
          <w:tcPr>
            <w:tcW w:w="3720" w:type="dxa"/>
            <w:tcBorders>
              <w:top w:val="nil"/>
              <w:left w:val="nil"/>
              <w:bottom w:val="nil"/>
              <w:right w:val="nil"/>
            </w:tcBorders>
            <w:shd w:val="clear" w:color="auto" w:fill="auto"/>
            <w:vAlign w:val="center"/>
            <w:hideMark/>
          </w:tcPr>
          <w:p w14:paraId="2B94958C" w14:textId="77777777" w:rsidR="0097090C" w:rsidRPr="005D5898" w:rsidRDefault="0097090C" w:rsidP="0097090C">
            <w:pPr>
              <w:rPr>
                <w:sz w:val="18"/>
                <w:szCs w:val="18"/>
              </w:rPr>
            </w:pPr>
            <w:r w:rsidRPr="005D5898">
              <w:rPr>
                <w:sz w:val="18"/>
                <w:szCs w:val="18"/>
              </w:rPr>
              <w:t xml:space="preserve">   Collections</w:t>
            </w:r>
          </w:p>
        </w:tc>
        <w:tc>
          <w:tcPr>
            <w:tcW w:w="1460" w:type="dxa"/>
            <w:tcBorders>
              <w:top w:val="nil"/>
              <w:left w:val="nil"/>
              <w:bottom w:val="nil"/>
              <w:right w:val="nil"/>
            </w:tcBorders>
            <w:shd w:val="clear" w:color="000000" w:fill="D9D9D9"/>
            <w:noWrap/>
            <w:vAlign w:val="center"/>
            <w:hideMark/>
          </w:tcPr>
          <w:p w14:paraId="7E39F060" w14:textId="77777777" w:rsidR="0097090C" w:rsidRPr="005D5898" w:rsidRDefault="0097090C" w:rsidP="0097090C">
            <w:pPr>
              <w:rPr>
                <w:sz w:val="18"/>
                <w:szCs w:val="18"/>
              </w:rPr>
            </w:pPr>
            <w:r w:rsidRPr="005D5898">
              <w:rPr>
                <w:sz w:val="18"/>
                <w:szCs w:val="18"/>
              </w:rPr>
              <w:t>714,340</w:t>
            </w:r>
          </w:p>
        </w:tc>
        <w:tc>
          <w:tcPr>
            <w:tcW w:w="1140" w:type="dxa"/>
            <w:tcBorders>
              <w:top w:val="nil"/>
              <w:left w:val="nil"/>
              <w:bottom w:val="nil"/>
              <w:right w:val="nil"/>
            </w:tcBorders>
            <w:shd w:val="clear" w:color="auto" w:fill="auto"/>
            <w:noWrap/>
            <w:vAlign w:val="center"/>
            <w:hideMark/>
          </w:tcPr>
          <w:p w14:paraId="0FC78EE2" w14:textId="77777777" w:rsidR="0097090C" w:rsidRPr="005D5898" w:rsidRDefault="0097090C" w:rsidP="0097090C">
            <w:pPr>
              <w:rPr>
                <w:sz w:val="18"/>
                <w:szCs w:val="18"/>
              </w:rPr>
            </w:pPr>
          </w:p>
        </w:tc>
        <w:tc>
          <w:tcPr>
            <w:tcW w:w="1140" w:type="dxa"/>
            <w:tcBorders>
              <w:top w:val="nil"/>
              <w:left w:val="nil"/>
              <w:bottom w:val="nil"/>
              <w:right w:val="nil"/>
            </w:tcBorders>
            <w:shd w:val="clear" w:color="000000" w:fill="D9D9D9"/>
            <w:noWrap/>
            <w:vAlign w:val="center"/>
            <w:hideMark/>
          </w:tcPr>
          <w:p w14:paraId="75C13F40" w14:textId="77777777" w:rsidR="0097090C" w:rsidRPr="005D5898" w:rsidRDefault="0097090C" w:rsidP="0097090C">
            <w:pPr>
              <w:rPr>
                <w:sz w:val="18"/>
                <w:szCs w:val="18"/>
              </w:rPr>
            </w:pPr>
            <w:r w:rsidRPr="005D5898">
              <w:rPr>
                <w:sz w:val="18"/>
                <w:szCs w:val="18"/>
              </w:rPr>
              <w:t>8,410</w:t>
            </w:r>
          </w:p>
        </w:tc>
        <w:tc>
          <w:tcPr>
            <w:tcW w:w="1140" w:type="dxa"/>
            <w:tcBorders>
              <w:top w:val="nil"/>
              <w:left w:val="nil"/>
              <w:bottom w:val="nil"/>
              <w:right w:val="nil"/>
            </w:tcBorders>
            <w:shd w:val="clear" w:color="auto" w:fill="auto"/>
            <w:noWrap/>
            <w:vAlign w:val="center"/>
            <w:hideMark/>
          </w:tcPr>
          <w:p w14:paraId="11A48193" w14:textId="77777777" w:rsidR="0097090C" w:rsidRPr="005D5898" w:rsidRDefault="0097090C" w:rsidP="0097090C">
            <w:pPr>
              <w:rPr>
                <w:sz w:val="18"/>
                <w:szCs w:val="18"/>
              </w:rPr>
            </w:pPr>
            <w:r w:rsidRPr="005D5898">
              <w:rPr>
                <w:sz w:val="18"/>
                <w:szCs w:val="18"/>
              </w:rPr>
              <w:t>705,930</w:t>
            </w:r>
          </w:p>
        </w:tc>
        <w:tc>
          <w:tcPr>
            <w:tcW w:w="1440" w:type="dxa"/>
            <w:tcBorders>
              <w:top w:val="nil"/>
              <w:left w:val="nil"/>
              <w:bottom w:val="nil"/>
              <w:right w:val="nil"/>
            </w:tcBorders>
            <w:shd w:val="clear" w:color="000000" w:fill="D9D9D9"/>
            <w:noWrap/>
            <w:vAlign w:val="center"/>
            <w:hideMark/>
          </w:tcPr>
          <w:p w14:paraId="6F0B99AC" w14:textId="77777777" w:rsidR="0097090C" w:rsidRPr="005D5898" w:rsidRDefault="0097090C" w:rsidP="0097090C">
            <w:pPr>
              <w:rPr>
                <w:sz w:val="18"/>
                <w:szCs w:val="18"/>
              </w:rPr>
            </w:pPr>
            <w:r w:rsidRPr="005D5898">
              <w:rPr>
                <w:sz w:val="18"/>
                <w:szCs w:val="18"/>
              </w:rPr>
              <w:t>502,970</w:t>
            </w:r>
          </w:p>
        </w:tc>
        <w:tc>
          <w:tcPr>
            <w:tcW w:w="1180" w:type="dxa"/>
            <w:tcBorders>
              <w:top w:val="nil"/>
              <w:left w:val="nil"/>
              <w:bottom w:val="nil"/>
              <w:right w:val="nil"/>
            </w:tcBorders>
            <w:shd w:val="clear" w:color="auto" w:fill="auto"/>
            <w:noWrap/>
            <w:vAlign w:val="center"/>
            <w:hideMark/>
          </w:tcPr>
          <w:p w14:paraId="2B13614F" w14:textId="77777777" w:rsidR="0097090C" w:rsidRPr="005D5898" w:rsidRDefault="0097090C" w:rsidP="0097090C">
            <w:pPr>
              <w:rPr>
                <w:sz w:val="18"/>
                <w:szCs w:val="18"/>
              </w:rPr>
            </w:pPr>
          </w:p>
        </w:tc>
        <w:tc>
          <w:tcPr>
            <w:tcW w:w="1180" w:type="dxa"/>
            <w:tcBorders>
              <w:top w:val="nil"/>
              <w:left w:val="nil"/>
              <w:bottom w:val="nil"/>
              <w:right w:val="nil"/>
            </w:tcBorders>
            <w:shd w:val="clear" w:color="000000" w:fill="D9D9D9"/>
            <w:noWrap/>
            <w:vAlign w:val="center"/>
            <w:hideMark/>
          </w:tcPr>
          <w:p w14:paraId="2188D710" w14:textId="77777777" w:rsidR="0097090C" w:rsidRPr="005D5898" w:rsidRDefault="0097090C" w:rsidP="0097090C">
            <w:pPr>
              <w:rPr>
                <w:sz w:val="18"/>
                <w:szCs w:val="18"/>
              </w:rPr>
            </w:pPr>
            <w:r w:rsidRPr="005D5898">
              <w:rPr>
                <w:sz w:val="18"/>
                <w:szCs w:val="18"/>
              </w:rPr>
              <w:t>127,538</w:t>
            </w:r>
          </w:p>
        </w:tc>
        <w:tc>
          <w:tcPr>
            <w:tcW w:w="1180" w:type="dxa"/>
            <w:tcBorders>
              <w:top w:val="nil"/>
              <w:left w:val="nil"/>
              <w:bottom w:val="nil"/>
              <w:right w:val="nil"/>
            </w:tcBorders>
            <w:shd w:val="clear" w:color="auto" w:fill="auto"/>
            <w:noWrap/>
            <w:vAlign w:val="center"/>
            <w:hideMark/>
          </w:tcPr>
          <w:p w14:paraId="19AF3F9B" w14:textId="77777777" w:rsidR="0097090C" w:rsidRPr="005D5898" w:rsidRDefault="0097090C" w:rsidP="0097090C">
            <w:pPr>
              <w:rPr>
                <w:sz w:val="18"/>
                <w:szCs w:val="18"/>
              </w:rPr>
            </w:pPr>
            <w:r w:rsidRPr="005D5898">
              <w:rPr>
                <w:sz w:val="18"/>
                <w:szCs w:val="18"/>
              </w:rPr>
              <w:t>375,432</w:t>
            </w:r>
          </w:p>
        </w:tc>
      </w:tr>
      <w:tr w:rsidR="0097090C" w:rsidRPr="005D5898" w14:paraId="6191D6D3" w14:textId="77777777" w:rsidTr="0097090C">
        <w:trPr>
          <w:trHeight w:val="285"/>
        </w:trPr>
        <w:tc>
          <w:tcPr>
            <w:tcW w:w="3720" w:type="dxa"/>
            <w:tcBorders>
              <w:top w:val="single" w:sz="4" w:space="0" w:color="auto"/>
              <w:left w:val="nil"/>
              <w:bottom w:val="single" w:sz="4" w:space="0" w:color="auto"/>
              <w:right w:val="nil"/>
            </w:tcBorders>
            <w:shd w:val="clear" w:color="auto" w:fill="auto"/>
            <w:vAlign w:val="center"/>
            <w:hideMark/>
          </w:tcPr>
          <w:p w14:paraId="5ABDB277" w14:textId="77777777" w:rsidR="0097090C" w:rsidRPr="005D5898" w:rsidRDefault="0097090C" w:rsidP="0097090C">
            <w:pPr>
              <w:rPr>
                <w:b/>
                <w:bCs/>
                <w:sz w:val="18"/>
                <w:szCs w:val="18"/>
              </w:rPr>
            </w:pPr>
            <w:r w:rsidRPr="005D5898">
              <w:rPr>
                <w:b/>
                <w:bCs/>
                <w:sz w:val="18"/>
                <w:szCs w:val="18"/>
              </w:rPr>
              <w:t>Total Collections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3A745FAA" w14:textId="77777777" w:rsidR="0097090C" w:rsidRPr="005D5898" w:rsidRDefault="0097090C" w:rsidP="0097090C">
            <w:pPr>
              <w:rPr>
                <w:b/>
                <w:bCs/>
                <w:sz w:val="18"/>
                <w:szCs w:val="18"/>
              </w:rPr>
            </w:pPr>
            <w:r w:rsidRPr="005D5898">
              <w:rPr>
                <w:b/>
                <w:bCs/>
                <w:sz w:val="18"/>
                <w:szCs w:val="18"/>
              </w:rPr>
              <w:t>714,340</w:t>
            </w:r>
          </w:p>
        </w:tc>
        <w:tc>
          <w:tcPr>
            <w:tcW w:w="1140" w:type="dxa"/>
            <w:tcBorders>
              <w:top w:val="single" w:sz="4" w:space="0" w:color="auto"/>
              <w:left w:val="nil"/>
              <w:bottom w:val="single" w:sz="4" w:space="0" w:color="auto"/>
              <w:right w:val="nil"/>
            </w:tcBorders>
            <w:shd w:val="clear" w:color="auto" w:fill="auto"/>
            <w:noWrap/>
            <w:vAlign w:val="center"/>
            <w:hideMark/>
          </w:tcPr>
          <w:p w14:paraId="1D86CDD5" w14:textId="77777777" w:rsidR="0097090C" w:rsidRPr="005D5898" w:rsidRDefault="0097090C" w:rsidP="0097090C">
            <w:pPr>
              <w:rPr>
                <w:b/>
                <w:bCs/>
                <w:sz w:val="18"/>
                <w:szCs w:val="18"/>
              </w:rPr>
            </w:pPr>
            <w:r w:rsidRPr="005D5898">
              <w:rPr>
                <w:b/>
                <w:bCs/>
                <w:sz w:val="18"/>
                <w:szCs w:val="18"/>
              </w:rPr>
              <w:t>0</w:t>
            </w:r>
          </w:p>
        </w:tc>
        <w:tc>
          <w:tcPr>
            <w:tcW w:w="1140" w:type="dxa"/>
            <w:tcBorders>
              <w:top w:val="single" w:sz="4" w:space="0" w:color="auto"/>
              <w:left w:val="nil"/>
              <w:bottom w:val="single" w:sz="4" w:space="0" w:color="auto"/>
              <w:right w:val="nil"/>
            </w:tcBorders>
            <w:shd w:val="clear" w:color="000000" w:fill="D9D9D9"/>
            <w:noWrap/>
            <w:vAlign w:val="center"/>
            <w:hideMark/>
          </w:tcPr>
          <w:p w14:paraId="57932C62" w14:textId="77777777" w:rsidR="0097090C" w:rsidRPr="005D5898" w:rsidRDefault="0097090C" w:rsidP="0097090C">
            <w:pPr>
              <w:rPr>
                <w:b/>
                <w:bCs/>
                <w:sz w:val="18"/>
                <w:szCs w:val="18"/>
              </w:rPr>
            </w:pPr>
            <w:r w:rsidRPr="005D5898">
              <w:rPr>
                <w:b/>
                <w:bCs/>
                <w:sz w:val="18"/>
                <w:szCs w:val="18"/>
              </w:rPr>
              <w:t>8,410</w:t>
            </w:r>
          </w:p>
        </w:tc>
        <w:tc>
          <w:tcPr>
            <w:tcW w:w="1140" w:type="dxa"/>
            <w:tcBorders>
              <w:top w:val="single" w:sz="4" w:space="0" w:color="auto"/>
              <w:left w:val="nil"/>
              <w:bottom w:val="single" w:sz="4" w:space="0" w:color="auto"/>
              <w:right w:val="nil"/>
            </w:tcBorders>
            <w:shd w:val="clear" w:color="auto" w:fill="auto"/>
            <w:noWrap/>
            <w:vAlign w:val="center"/>
            <w:hideMark/>
          </w:tcPr>
          <w:p w14:paraId="441A9ACC" w14:textId="77777777" w:rsidR="0097090C" w:rsidRPr="005D5898" w:rsidRDefault="0097090C" w:rsidP="0097090C">
            <w:pPr>
              <w:rPr>
                <w:b/>
                <w:bCs/>
                <w:sz w:val="18"/>
                <w:szCs w:val="18"/>
              </w:rPr>
            </w:pPr>
            <w:r w:rsidRPr="005D5898">
              <w:rPr>
                <w:b/>
                <w:bCs/>
                <w:sz w:val="18"/>
                <w:szCs w:val="18"/>
              </w:rPr>
              <w:t>705,930</w:t>
            </w:r>
          </w:p>
        </w:tc>
        <w:tc>
          <w:tcPr>
            <w:tcW w:w="1440" w:type="dxa"/>
            <w:tcBorders>
              <w:top w:val="single" w:sz="4" w:space="0" w:color="auto"/>
              <w:left w:val="nil"/>
              <w:bottom w:val="single" w:sz="4" w:space="0" w:color="auto"/>
              <w:right w:val="nil"/>
            </w:tcBorders>
            <w:shd w:val="clear" w:color="000000" w:fill="D9D9D9"/>
            <w:noWrap/>
            <w:vAlign w:val="center"/>
            <w:hideMark/>
          </w:tcPr>
          <w:p w14:paraId="4BB14CDD" w14:textId="77777777" w:rsidR="0097090C" w:rsidRPr="005D5898" w:rsidRDefault="0097090C" w:rsidP="0097090C">
            <w:pPr>
              <w:rPr>
                <w:b/>
                <w:bCs/>
                <w:sz w:val="18"/>
                <w:szCs w:val="18"/>
              </w:rPr>
            </w:pPr>
            <w:r w:rsidRPr="005D5898">
              <w:rPr>
                <w:b/>
                <w:bCs/>
                <w:sz w:val="18"/>
                <w:szCs w:val="18"/>
              </w:rPr>
              <w:t>502,970</w:t>
            </w:r>
          </w:p>
        </w:tc>
        <w:tc>
          <w:tcPr>
            <w:tcW w:w="1180" w:type="dxa"/>
            <w:tcBorders>
              <w:top w:val="single" w:sz="4" w:space="0" w:color="auto"/>
              <w:left w:val="nil"/>
              <w:bottom w:val="single" w:sz="4" w:space="0" w:color="auto"/>
              <w:right w:val="nil"/>
            </w:tcBorders>
            <w:shd w:val="clear" w:color="auto" w:fill="auto"/>
            <w:noWrap/>
            <w:vAlign w:val="center"/>
            <w:hideMark/>
          </w:tcPr>
          <w:p w14:paraId="6BDEA26F" w14:textId="77777777" w:rsidR="0097090C" w:rsidRPr="005D5898" w:rsidRDefault="0097090C" w:rsidP="0097090C">
            <w:pPr>
              <w:rPr>
                <w:b/>
                <w:bCs/>
                <w:sz w:val="18"/>
                <w:szCs w:val="18"/>
              </w:rPr>
            </w:pPr>
            <w:r w:rsidRPr="005D5898">
              <w:rPr>
                <w:b/>
                <w:bCs/>
                <w:sz w:val="18"/>
                <w:szCs w:val="18"/>
              </w:rPr>
              <w:t>0</w:t>
            </w:r>
          </w:p>
        </w:tc>
        <w:tc>
          <w:tcPr>
            <w:tcW w:w="1180" w:type="dxa"/>
            <w:tcBorders>
              <w:top w:val="single" w:sz="4" w:space="0" w:color="auto"/>
              <w:left w:val="nil"/>
              <w:bottom w:val="single" w:sz="4" w:space="0" w:color="auto"/>
              <w:right w:val="nil"/>
            </w:tcBorders>
            <w:shd w:val="clear" w:color="000000" w:fill="D9D9D9"/>
            <w:noWrap/>
            <w:vAlign w:val="center"/>
            <w:hideMark/>
          </w:tcPr>
          <w:p w14:paraId="570A6898" w14:textId="77777777" w:rsidR="0097090C" w:rsidRPr="005D5898" w:rsidRDefault="0097090C" w:rsidP="0097090C">
            <w:pPr>
              <w:rPr>
                <w:b/>
                <w:bCs/>
                <w:sz w:val="18"/>
                <w:szCs w:val="18"/>
              </w:rPr>
            </w:pPr>
            <w:r w:rsidRPr="005D5898">
              <w:rPr>
                <w:b/>
                <w:bCs/>
                <w:sz w:val="18"/>
                <w:szCs w:val="18"/>
              </w:rPr>
              <w:t>127,538</w:t>
            </w:r>
          </w:p>
        </w:tc>
        <w:tc>
          <w:tcPr>
            <w:tcW w:w="1180" w:type="dxa"/>
            <w:tcBorders>
              <w:top w:val="single" w:sz="4" w:space="0" w:color="auto"/>
              <w:left w:val="nil"/>
              <w:bottom w:val="single" w:sz="4" w:space="0" w:color="auto"/>
              <w:right w:val="nil"/>
            </w:tcBorders>
            <w:shd w:val="clear" w:color="auto" w:fill="auto"/>
            <w:noWrap/>
            <w:vAlign w:val="center"/>
            <w:hideMark/>
          </w:tcPr>
          <w:p w14:paraId="455B7B31" w14:textId="77777777" w:rsidR="0097090C" w:rsidRPr="005D5898" w:rsidRDefault="0097090C" w:rsidP="0097090C">
            <w:pPr>
              <w:rPr>
                <w:b/>
                <w:bCs/>
                <w:sz w:val="18"/>
                <w:szCs w:val="18"/>
              </w:rPr>
            </w:pPr>
            <w:r w:rsidRPr="005D5898">
              <w:rPr>
                <w:b/>
                <w:bCs/>
                <w:sz w:val="18"/>
                <w:szCs w:val="18"/>
              </w:rPr>
              <w:t>375,432</w:t>
            </w:r>
          </w:p>
        </w:tc>
      </w:tr>
      <w:tr w:rsidR="0097090C" w:rsidRPr="005D5898" w14:paraId="67CD8E4C" w14:textId="77777777" w:rsidTr="0097090C">
        <w:trPr>
          <w:trHeight w:val="255"/>
        </w:trPr>
        <w:tc>
          <w:tcPr>
            <w:tcW w:w="3720" w:type="dxa"/>
            <w:tcBorders>
              <w:top w:val="nil"/>
              <w:left w:val="nil"/>
              <w:bottom w:val="nil"/>
              <w:right w:val="nil"/>
            </w:tcBorders>
            <w:shd w:val="clear" w:color="auto" w:fill="auto"/>
            <w:vAlign w:val="center"/>
            <w:hideMark/>
          </w:tcPr>
          <w:p w14:paraId="32EB3631" w14:textId="77777777" w:rsidR="0097090C" w:rsidRPr="005D5898" w:rsidRDefault="0097090C" w:rsidP="0097090C">
            <w:pPr>
              <w:rPr>
                <w:sz w:val="18"/>
                <w:szCs w:val="18"/>
              </w:rPr>
            </w:pPr>
            <w:r w:rsidRPr="005D5898">
              <w:rPr>
                <w:sz w:val="18"/>
                <w:szCs w:val="18"/>
              </w:rPr>
              <w:t xml:space="preserve">   Non</w:t>
            </w:r>
            <w:r w:rsidRPr="005D5898">
              <w:rPr>
                <w:sz w:val="18"/>
                <w:szCs w:val="18"/>
              </w:rPr>
              <w:noBreakHyphen/>
              <w:t xml:space="preserve">specialised land </w:t>
            </w:r>
          </w:p>
        </w:tc>
        <w:tc>
          <w:tcPr>
            <w:tcW w:w="1460" w:type="dxa"/>
            <w:tcBorders>
              <w:top w:val="nil"/>
              <w:left w:val="nil"/>
              <w:bottom w:val="nil"/>
              <w:right w:val="nil"/>
            </w:tcBorders>
            <w:shd w:val="clear" w:color="000000" w:fill="D9D9D9"/>
            <w:noWrap/>
            <w:vAlign w:val="center"/>
            <w:hideMark/>
          </w:tcPr>
          <w:p w14:paraId="048AD1F7" w14:textId="77777777" w:rsidR="0097090C" w:rsidRPr="005D5898" w:rsidRDefault="0097090C" w:rsidP="0097090C">
            <w:pPr>
              <w:rPr>
                <w:sz w:val="18"/>
                <w:szCs w:val="18"/>
              </w:rPr>
            </w:pPr>
            <w:r w:rsidRPr="005D5898">
              <w:rPr>
                <w:sz w:val="18"/>
                <w:szCs w:val="18"/>
              </w:rPr>
              <w:t>23,000</w:t>
            </w:r>
          </w:p>
        </w:tc>
        <w:tc>
          <w:tcPr>
            <w:tcW w:w="1140" w:type="dxa"/>
            <w:tcBorders>
              <w:top w:val="nil"/>
              <w:left w:val="nil"/>
              <w:bottom w:val="nil"/>
              <w:right w:val="nil"/>
            </w:tcBorders>
            <w:shd w:val="clear" w:color="auto" w:fill="auto"/>
            <w:noWrap/>
            <w:vAlign w:val="center"/>
            <w:hideMark/>
          </w:tcPr>
          <w:p w14:paraId="5CA5B43D"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000000" w:fill="D9D9D9"/>
            <w:noWrap/>
            <w:vAlign w:val="center"/>
            <w:hideMark/>
          </w:tcPr>
          <w:p w14:paraId="5C007B40" w14:textId="77777777" w:rsidR="0097090C" w:rsidRPr="005D5898" w:rsidRDefault="0097090C" w:rsidP="0097090C">
            <w:pPr>
              <w:rPr>
                <w:sz w:val="18"/>
                <w:szCs w:val="18"/>
              </w:rPr>
            </w:pPr>
            <w:r w:rsidRPr="005D5898">
              <w:rPr>
                <w:sz w:val="18"/>
                <w:szCs w:val="18"/>
              </w:rPr>
              <w:t>23,000</w:t>
            </w:r>
          </w:p>
        </w:tc>
        <w:tc>
          <w:tcPr>
            <w:tcW w:w="1140" w:type="dxa"/>
            <w:tcBorders>
              <w:top w:val="nil"/>
              <w:left w:val="nil"/>
              <w:bottom w:val="nil"/>
              <w:right w:val="nil"/>
            </w:tcBorders>
            <w:shd w:val="clear" w:color="auto" w:fill="auto"/>
            <w:noWrap/>
            <w:vAlign w:val="center"/>
            <w:hideMark/>
          </w:tcPr>
          <w:p w14:paraId="19852017" w14:textId="77777777" w:rsidR="0097090C" w:rsidRPr="005D5898" w:rsidRDefault="0097090C" w:rsidP="0097090C">
            <w:pPr>
              <w:rPr>
                <w:sz w:val="18"/>
                <w:szCs w:val="18"/>
              </w:rPr>
            </w:pPr>
            <w:r w:rsidRPr="005D5898">
              <w:rPr>
                <w:sz w:val="18"/>
                <w:szCs w:val="18"/>
              </w:rPr>
              <w:t>0</w:t>
            </w:r>
          </w:p>
        </w:tc>
        <w:tc>
          <w:tcPr>
            <w:tcW w:w="1440" w:type="dxa"/>
            <w:tcBorders>
              <w:top w:val="nil"/>
              <w:left w:val="nil"/>
              <w:bottom w:val="nil"/>
              <w:right w:val="nil"/>
            </w:tcBorders>
            <w:shd w:val="clear" w:color="000000" w:fill="D9D9D9"/>
            <w:noWrap/>
            <w:vAlign w:val="center"/>
            <w:hideMark/>
          </w:tcPr>
          <w:p w14:paraId="232CE408" w14:textId="77777777" w:rsidR="0097090C" w:rsidRPr="005D5898" w:rsidRDefault="0097090C" w:rsidP="0097090C">
            <w:pPr>
              <w:rPr>
                <w:sz w:val="18"/>
                <w:szCs w:val="18"/>
              </w:rPr>
            </w:pPr>
            <w:r w:rsidRPr="005D5898">
              <w:rPr>
                <w:sz w:val="18"/>
                <w:szCs w:val="18"/>
              </w:rPr>
              <w:t>10,283</w:t>
            </w:r>
          </w:p>
        </w:tc>
        <w:tc>
          <w:tcPr>
            <w:tcW w:w="1180" w:type="dxa"/>
            <w:tcBorders>
              <w:top w:val="nil"/>
              <w:left w:val="nil"/>
              <w:bottom w:val="nil"/>
              <w:right w:val="nil"/>
            </w:tcBorders>
            <w:shd w:val="clear" w:color="auto" w:fill="auto"/>
            <w:noWrap/>
            <w:vAlign w:val="center"/>
            <w:hideMark/>
          </w:tcPr>
          <w:p w14:paraId="0C34B9F0"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000000" w:fill="D9D9D9"/>
            <w:noWrap/>
            <w:vAlign w:val="center"/>
            <w:hideMark/>
          </w:tcPr>
          <w:p w14:paraId="5DCDD40C" w14:textId="77777777" w:rsidR="0097090C" w:rsidRPr="005D5898" w:rsidRDefault="0097090C" w:rsidP="0097090C">
            <w:pPr>
              <w:rPr>
                <w:sz w:val="18"/>
                <w:szCs w:val="18"/>
              </w:rPr>
            </w:pPr>
            <w:r w:rsidRPr="005D5898">
              <w:rPr>
                <w:sz w:val="18"/>
                <w:szCs w:val="18"/>
              </w:rPr>
              <w:t>10,283</w:t>
            </w:r>
          </w:p>
        </w:tc>
        <w:tc>
          <w:tcPr>
            <w:tcW w:w="1180" w:type="dxa"/>
            <w:tcBorders>
              <w:top w:val="nil"/>
              <w:left w:val="nil"/>
              <w:bottom w:val="nil"/>
              <w:right w:val="nil"/>
            </w:tcBorders>
            <w:shd w:val="clear" w:color="auto" w:fill="auto"/>
            <w:noWrap/>
            <w:vAlign w:val="center"/>
            <w:hideMark/>
          </w:tcPr>
          <w:p w14:paraId="3C4CC27A" w14:textId="77777777" w:rsidR="0097090C" w:rsidRPr="005D5898" w:rsidRDefault="0097090C" w:rsidP="0097090C">
            <w:pPr>
              <w:rPr>
                <w:sz w:val="18"/>
                <w:szCs w:val="18"/>
              </w:rPr>
            </w:pPr>
            <w:r w:rsidRPr="005D5898">
              <w:rPr>
                <w:sz w:val="18"/>
                <w:szCs w:val="18"/>
              </w:rPr>
              <w:t>0</w:t>
            </w:r>
          </w:p>
        </w:tc>
      </w:tr>
      <w:tr w:rsidR="0097090C" w:rsidRPr="005D5898" w14:paraId="4E6FF084" w14:textId="77777777" w:rsidTr="0097090C">
        <w:trPr>
          <w:trHeight w:val="255"/>
        </w:trPr>
        <w:tc>
          <w:tcPr>
            <w:tcW w:w="3720" w:type="dxa"/>
            <w:tcBorders>
              <w:top w:val="nil"/>
              <w:left w:val="nil"/>
              <w:bottom w:val="nil"/>
              <w:right w:val="nil"/>
            </w:tcBorders>
            <w:shd w:val="clear" w:color="auto" w:fill="auto"/>
            <w:vAlign w:val="center"/>
            <w:hideMark/>
          </w:tcPr>
          <w:p w14:paraId="53D8DA7E" w14:textId="77777777" w:rsidR="0097090C" w:rsidRPr="005D5898" w:rsidRDefault="0097090C" w:rsidP="0097090C">
            <w:pPr>
              <w:rPr>
                <w:sz w:val="18"/>
                <w:szCs w:val="18"/>
              </w:rPr>
            </w:pPr>
            <w:r w:rsidRPr="005D5898">
              <w:rPr>
                <w:sz w:val="18"/>
                <w:szCs w:val="18"/>
              </w:rPr>
              <w:t xml:space="preserve">   Specialised land</w:t>
            </w:r>
          </w:p>
        </w:tc>
        <w:tc>
          <w:tcPr>
            <w:tcW w:w="1460" w:type="dxa"/>
            <w:tcBorders>
              <w:top w:val="nil"/>
              <w:left w:val="nil"/>
              <w:bottom w:val="nil"/>
              <w:right w:val="nil"/>
            </w:tcBorders>
            <w:shd w:val="clear" w:color="000000" w:fill="D9D9D9"/>
            <w:noWrap/>
            <w:vAlign w:val="center"/>
            <w:hideMark/>
          </w:tcPr>
          <w:p w14:paraId="4142E84B" w14:textId="77777777" w:rsidR="0097090C" w:rsidRPr="005D5898" w:rsidRDefault="0097090C" w:rsidP="0097090C">
            <w:pPr>
              <w:rPr>
                <w:sz w:val="18"/>
                <w:szCs w:val="18"/>
              </w:rPr>
            </w:pPr>
            <w:r w:rsidRPr="005D5898">
              <w:rPr>
                <w:sz w:val="18"/>
                <w:szCs w:val="18"/>
              </w:rPr>
              <w:t>363,359</w:t>
            </w:r>
          </w:p>
        </w:tc>
        <w:tc>
          <w:tcPr>
            <w:tcW w:w="1140" w:type="dxa"/>
            <w:tcBorders>
              <w:top w:val="nil"/>
              <w:left w:val="nil"/>
              <w:bottom w:val="nil"/>
              <w:right w:val="nil"/>
            </w:tcBorders>
            <w:shd w:val="clear" w:color="auto" w:fill="auto"/>
            <w:noWrap/>
            <w:vAlign w:val="center"/>
            <w:hideMark/>
          </w:tcPr>
          <w:p w14:paraId="3ED65AE4"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000000" w:fill="D9D9D9"/>
            <w:noWrap/>
            <w:vAlign w:val="center"/>
            <w:hideMark/>
          </w:tcPr>
          <w:p w14:paraId="4069A7E8"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auto" w:fill="auto"/>
            <w:noWrap/>
            <w:vAlign w:val="center"/>
            <w:hideMark/>
          </w:tcPr>
          <w:p w14:paraId="305B4945" w14:textId="77777777" w:rsidR="0097090C" w:rsidRPr="005D5898" w:rsidRDefault="0097090C" w:rsidP="0097090C">
            <w:pPr>
              <w:rPr>
                <w:sz w:val="18"/>
                <w:szCs w:val="18"/>
              </w:rPr>
            </w:pPr>
            <w:r w:rsidRPr="005D5898">
              <w:rPr>
                <w:sz w:val="18"/>
                <w:szCs w:val="18"/>
              </w:rPr>
              <w:t>363,359</w:t>
            </w:r>
          </w:p>
        </w:tc>
        <w:tc>
          <w:tcPr>
            <w:tcW w:w="1440" w:type="dxa"/>
            <w:tcBorders>
              <w:top w:val="nil"/>
              <w:left w:val="nil"/>
              <w:bottom w:val="nil"/>
              <w:right w:val="nil"/>
            </w:tcBorders>
            <w:shd w:val="clear" w:color="000000" w:fill="D9D9D9"/>
            <w:noWrap/>
            <w:vAlign w:val="center"/>
            <w:hideMark/>
          </w:tcPr>
          <w:p w14:paraId="3916BBAD" w14:textId="77777777" w:rsidR="0097090C" w:rsidRPr="005D5898" w:rsidRDefault="0097090C" w:rsidP="0097090C">
            <w:pPr>
              <w:rPr>
                <w:sz w:val="18"/>
                <w:szCs w:val="18"/>
              </w:rPr>
            </w:pPr>
            <w:r w:rsidRPr="005D5898">
              <w:rPr>
                <w:sz w:val="18"/>
                <w:szCs w:val="18"/>
              </w:rPr>
              <w:t>143,699</w:t>
            </w:r>
          </w:p>
        </w:tc>
        <w:tc>
          <w:tcPr>
            <w:tcW w:w="1180" w:type="dxa"/>
            <w:tcBorders>
              <w:top w:val="nil"/>
              <w:left w:val="nil"/>
              <w:bottom w:val="nil"/>
              <w:right w:val="nil"/>
            </w:tcBorders>
            <w:shd w:val="clear" w:color="auto" w:fill="auto"/>
            <w:noWrap/>
            <w:vAlign w:val="center"/>
            <w:hideMark/>
          </w:tcPr>
          <w:p w14:paraId="382AACFF"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000000" w:fill="D9D9D9"/>
            <w:noWrap/>
            <w:vAlign w:val="center"/>
            <w:hideMark/>
          </w:tcPr>
          <w:p w14:paraId="583B819C"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auto" w:fill="auto"/>
            <w:noWrap/>
            <w:vAlign w:val="center"/>
            <w:hideMark/>
          </w:tcPr>
          <w:p w14:paraId="7DE828BE" w14:textId="77777777" w:rsidR="0097090C" w:rsidRPr="005D5898" w:rsidRDefault="0097090C" w:rsidP="0097090C">
            <w:pPr>
              <w:rPr>
                <w:sz w:val="18"/>
                <w:szCs w:val="18"/>
              </w:rPr>
            </w:pPr>
            <w:r w:rsidRPr="005D5898">
              <w:rPr>
                <w:sz w:val="18"/>
                <w:szCs w:val="18"/>
              </w:rPr>
              <w:t>143,699</w:t>
            </w:r>
          </w:p>
        </w:tc>
      </w:tr>
      <w:tr w:rsidR="0097090C" w:rsidRPr="005D5898" w14:paraId="52B9BB25" w14:textId="77777777" w:rsidTr="0097090C">
        <w:trPr>
          <w:trHeight w:val="285"/>
        </w:trPr>
        <w:tc>
          <w:tcPr>
            <w:tcW w:w="3720" w:type="dxa"/>
            <w:tcBorders>
              <w:top w:val="single" w:sz="4" w:space="0" w:color="auto"/>
              <w:left w:val="nil"/>
              <w:bottom w:val="single" w:sz="4" w:space="0" w:color="auto"/>
              <w:right w:val="nil"/>
            </w:tcBorders>
            <w:shd w:val="clear" w:color="auto" w:fill="auto"/>
            <w:vAlign w:val="center"/>
            <w:hideMark/>
          </w:tcPr>
          <w:p w14:paraId="376ADC95" w14:textId="77777777" w:rsidR="0097090C" w:rsidRPr="005D5898" w:rsidRDefault="0097090C" w:rsidP="0097090C">
            <w:pPr>
              <w:rPr>
                <w:b/>
                <w:bCs/>
                <w:sz w:val="18"/>
                <w:szCs w:val="18"/>
              </w:rPr>
            </w:pPr>
            <w:r w:rsidRPr="005D5898">
              <w:rPr>
                <w:b/>
                <w:bCs/>
                <w:sz w:val="18"/>
                <w:szCs w:val="18"/>
              </w:rPr>
              <w:t>Total Land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199D17CC" w14:textId="77777777" w:rsidR="0097090C" w:rsidRPr="005D5898" w:rsidRDefault="0097090C" w:rsidP="0097090C">
            <w:pPr>
              <w:rPr>
                <w:b/>
                <w:bCs/>
                <w:sz w:val="18"/>
                <w:szCs w:val="18"/>
              </w:rPr>
            </w:pPr>
            <w:r w:rsidRPr="005D5898">
              <w:rPr>
                <w:b/>
                <w:bCs/>
                <w:sz w:val="18"/>
                <w:szCs w:val="18"/>
              </w:rPr>
              <w:t>386,359</w:t>
            </w:r>
          </w:p>
        </w:tc>
        <w:tc>
          <w:tcPr>
            <w:tcW w:w="1140" w:type="dxa"/>
            <w:tcBorders>
              <w:top w:val="single" w:sz="4" w:space="0" w:color="auto"/>
              <w:left w:val="nil"/>
              <w:bottom w:val="single" w:sz="4" w:space="0" w:color="auto"/>
              <w:right w:val="nil"/>
            </w:tcBorders>
            <w:shd w:val="clear" w:color="auto" w:fill="auto"/>
            <w:noWrap/>
            <w:vAlign w:val="center"/>
            <w:hideMark/>
          </w:tcPr>
          <w:p w14:paraId="3AA6B484" w14:textId="77777777" w:rsidR="0097090C" w:rsidRPr="005D5898" w:rsidRDefault="0097090C" w:rsidP="0097090C">
            <w:pPr>
              <w:rPr>
                <w:b/>
                <w:bCs/>
                <w:sz w:val="18"/>
                <w:szCs w:val="18"/>
              </w:rPr>
            </w:pPr>
            <w:r w:rsidRPr="005D5898">
              <w:rPr>
                <w:b/>
                <w:bCs/>
                <w:sz w:val="18"/>
                <w:szCs w:val="18"/>
              </w:rPr>
              <w:t>0</w:t>
            </w:r>
          </w:p>
        </w:tc>
        <w:tc>
          <w:tcPr>
            <w:tcW w:w="1140" w:type="dxa"/>
            <w:tcBorders>
              <w:top w:val="single" w:sz="4" w:space="0" w:color="auto"/>
              <w:left w:val="nil"/>
              <w:bottom w:val="single" w:sz="4" w:space="0" w:color="auto"/>
              <w:right w:val="nil"/>
            </w:tcBorders>
            <w:shd w:val="clear" w:color="000000" w:fill="D9D9D9"/>
            <w:noWrap/>
            <w:vAlign w:val="center"/>
            <w:hideMark/>
          </w:tcPr>
          <w:p w14:paraId="286809C4" w14:textId="77777777" w:rsidR="0097090C" w:rsidRPr="005D5898" w:rsidRDefault="0097090C" w:rsidP="0097090C">
            <w:pPr>
              <w:rPr>
                <w:b/>
                <w:bCs/>
                <w:sz w:val="18"/>
                <w:szCs w:val="18"/>
              </w:rPr>
            </w:pPr>
            <w:r w:rsidRPr="005D5898">
              <w:rPr>
                <w:b/>
                <w:bCs/>
                <w:sz w:val="18"/>
                <w:szCs w:val="18"/>
              </w:rPr>
              <w:t>23,000</w:t>
            </w:r>
          </w:p>
        </w:tc>
        <w:tc>
          <w:tcPr>
            <w:tcW w:w="1140" w:type="dxa"/>
            <w:tcBorders>
              <w:top w:val="single" w:sz="4" w:space="0" w:color="auto"/>
              <w:left w:val="nil"/>
              <w:bottom w:val="single" w:sz="4" w:space="0" w:color="auto"/>
              <w:right w:val="nil"/>
            </w:tcBorders>
            <w:shd w:val="clear" w:color="auto" w:fill="auto"/>
            <w:noWrap/>
            <w:vAlign w:val="center"/>
            <w:hideMark/>
          </w:tcPr>
          <w:p w14:paraId="3A4B6790" w14:textId="77777777" w:rsidR="0097090C" w:rsidRPr="005D5898" w:rsidRDefault="0097090C" w:rsidP="0097090C">
            <w:pPr>
              <w:rPr>
                <w:b/>
                <w:bCs/>
                <w:sz w:val="18"/>
                <w:szCs w:val="18"/>
              </w:rPr>
            </w:pPr>
            <w:r w:rsidRPr="005D5898">
              <w:rPr>
                <w:b/>
                <w:bCs/>
                <w:sz w:val="18"/>
                <w:szCs w:val="18"/>
              </w:rPr>
              <w:t>363,359</w:t>
            </w:r>
          </w:p>
        </w:tc>
        <w:tc>
          <w:tcPr>
            <w:tcW w:w="1440" w:type="dxa"/>
            <w:tcBorders>
              <w:top w:val="single" w:sz="4" w:space="0" w:color="auto"/>
              <w:left w:val="nil"/>
              <w:bottom w:val="single" w:sz="4" w:space="0" w:color="auto"/>
              <w:right w:val="nil"/>
            </w:tcBorders>
            <w:shd w:val="clear" w:color="000000" w:fill="D9D9D9"/>
            <w:noWrap/>
            <w:vAlign w:val="center"/>
            <w:hideMark/>
          </w:tcPr>
          <w:p w14:paraId="79D0E476" w14:textId="77777777" w:rsidR="0097090C" w:rsidRPr="005D5898" w:rsidRDefault="0097090C" w:rsidP="0097090C">
            <w:pPr>
              <w:rPr>
                <w:b/>
                <w:bCs/>
                <w:sz w:val="18"/>
                <w:szCs w:val="18"/>
              </w:rPr>
            </w:pPr>
            <w:r w:rsidRPr="005D5898">
              <w:rPr>
                <w:b/>
                <w:bCs/>
                <w:sz w:val="18"/>
                <w:szCs w:val="18"/>
              </w:rPr>
              <w:t>153,982</w:t>
            </w:r>
          </w:p>
        </w:tc>
        <w:tc>
          <w:tcPr>
            <w:tcW w:w="1180" w:type="dxa"/>
            <w:tcBorders>
              <w:top w:val="single" w:sz="4" w:space="0" w:color="auto"/>
              <w:left w:val="nil"/>
              <w:bottom w:val="single" w:sz="4" w:space="0" w:color="auto"/>
              <w:right w:val="nil"/>
            </w:tcBorders>
            <w:shd w:val="clear" w:color="auto" w:fill="auto"/>
            <w:noWrap/>
            <w:vAlign w:val="center"/>
            <w:hideMark/>
          </w:tcPr>
          <w:p w14:paraId="5DD98B4F" w14:textId="77777777" w:rsidR="0097090C" w:rsidRPr="005D5898" w:rsidRDefault="0097090C" w:rsidP="0097090C">
            <w:pPr>
              <w:rPr>
                <w:b/>
                <w:bCs/>
                <w:sz w:val="18"/>
                <w:szCs w:val="18"/>
              </w:rPr>
            </w:pPr>
            <w:r w:rsidRPr="005D5898">
              <w:rPr>
                <w:b/>
                <w:bCs/>
                <w:sz w:val="18"/>
                <w:szCs w:val="18"/>
              </w:rPr>
              <w:t>0</w:t>
            </w:r>
          </w:p>
        </w:tc>
        <w:tc>
          <w:tcPr>
            <w:tcW w:w="1180" w:type="dxa"/>
            <w:tcBorders>
              <w:top w:val="single" w:sz="4" w:space="0" w:color="auto"/>
              <w:left w:val="nil"/>
              <w:bottom w:val="single" w:sz="4" w:space="0" w:color="auto"/>
              <w:right w:val="nil"/>
            </w:tcBorders>
            <w:shd w:val="clear" w:color="000000" w:fill="D9D9D9"/>
            <w:noWrap/>
            <w:vAlign w:val="center"/>
            <w:hideMark/>
          </w:tcPr>
          <w:p w14:paraId="7DC24D0E" w14:textId="77777777" w:rsidR="0097090C" w:rsidRPr="005D5898" w:rsidRDefault="0097090C" w:rsidP="0097090C">
            <w:pPr>
              <w:rPr>
                <w:b/>
                <w:bCs/>
                <w:sz w:val="18"/>
                <w:szCs w:val="18"/>
              </w:rPr>
            </w:pPr>
            <w:r w:rsidRPr="005D5898">
              <w:rPr>
                <w:b/>
                <w:bCs/>
                <w:sz w:val="18"/>
                <w:szCs w:val="18"/>
              </w:rPr>
              <w:t>10,283</w:t>
            </w:r>
          </w:p>
        </w:tc>
        <w:tc>
          <w:tcPr>
            <w:tcW w:w="1180" w:type="dxa"/>
            <w:tcBorders>
              <w:top w:val="single" w:sz="4" w:space="0" w:color="auto"/>
              <w:left w:val="nil"/>
              <w:bottom w:val="single" w:sz="4" w:space="0" w:color="auto"/>
              <w:right w:val="nil"/>
            </w:tcBorders>
            <w:shd w:val="clear" w:color="auto" w:fill="auto"/>
            <w:noWrap/>
            <w:vAlign w:val="center"/>
            <w:hideMark/>
          </w:tcPr>
          <w:p w14:paraId="22131FDA" w14:textId="77777777" w:rsidR="0097090C" w:rsidRPr="005D5898" w:rsidRDefault="0097090C" w:rsidP="0097090C">
            <w:pPr>
              <w:rPr>
                <w:b/>
                <w:bCs/>
                <w:sz w:val="18"/>
                <w:szCs w:val="18"/>
              </w:rPr>
            </w:pPr>
            <w:r w:rsidRPr="005D5898">
              <w:rPr>
                <w:b/>
                <w:bCs/>
                <w:sz w:val="18"/>
                <w:szCs w:val="18"/>
              </w:rPr>
              <w:t>143,699</w:t>
            </w:r>
          </w:p>
        </w:tc>
      </w:tr>
      <w:tr w:rsidR="0097090C" w:rsidRPr="005D5898" w14:paraId="04DB64C1" w14:textId="77777777" w:rsidTr="0097090C">
        <w:trPr>
          <w:trHeight w:val="255"/>
        </w:trPr>
        <w:tc>
          <w:tcPr>
            <w:tcW w:w="3720" w:type="dxa"/>
            <w:tcBorders>
              <w:top w:val="nil"/>
              <w:left w:val="nil"/>
              <w:bottom w:val="nil"/>
              <w:right w:val="nil"/>
            </w:tcBorders>
            <w:shd w:val="clear" w:color="auto" w:fill="auto"/>
            <w:vAlign w:val="center"/>
            <w:hideMark/>
          </w:tcPr>
          <w:p w14:paraId="3A4D6930" w14:textId="77777777" w:rsidR="0097090C" w:rsidRPr="005D5898" w:rsidRDefault="0097090C" w:rsidP="0097090C">
            <w:pPr>
              <w:rPr>
                <w:sz w:val="18"/>
                <w:szCs w:val="18"/>
              </w:rPr>
            </w:pPr>
            <w:r w:rsidRPr="005D5898">
              <w:rPr>
                <w:sz w:val="18"/>
                <w:szCs w:val="18"/>
              </w:rPr>
              <w:t xml:space="preserve">   Buildings</w:t>
            </w:r>
          </w:p>
        </w:tc>
        <w:tc>
          <w:tcPr>
            <w:tcW w:w="1460" w:type="dxa"/>
            <w:tcBorders>
              <w:top w:val="nil"/>
              <w:left w:val="nil"/>
              <w:bottom w:val="nil"/>
              <w:right w:val="nil"/>
            </w:tcBorders>
            <w:shd w:val="clear" w:color="000000" w:fill="D9D9D9"/>
            <w:noWrap/>
            <w:vAlign w:val="center"/>
            <w:hideMark/>
          </w:tcPr>
          <w:p w14:paraId="46C91BBF" w14:textId="77777777" w:rsidR="0097090C" w:rsidRPr="005D5898" w:rsidRDefault="0097090C" w:rsidP="0097090C">
            <w:pPr>
              <w:rPr>
                <w:sz w:val="18"/>
                <w:szCs w:val="18"/>
              </w:rPr>
            </w:pPr>
            <w:r w:rsidRPr="005D5898">
              <w:rPr>
                <w:sz w:val="18"/>
                <w:szCs w:val="18"/>
              </w:rPr>
              <w:t>514,721</w:t>
            </w:r>
          </w:p>
        </w:tc>
        <w:tc>
          <w:tcPr>
            <w:tcW w:w="1140" w:type="dxa"/>
            <w:tcBorders>
              <w:top w:val="nil"/>
              <w:left w:val="nil"/>
              <w:bottom w:val="nil"/>
              <w:right w:val="nil"/>
            </w:tcBorders>
            <w:shd w:val="clear" w:color="auto" w:fill="auto"/>
            <w:noWrap/>
            <w:vAlign w:val="center"/>
            <w:hideMark/>
          </w:tcPr>
          <w:p w14:paraId="2C3A48E7"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000000" w:fill="D9D9D9"/>
            <w:noWrap/>
            <w:vAlign w:val="center"/>
            <w:hideMark/>
          </w:tcPr>
          <w:p w14:paraId="530B8994"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auto" w:fill="auto"/>
            <w:noWrap/>
            <w:vAlign w:val="center"/>
            <w:hideMark/>
          </w:tcPr>
          <w:p w14:paraId="7CA9CD6D" w14:textId="77777777" w:rsidR="0097090C" w:rsidRPr="005D5898" w:rsidRDefault="0097090C" w:rsidP="0097090C">
            <w:pPr>
              <w:rPr>
                <w:sz w:val="18"/>
                <w:szCs w:val="18"/>
              </w:rPr>
            </w:pPr>
            <w:r w:rsidRPr="005D5898">
              <w:rPr>
                <w:sz w:val="18"/>
                <w:szCs w:val="18"/>
              </w:rPr>
              <w:t>514,721</w:t>
            </w:r>
          </w:p>
        </w:tc>
        <w:tc>
          <w:tcPr>
            <w:tcW w:w="1440" w:type="dxa"/>
            <w:tcBorders>
              <w:top w:val="nil"/>
              <w:left w:val="nil"/>
              <w:bottom w:val="nil"/>
              <w:right w:val="nil"/>
            </w:tcBorders>
            <w:shd w:val="clear" w:color="000000" w:fill="D9D9D9"/>
            <w:noWrap/>
            <w:vAlign w:val="center"/>
            <w:hideMark/>
          </w:tcPr>
          <w:p w14:paraId="193AC690" w14:textId="77777777" w:rsidR="0097090C" w:rsidRPr="005D5898" w:rsidRDefault="0097090C" w:rsidP="0097090C">
            <w:pPr>
              <w:rPr>
                <w:sz w:val="18"/>
                <w:szCs w:val="18"/>
              </w:rPr>
            </w:pPr>
            <w:r w:rsidRPr="005D5898">
              <w:rPr>
                <w:sz w:val="18"/>
                <w:szCs w:val="18"/>
              </w:rPr>
              <w:t>323,481</w:t>
            </w:r>
          </w:p>
        </w:tc>
        <w:tc>
          <w:tcPr>
            <w:tcW w:w="1180" w:type="dxa"/>
            <w:tcBorders>
              <w:top w:val="nil"/>
              <w:left w:val="nil"/>
              <w:bottom w:val="nil"/>
              <w:right w:val="nil"/>
            </w:tcBorders>
            <w:shd w:val="clear" w:color="auto" w:fill="auto"/>
            <w:noWrap/>
            <w:vAlign w:val="center"/>
            <w:hideMark/>
          </w:tcPr>
          <w:p w14:paraId="7EE02E71"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000000" w:fill="D9D9D9"/>
            <w:noWrap/>
            <w:vAlign w:val="center"/>
            <w:hideMark/>
          </w:tcPr>
          <w:p w14:paraId="7962A4BA"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auto" w:fill="auto"/>
            <w:noWrap/>
            <w:vAlign w:val="center"/>
            <w:hideMark/>
          </w:tcPr>
          <w:p w14:paraId="58566130" w14:textId="77777777" w:rsidR="0097090C" w:rsidRPr="005D5898" w:rsidRDefault="0097090C" w:rsidP="0097090C">
            <w:pPr>
              <w:rPr>
                <w:sz w:val="18"/>
                <w:szCs w:val="18"/>
              </w:rPr>
            </w:pPr>
            <w:r w:rsidRPr="005D5898">
              <w:rPr>
                <w:sz w:val="18"/>
                <w:szCs w:val="18"/>
              </w:rPr>
              <w:t>323,481</w:t>
            </w:r>
          </w:p>
        </w:tc>
      </w:tr>
      <w:tr w:rsidR="0097090C" w:rsidRPr="005D5898" w14:paraId="308C47CA" w14:textId="77777777" w:rsidTr="0097090C">
        <w:trPr>
          <w:trHeight w:val="285"/>
        </w:trPr>
        <w:tc>
          <w:tcPr>
            <w:tcW w:w="3720" w:type="dxa"/>
            <w:tcBorders>
              <w:top w:val="single" w:sz="4" w:space="0" w:color="auto"/>
              <w:left w:val="nil"/>
              <w:bottom w:val="single" w:sz="4" w:space="0" w:color="auto"/>
              <w:right w:val="nil"/>
            </w:tcBorders>
            <w:shd w:val="clear" w:color="auto" w:fill="auto"/>
            <w:vAlign w:val="center"/>
            <w:hideMark/>
          </w:tcPr>
          <w:p w14:paraId="6FB4EC52" w14:textId="77777777" w:rsidR="0097090C" w:rsidRPr="005D5898" w:rsidRDefault="0097090C" w:rsidP="0097090C">
            <w:pPr>
              <w:rPr>
                <w:b/>
                <w:bCs/>
                <w:sz w:val="18"/>
                <w:szCs w:val="18"/>
              </w:rPr>
            </w:pPr>
            <w:r w:rsidRPr="005D5898">
              <w:rPr>
                <w:b/>
                <w:bCs/>
                <w:sz w:val="18"/>
                <w:szCs w:val="18"/>
              </w:rPr>
              <w:t>Total Buildings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0ADAE613" w14:textId="77777777" w:rsidR="0097090C" w:rsidRPr="005D5898" w:rsidRDefault="0097090C" w:rsidP="0097090C">
            <w:pPr>
              <w:rPr>
                <w:b/>
                <w:bCs/>
                <w:sz w:val="18"/>
                <w:szCs w:val="18"/>
              </w:rPr>
            </w:pPr>
            <w:r w:rsidRPr="005D5898">
              <w:rPr>
                <w:b/>
                <w:bCs/>
                <w:sz w:val="18"/>
                <w:szCs w:val="18"/>
              </w:rPr>
              <w:t>514,721</w:t>
            </w:r>
          </w:p>
        </w:tc>
        <w:tc>
          <w:tcPr>
            <w:tcW w:w="1140" w:type="dxa"/>
            <w:tcBorders>
              <w:top w:val="single" w:sz="4" w:space="0" w:color="auto"/>
              <w:left w:val="nil"/>
              <w:bottom w:val="single" w:sz="4" w:space="0" w:color="auto"/>
              <w:right w:val="nil"/>
            </w:tcBorders>
            <w:shd w:val="clear" w:color="auto" w:fill="auto"/>
            <w:noWrap/>
            <w:vAlign w:val="center"/>
            <w:hideMark/>
          </w:tcPr>
          <w:p w14:paraId="0AB92A1E" w14:textId="77777777" w:rsidR="0097090C" w:rsidRPr="005D5898" w:rsidRDefault="0097090C" w:rsidP="0097090C">
            <w:pPr>
              <w:rPr>
                <w:b/>
                <w:bCs/>
                <w:sz w:val="18"/>
                <w:szCs w:val="18"/>
              </w:rPr>
            </w:pPr>
            <w:r w:rsidRPr="005D5898">
              <w:rPr>
                <w:b/>
                <w:bCs/>
                <w:sz w:val="18"/>
                <w:szCs w:val="18"/>
              </w:rPr>
              <w:t>0</w:t>
            </w:r>
          </w:p>
        </w:tc>
        <w:tc>
          <w:tcPr>
            <w:tcW w:w="1140" w:type="dxa"/>
            <w:tcBorders>
              <w:top w:val="single" w:sz="4" w:space="0" w:color="auto"/>
              <w:left w:val="nil"/>
              <w:bottom w:val="single" w:sz="4" w:space="0" w:color="auto"/>
              <w:right w:val="nil"/>
            </w:tcBorders>
            <w:shd w:val="clear" w:color="000000" w:fill="D9D9D9"/>
            <w:noWrap/>
            <w:vAlign w:val="center"/>
            <w:hideMark/>
          </w:tcPr>
          <w:p w14:paraId="7C9171C0" w14:textId="77777777" w:rsidR="0097090C" w:rsidRPr="005D5898" w:rsidRDefault="0097090C" w:rsidP="0097090C">
            <w:pPr>
              <w:rPr>
                <w:b/>
                <w:bCs/>
                <w:sz w:val="18"/>
                <w:szCs w:val="18"/>
              </w:rPr>
            </w:pPr>
            <w:r w:rsidRPr="005D5898">
              <w:rPr>
                <w:b/>
                <w:bCs/>
                <w:sz w:val="18"/>
                <w:szCs w:val="18"/>
              </w:rPr>
              <w:t>0</w:t>
            </w:r>
          </w:p>
        </w:tc>
        <w:tc>
          <w:tcPr>
            <w:tcW w:w="1140" w:type="dxa"/>
            <w:tcBorders>
              <w:top w:val="single" w:sz="4" w:space="0" w:color="auto"/>
              <w:left w:val="nil"/>
              <w:bottom w:val="single" w:sz="4" w:space="0" w:color="auto"/>
              <w:right w:val="nil"/>
            </w:tcBorders>
            <w:shd w:val="clear" w:color="auto" w:fill="auto"/>
            <w:noWrap/>
            <w:vAlign w:val="center"/>
            <w:hideMark/>
          </w:tcPr>
          <w:p w14:paraId="72C5BD12" w14:textId="77777777" w:rsidR="0097090C" w:rsidRPr="005D5898" w:rsidRDefault="0097090C" w:rsidP="0097090C">
            <w:pPr>
              <w:rPr>
                <w:b/>
                <w:bCs/>
                <w:sz w:val="18"/>
                <w:szCs w:val="18"/>
              </w:rPr>
            </w:pPr>
            <w:r w:rsidRPr="005D5898">
              <w:rPr>
                <w:b/>
                <w:bCs/>
                <w:sz w:val="18"/>
                <w:szCs w:val="18"/>
              </w:rPr>
              <w:t>514,721</w:t>
            </w:r>
          </w:p>
        </w:tc>
        <w:tc>
          <w:tcPr>
            <w:tcW w:w="1440" w:type="dxa"/>
            <w:tcBorders>
              <w:top w:val="single" w:sz="4" w:space="0" w:color="auto"/>
              <w:left w:val="nil"/>
              <w:bottom w:val="single" w:sz="4" w:space="0" w:color="auto"/>
              <w:right w:val="nil"/>
            </w:tcBorders>
            <w:shd w:val="clear" w:color="000000" w:fill="D9D9D9"/>
            <w:noWrap/>
            <w:vAlign w:val="center"/>
            <w:hideMark/>
          </w:tcPr>
          <w:p w14:paraId="26F35227" w14:textId="77777777" w:rsidR="0097090C" w:rsidRPr="005D5898" w:rsidRDefault="0097090C" w:rsidP="0097090C">
            <w:pPr>
              <w:rPr>
                <w:b/>
                <w:bCs/>
                <w:sz w:val="18"/>
                <w:szCs w:val="18"/>
              </w:rPr>
            </w:pPr>
            <w:r w:rsidRPr="005D5898">
              <w:rPr>
                <w:b/>
                <w:bCs/>
                <w:sz w:val="18"/>
                <w:szCs w:val="18"/>
              </w:rPr>
              <w:t>323,481</w:t>
            </w:r>
          </w:p>
        </w:tc>
        <w:tc>
          <w:tcPr>
            <w:tcW w:w="1180" w:type="dxa"/>
            <w:tcBorders>
              <w:top w:val="single" w:sz="4" w:space="0" w:color="auto"/>
              <w:left w:val="nil"/>
              <w:bottom w:val="single" w:sz="4" w:space="0" w:color="auto"/>
              <w:right w:val="nil"/>
            </w:tcBorders>
            <w:shd w:val="clear" w:color="auto" w:fill="auto"/>
            <w:noWrap/>
            <w:vAlign w:val="center"/>
            <w:hideMark/>
          </w:tcPr>
          <w:p w14:paraId="5FA36A53" w14:textId="77777777" w:rsidR="0097090C" w:rsidRPr="005D5898" w:rsidRDefault="0097090C" w:rsidP="0097090C">
            <w:pPr>
              <w:rPr>
                <w:b/>
                <w:bCs/>
                <w:sz w:val="18"/>
                <w:szCs w:val="18"/>
              </w:rPr>
            </w:pPr>
            <w:r w:rsidRPr="005D5898">
              <w:rPr>
                <w:b/>
                <w:bCs/>
                <w:sz w:val="18"/>
                <w:szCs w:val="18"/>
              </w:rPr>
              <w:t>0</w:t>
            </w:r>
          </w:p>
        </w:tc>
        <w:tc>
          <w:tcPr>
            <w:tcW w:w="1180" w:type="dxa"/>
            <w:tcBorders>
              <w:top w:val="single" w:sz="4" w:space="0" w:color="auto"/>
              <w:left w:val="nil"/>
              <w:bottom w:val="single" w:sz="4" w:space="0" w:color="auto"/>
              <w:right w:val="nil"/>
            </w:tcBorders>
            <w:shd w:val="clear" w:color="000000" w:fill="D9D9D9"/>
            <w:noWrap/>
            <w:vAlign w:val="center"/>
            <w:hideMark/>
          </w:tcPr>
          <w:p w14:paraId="1B32C8EC" w14:textId="77777777" w:rsidR="0097090C" w:rsidRPr="005D5898" w:rsidRDefault="0097090C" w:rsidP="0097090C">
            <w:pPr>
              <w:rPr>
                <w:b/>
                <w:bCs/>
                <w:sz w:val="18"/>
                <w:szCs w:val="18"/>
              </w:rPr>
            </w:pPr>
            <w:r w:rsidRPr="005D5898">
              <w:rPr>
                <w:b/>
                <w:bCs/>
                <w:sz w:val="18"/>
                <w:szCs w:val="18"/>
              </w:rPr>
              <w:t>0</w:t>
            </w:r>
          </w:p>
        </w:tc>
        <w:tc>
          <w:tcPr>
            <w:tcW w:w="1180" w:type="dxa"/>
            <w:tcBorders>
              <w:top w:val="single" w:sz="4" w:space="0" w:color="auto"/>
              <w:left w:val="nil"/>
              <w:bottom w:val="single" w:sz="4" w:space="0" w:color="auto"/>
              <w:right w:val="nil"/>
            </w:tcBorders>
            <w:shd w:val="clear" w:color="auto" w:fill="auto"/>
            <w:noWrap/>
            <w:vAlign w:val="center"/>
            <w:hideMark/>
          </w:tcPr>
          <w:p w14:paraId="0652C640" w14:textId="77777777" w:rsidR="0097090C" w:rsidRPr="005D5898" w:rsidRDefault="0097090C" w:rsidP="0097090C">
            <w:pPr>
              <w:rPr>
                <w:b/>
                <w:bCs/>
                <w:sz w:val="18"/>
                <w:szCs w:val="18"/>
              </w:rPr>
            </w:pPr>
            <w:r w:rsidRPr="005D5898">
              <w:rPr>
                <w:b/>
                <w:bCs/>
                <w:sz w:val="18"/>
                <w:szCs w:val="18"/>
              </w:rPr>
              <w:t>323,481</w:t>
            </w:r>
          </w:p>
        </w:tc>
      </w:tr>
      <w:tr w:rsidR="0097090C" w:rsidRPr="005D5898" w14:paraId="4BBFFF5C" w14:textId="77777777" w:rsidTr="0097090C">
        <w:trPr>
          <w:trHeight w:val="255"/>
        </w:trPr>
        <w:tc>
          <w:tcPr>
            <w:tcW w:w="3720" w:type="dxa"/>
            <w:tcBorders>
              <w:top w:val="nil"/>
              <w:left w:val="nil"/>
              <w:bottom w:val="nil"/>
              <w:right w:val="nil"/>
            </w:tcBorders>
            <w:shd w:val="clear" w:color="auto" w:fill="auto"/>
            <w:vAlign w:val="center"/>
            <w:hideMark/>
          </w:tcPr>
          <w:p w14:paraId="10AACF40" w14:textId="77777777" w:rsidR="0097090C" w:rsidRPr="005D5898" w:rsidRDefault="0097090C" w:rsidP="0097090C">
            <w:pPr>
              <w:rPr>
                <w:sz w:val="18"/>
                <w:szCs w:val="18"/>
              </w:rPr>
            </w:pPr>
            <w:r w:rsidRPr="005D5898">
              <w:rPr>
                <w:sz w:val="18"/>
                <w:szCs w:val="18"/>
              </w:rPr>
              <w:t xml:space="preserve">   Plant and Equipment and WIP</w:t>
            </w:r>
          </w:p>
        </w:tc>
        <w:tc>
          <w:tcPr>
            <w:tcW w:w="1460" w:type="dxa"/>
            <w:tcBorders>
              <w:top w:val="nil"/>
              <w:left w:val="nil"/>
              <w:bottom w:val="nil"/>
              <w:right w:val="nil"/>
            </w:tcBorders>
            <w:shd w:val="clear" w:color="000000" w:fill="D9D9D9"/>
            <w:noWrap/>
            <w:vAlign w:val="center"/>
            <w:hideMark/>
          </w:tcPr>
          <w:p w14:paraId="03DD8CF1" w14:textId="77777777" w:rsidR="0097090C" w:rsidRPr="005D5898" w:rsidRDefault="0097090C" w:rsidP="0097090C">
            <w:pPr>
              <w:rPr>
                <w:sz w:val="18"/>
                <w:szCs w:val="18"/>
              </w:rPr>
            </w:pPr>
            <w:r w:rsidRPr="005D5898">
              <w:rPr>
                <w:sz w:val="18"/>
                <w:szCs w:val="18"/>
              </w:rPr>
              <w:t>6,467</w:t>
            </w:r>
          </w:p>
        </w:tc>
        <w:tc>
          <w:tcPr>
            <w:tcW w:w="1140" w:type="dxa"/>
            <w:tcBorders>
              <w:top w:val="nil"/>
              <w:left w:val="nil"/>
              <w:bottom w:val="nil"/>
              <w:right w:val="nil"/>
            </w:tcBorders>
            <w:shd w:val="clear" w:color="auto" w:fill="auto"/>
            <w:noWrap/>
            <w:vAlign w:val="center"/>
            <w:hideMark/>
          </w:tcPr>
          <w:p w14:paraId="65749FFD"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000000" w:fill="D9D9D9"/>
            <w:noWrap/>
            <w:vAlign w:val="center"/>
            <w:hideMark/>
          </w:tcPr>
          <w:p w14:paraId="462A8DB8"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auto" w:fill="auto"/>
            <w:noWrap/>
            <w:vAlign w:val="center"/>
            <w:hideMark/>
          </w:tcPr>
          <w:p w14:paraId="698B9964" w14:textId="77777777" w:rsidR="0097090C" w:rsidRPr="005D5898" w:rsidRDefault="0097090C" w:rsidP="0097090C">
            <w:pPr>
              <w:rPr>
                <w:sz w:val="18"/>
                <w:szCs w:val="18"/>
              </w:rPr>
            </w:pPr>
            <w:r w:rsidRPr="005D5898">
              <w:rPr>
                <w:sz w:val="18"/>
                <w:szCs w:val="18"/>
              </w:rPr>
              <w:t>6,467</w:t>
            </w:r>
          </w:p>
        </w:tc>
        <w:tc>
          <w:tcPr>
            <w:tcW w:w="1440" w:type="dxa"/>
            <w:tcBorders>
              <w:top w:val="nil"/>
              <w:left w:val="nil"/>
              <w:bottom w:val="nil"/>
              <w:right w:val="nil"/>
            </w:tcBorders>
            <w:shd w:val="clear" w:color="000000" w:fill="D9D9D9"/>
            <w:noWrap/>
            <w:vAlign w:val="center"/>
            <w:hideMark/>
          </w:tcPr>
          <w:p w14:paraId="2B889175" w14:textId="77777777" w:rsidR="0097090C" w:rsidRPr="005D5898" w:rsidRDefault="0097090C" w:rsidP="0097090C">
            <w:pPr>
              <w:rPr>
                <w:sz w:val="18"/>
                <w:szCs w:val="18"/>
              </w:rPr>
            </w:pPr>
            <w:r w:rsidRPr="005D5898">
              <w:rPr>
                <w:sz w:val="18"/>
                <w:szCs w:val="18"/>
              </w:rPr>
              <w:t>7,338</w:t>
            </w:r>
          </w:p>
        </w:tc>
        <w:tc>
          <w:tcPr>
            <w:tcW w:w="1180" w:type="dxa"/>
            <w:tcBorders>
              <w:top w:val="nil"/>
              <w:left w:val="nil"/>
              <w:bottom w:val="nil"/>
              <w:right w:val="nil"/>
            </w:tcBorders>
            <w:shd w:val="clear" w:color="auto" w:fill="auto"/>
            <w:noWrap/>
            <w:vAlign w:val="center"/>
            <w:hideMark/>
          </w:tcPr>
          <w:p w14:paraId="31410035"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000000" w:fill="D9D9D9"/>
            <w:noWrap/>
            <w:vAlign w:val="center"/>
            <w:hideMark/>
          </w:tcPr>
          <w:p w14:paraId="25B1CEC4"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auto" w:fill="auto"/>
            <w:noWrap/>
            <w:vAlign w:val="center"/>
            <w:hideMark/>
          </w:tcPr>
          <w:p w14:paraId="3156030E" w14:textId="77777777" w:rsidR="0097090C" w:rsidRPr="005D5898" w:rsidRDefault="0097090C" w:rsidP="0097090C">
            <w:pPr>
              <w:rPr>
                <w:sz w:val="18"/>
                <w:szCs w:val="18"/>
              </w:rPr>
            </w:pPr>
            <w:r w:rsidRPr="005D5898">
              <w:rPr>
                <w:sz w:val="18"/>
                <w:szCs w:val="18"/>
              </w:rPr>
              <w:t>7,338</w:t>
            </w:r>
          </w:p>
        </w:tc>
      </w:tr>
      <w:tr w:rsidR="0097090C" w:rsidRPr="005D5898" w14:paraId="61A89A3F" w14:textId="77777777" w:rsidTr="0097090C">
        <w:trPr>
          <w:trHeight w:val="255"/>
        </w:trPr>
        <w:tc>
          <w:tcPr>
            <w:tcW w:w="3720" w:type="dxa"/>
            <w:tcBorders>
              <w:top w:val="single" w:sz="4" w:space="0" w:color="auto"/>
              <w:left w:val="nil"/>
              <w:bottom w:val="single" w:sz="4" w:space="0" w:color="auto"/>
              <w:right w:val="nil"/>
            </w:tcBorders>
            <w:shd w:val="clear" w:color="auto" w:fill="auto"/>
            <w:vAlign w:val="center"/>
            <w:hideMark/>
          </w:tcPr>
          <w:p w14:paraId="1FB44D02" w14:textId="77777777" w:rsidR="0097090C" w:rsidRPr="005D5898" w:rsidRDefault="0097090C" w:rsidP="0097090C">
            <w:pPr>
              <w:rPr>
                <w:b/>
                <w:bCs/>
                <w:sz w:val="18"/>
                <w:szCs w:val="18"/>
              </w:rPr>
            </w:pPr>
            <w:r w:rsidRPr="005D5898">
              <w:rPr>
                <w:b/>
                <w:bCs/>
                <w:sz w:val="18"/>
                <w:szCs w:val="18"/>
              </w:rPr>
              <w:t>Total Plant and Equipment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62FAFE5F" w14:textId="77777777" w:rsidR="0097090C" w:rsidRPr="005D5898" w:rsidRDefault="0097090C" w:rsidP="0097090C">
            <w:pPr>
              <w:rPr>
                <w:b/>
                <w:bCs/>
                <w:sz w:val="18"/>
                <w:szCs w:val="18"/>
              </w:rPr>
            </w:pPr>
            <w:r w:rsidRPr="005D5898">
              <w:rPr>
                <w:b/>
                <w:bCs/>
                <w:sz w:val="18"/>
                <w:szCs w:val="18"/>
              </w:rPr>
              <w:t>6,467</w:t>
            </w:r>
          </w:p>
        </w:tc>
        <w:tc>
          <w:tcPr>
            <w:tcW w:w="1140" w:type="dxa"/>
            <w:tcBorders>
              <w:top w:val="single" w:sz="4" w:space="0" w:color="auto"/>
              <w:left w:val="nil"/>
              <w:bottom w:val="single" w:sz="4" w:space="0" w:color="auto"/>
              <w:right w:val="nil"/>
            </w:tcBorders>
            <w:shd w:val="clear" w:color="auto" w:fill="auto"/>
            <w:noWrap/>
            <w:vAlign w:val="center"/>
            <w:hideMark/>
          </w:tcPr>
          <w:p w14:paraId="51FD68A3" w14:textId="77777777" w:rsidR="0097090C" w:rsidRPr="005D5898" w:rsidRDefault="0097090C" w:rsidP="0097090C">
            <w:pPr>
              <w:rPr>
                <w:b/>
                <w:bCs/>
                <w:sz w:val="18"/>
                <w:szCs w:val="18"/>
              </w:rPr>
            </w:pPr>
            <w:r w:rsidRPr="005D5898">
              <w:rPr>
                <w:b/>
                <w:bCs/>
                <w:sz w:val="18"/>
                <w:szCs w:val="18"/>
              </w:rPr>
              <w:t>0</w:t>
            </w:r>
          </w:p>
        </w:tc>
        <w:tc>
          <w:tcPr>
            <w:tcW w:w="1140" w:type="dxa"/>
            <w:tcBorders>
              <w:top w:val="single" w:sz="4" w:space="0" w:color="auto"/>
              <w:left w:val="nil"/>
              <w:bottom w:val="single" w:sz="4" w:space="0" w:color="auto"/>
              <w:right w:val="nil"/>
            </w:tcBorders>
            <w:shd w:val="clear" w:color="000000" w:fill="D9D9D9"/>
            <w:noWrap/>
            <w:vAlign w:val="center"/>
            <w:hideMark/>
          </w:tcPr>
          <w:p w14:paraId="01A42529" w14:textId="77777777" w:rsidR="0097090C" w:rsidRPr="005D5898" w:rsidRDefault="0097090C" w:rsidP="0097090C">
            <w:pPr>
              <w:rPr>
                <w:b/>
                <w:bCs/>
                <w:sz w:val="18"/>
                <w:szCs w:val="18"/>
              </w:rPr>
            </w:pPr>
            <w:r w:rsidRPr="005D5898">
              <w:rPr>
                <w:b/>
                <w:bCs/>
                <w:sz w:val="18"/>
                <w:szCs w:val="18"/>
              </w:rPr>
              <w:t>0</w:t>
            </w:r>
          </w:p>
        </w:tc>
        <w:tc>
          <w:tcPr>
            <w:tcW w:w="1140" w:type="dxa"/>
            <w:tcBorders>
              <w:top w:val="single" w:sz="4" w:space="0" w:color="auto"/>
              <w:left w:val="nil"/>
              <w:bottom w:val="single" w:sz="4" w:space="0" w:color="auto"/>
              <w:right w:val="nil"/>
            </w:tcBorders>
            <w:shd w:val="clear" w:color="auto" w:fill="auto"/>
            <w:noWrap/>
            <w:vAlign w:val="center"/>
            <w:hideMark/>
          </w:tcPr>
          <w:p w14:paraId="1132579C" w14:textId="77777777" w:rsidR="0097090C" w:rsidRPr="005D5898" w:rsidRDefault="0097090C" w:rsidP="0097090C">
            <w:pPr>
              <w:rPr>
                <w:b/>
                <w:bCs/>
                <w:sz w:val="18"/>
                <w:szCs w:val="18"/>
              </w:rPr>
            </w:pPr>
            <w:r w:rsidRPr="005D5898">
              <w:rPr>
                <w:b/>
                <w:bCs/>
                <w:sz w:val="18"/>
                <w:szCs w:val="18"/>
              </w:rPr>
              <w:t>6,467</w:t>
            </w:r>
          </w:p>
        </w:tc>
        <w:tc>
          <w:tcPr>
            <w:tcW w:w="1440" w:type="dxa"/>
            <w:tcBorders>
              <w:top w:val="single" w:sz="4" w:space="0" w:color="auto"/>
              <w:left w:val="nil"/>
              <w:bottom w:val="single" w:sz="4" w:space="0" w:color="auto"/>
              <w:right w:val="nil"/>
            </w:tcBorders>
            <w:shd w:val="clear" w:color="000000" w:fill="D9D9D9"/>
            <w:noWrap/>
            <w:vAlign w:val="center"/>
            <w:hideMark/>
          </w:tcPr>
          <w:p w14:paraId="5357BA9D" w14:textId="77777777" w:rsidR="0097090C" w:rsidRPr="005D5898" w:rsidRDefault="0097090C" w:rsidP="0097090C">
            <w:pPr>
              <w:rPr>
                <w:b/>
                <w:bCs/>
                <w:sz w:val="18"/>
                <w:szCs w:val="18"/>
              </w:rPr>
            </w:pPr>
            <w:r w:rsidRPr="005D5898">
              <w:rPr>
                <w:b/>
                <w:bCs/>
                <w:sz w:val="18"/>
                <w:szCs w:val="18"/>
              </w:rPr>
              <w:t>7,338</w:t>
            </w:r>
          </w:p>
        </w:tc>
        <w:tc>
          <w:tcPr>
            <w:tcW w:w="1180" w:type="dxa"/>
            <w:tcBorders>
              <w:top w:val="single" w:sz="4" w:space="0" w:color="auto"/>
              <w:left w:val="nil"/>
              <w:bottom w:val="single" w:sz="4" w:space="0" w:color="auto"/>
              <w:right w:val="nil"/>
            </w:tcBorders>
            <w:shd w:val="clear" w:color="auto" w:fill="auto"/>
            <w:noWrap/>
            <w:vAlign w:val="center"/>
            <w:hideMark/>
          </w:tcPr>
          <w:p w14:paraId="679EEE30" w14:textId="77777777" w:rsidR="0097090C" w:rsidRPr="005D5898" w:rsidRDefault="0097090C" w:rsidP="0097090C">
            <w:pPr>
              <w:rPr>
                <w:b/>
                <w:bCs/>
                <w:sz w:val="18"/>
                <w:szCs w:val="18"/>
              </w:rPr>
            </w:pPr>
            <w:r w:rsidRPr="005D5898">
              <w:rPr>
                <w:b/>
                <w:bCs/>
                <w:sz w:val="18"/>
                <w:szCs w:val="18"/>
              </w:rPr>
              <w:t>0</w:t>
            </w:r>
          </w:p>
        </w:tc>
        <w:tc>
          <w:tcPr>
            <w:tcW w:w="1180" w:type="dxa"/>
            <w:tcBorders>
              <w:top w:val="single" w:sz="4" w:space="0" w:color="auto"/>
              <w:left w:val="nil"/>
              <w:bottom w:val="single" w:sz="4" w:space="0" w:color="auto"/>
              <w:right w:val="nil"/>
            </w:tcBorders>
            <w:shd w:val="clear" w:color="000000" w:fill="D9D9D9"/>
            <w:noWrap/>
            <w:vAlign w:val="center"/>
            <w:hideMark/>
          </w:tcPr>
          <w:p w14:paraId="5724A52B" w14:textId="77777777" w:rsidR="0097090C" w:rsidRPr="005D5898" w:rsidRDefault="0097090C" w:rsidP="0097090C">
            <w:pPr>
              <w:rPr>
                <w:b/>
                <w:bCs/>
                <w:sz w:val="18"/>
                <w:szCs w:val="18"/>
              </w:rPr>
            </w:pPr>
            <w:r w:rsidRPr="005D5898">
              <w:rPr>
                <w:b/>
                <w:bCs/>
                <w:sz w:val="18"/>
                <w:szCs w:val="18"/>
              </w:rPr>
              <w:t>0</w:t>
            </w:r>
          </w:p>
        </w:tc>
        <w:tc>
          <w:tcPr>
            <w:tcW w:w="1180" w:type="dxa"/>
            <w:tcBorders>
              <w:top w:val="single" w:sz="4" w:space="0" w:color="auto"/>
              <w:left w:val="nil"/>
              <w:bottom w:val="single" w:sz="4" w:space="0" w:color="auto"/>
              <w:right w:val="nil"/>
            </w:tcBorders>
            <w:shd w:val="clear" w:color="auto" w:fill="auto"/>
            <w:noWrap/>
            <w:vAlign w:val="center"/>
            <w:hideMark/>
          </w:tcPr>
          <w:p w14:paraId="33E13485" w14:textId="77777777" w:rsidR="0097090C" w:rsidRPr="005D5898" w:rsidRDefault="0097090C" w:rsidP="0097090C">
            <w:pPr>
              <w:rPr>
                <w:b/>
                <w:bCs/>
                <w:sz w:val="18"/>
                <w:szCs w:val="18"/>
              </w:rPr>
            </w:pPr>
            <w:r w:rsidRPr="005D5898">
              <w:rPr>
                <w:b/>
                <w:bCs/>
                <w:sz w:val="18"/>
                <w:szCs w:val="18"/>
              </w:rPr>
              <w:t>7,338</w:t>
            </w:r>
          </w:p>
        </w:tc>
      </w:tr>
      <w:tr w:rsidR="0097090C" w:rsidRPr="005D5898" w14:paraId="3D0BC6C7" w14:textId="77777777" w:rsidTr="0097090C">
        <w:trPr>
          <w:trHeight w:val="255"/>
        </w:trPr>
        <w:tc>
          <w:tcPr>
            <w:tcW w:w="3720" w:type="dxa"/>
            <w:tcBorders>
              <w:top w:val="nil"/>
              <w:left w:val="nil"/>
              <w:bottom w:val="nil"/>
              <w:right w:val="nil"/>
            </w:tcBorders>
            <w:shd w:val="clear" w:color="auto" w:fill="auto"/>
            <w:vAlign w:val="center"/>
            <w:hideMark/>
          </w:tcPr>
          <w:p w14:paraId="1C324B1D" w14:textId="77777777" w:rsidR="0097090C" w:rsidRPr="005D5898" w:rsidRDefault="0097090C" w:rsidP="0097090C">
            <w:pPr>
              <w:rPr>
                <w:sz w:val="18"/>
                <w:szCs w:val="18"/>
              </w:rPr>
            </w:pPr>
            <w:r w:rsidRPr="005D5898">
              <w:rPr>
                <w:sz w:val="18"/>
                <w:szCs w:val="18"/>
              </w:rPr>
              <w:t xml:space="preserve">   Exhibitions</w:t>
            </w:r>
          </w:p>
        </w:tc>
        <w:tc>
          <w:tcPr>
            <w:tcW w:w="1460" w:type="dxa"/>
            <w:tcBorders>
              <w:top w:val="nil"/>
              <w:left w:val="nil"/>
              <w:bottom w:val="nil"/>
              <w:right w:val="nil"/>
            </w:tcBorders>
            <w:shd w:val="clear" w:color="000000" w:fill="D9D9D9"/>
            <w:noWrap/>
            <w:vAlign w:val="center"/>
            <w:hideMark/>
          </w:tcPr>
          <w:p w14:paraId="50786469" w14:textId="77777777" w:rsidR="0097090C" w:rsidRPr="005D5898" w:rsidRDefault="0097090C" w:rsidP="0097090C">
            <w:pPr>
              <w:rPr>
                <w:sz w:val="18"/>
                <w:szCs w:val="18"/>
              </w:rPr>
            </w:pPr>
            <w:r w:rsidRPr="005D5898">
              <w:rPr>
                <w:sz w:val="18"/>
                <w:szCs w:val="18"/>
              </w:rPr>
              <w:t>3,580</w:t>
            </w:r>
          </w:p>
        </w:tc>
        <w:tc>
          <w:tcPr>
            <w:tcW w:w="1140" w:type="dxa"/>
            <w:tcBorders>
              <w:top w:val="nil"/>
              <w:left w:val="nil"/>
              <w:bottom w:val="nil"/>
              <w:right w:val="nil"/>
            </w:tcBorders>
            <w:shd w:val="clear" w:color="auto" w:fill="auto"/>
            <w:noWrap/>
            <w:vAlign w:val="center"/>
            <w:hideMark/>
          </w:tcPr>
          <w:p w14:paraId="35B0F7EC"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000000" w:fill="D9D9D9"/>
            <w:noWrap/>
            <w:vAlign w:val="center"/>
            <w:hideMark/>
          </w:tcPr>
          <w:p w14:paraId="6123E22A" w14:textId="77777777" w:rsidR="0097090C" w:rsidRPr="005D5898" w:rsidRDefault="0097090C" w:rsidP="0097090C">
            <w:pPr>
              <w:rPr>
                <w:sz w:val="18"/>
                <w:szCs w:val="18"/>
              </w:rPr>
            </w:pPr>
            <w:r w:rsidRPr="005D5898">
              <w:rPr>
                <w:sz w:val="18"/>
                <w:szCs w:val="18"/>
              </w:rPr>
              <w:t>0</w:t>
            </w:r>
          </w:p>
        </w:tc>
        <w:tc>
          <w:tcPr>
            <w:tcW w:w="1140" w:type="dxa"/>
            <w:tcBorders>
              <w:top w:val="nil"/>
              <w:left w:val="nil"/>
              <w:bottom w:val="nil"/>
              <w:right w:val="nil"/>
            </w:tcBorders>
            <w:shd w:val="clear" w:color="auto" w:fill="auto"/>
            <w:noWrap/>
            <w:vAlign w:val="center"/>
            <w:hideMark/>
          </w:tcPr>
          <w:p w14:paraId="38A83F66" w14:textId="77777777" w:rsidR="0097090C" w:rsidRPr="005D5898" w:rsidRDefault="0097090C" w:rsidP="0097090C">
            <w:pPr>
              <w:rPr>
                <w:sz w:val="18"/>
                <w:szCs w:val="18"/>
              </w:rPr>
            </w:pPr>
            <w:r w:rsidRPr="005D5898">
              <w:rPr>
                <w:sz w:val="18"/>
                <w:szCs w:val="18"/>
              </w:rPr>
              <w:t>3,580</w:t>
            </w:r>
          </w:p>
        </w:tc>
        <w:tc>
          <w:tcPr>
            <w:tcW w:w="1440" w:type="dxa"/>
            <w:tcBorders>
              <w:top w:val="nil"/>
              <w:left w:val="nil"/>
              <w:bottom w:val="nil"/>
              <w:right w:val="nil"/>
            </w:tcBorders>
            <w:shd w:val="clear" w:color="000000" w:fill="D9D9D9"/>
            <w:noWrap/>
            <w:vAlign w:val="center"/>
            <w:hideMark/>
          </w:tcPr>
          <w:p w14:paraId="2994F33D" w14:textId="77777777" w:rsidR="0097090C" w:rsidRPr="005D5898" w:rsidRDefault="0097090C" w:rsidP="0097090C">
            <w:pPr>
              <w:rPr>
                <w:sz w:val="18"/>
                <w:szCs w:val="18"/>
              </w:rPr>
            </w:pPr>
            <w:r w:rsidRPr="005D5898">
              <w:rPr>
                <w:sz w:val="18"/>
                <w:szCs w:val="18"/>
              </w:rPr>
              <w:t>1,937</w:t>
            </w:r>
          </w:p>
        </w:tc>
        <w:tc>
          <w:tcPr>
            <w:tcW w:w="1180" w:type="dxa"/>
            <w:tcBorders>
              <w:top w:val="nil"/>
              <w:left w:val="nil"/>
              <w:bottom w:val="nil"/>
              <w:right w:val="nil"/>
            </w:tcBorders>
            <w:shd w:val="clear" w:color="auto" w:fill="auto"/>
            <w:noWrap/>
            <w:vAlign w:val="center"/>
            <w:hideMark/>
          </w:tcPr>
          <w:p w14:paraId="52443411"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000000" w:fill="D9D9D9"/>
            <w:noWrap/>
            <w:vAlign w:val="center"/>
            <w:hideMark/>
          </w:tcPr>
          <w:p w14:paraId="1D8E3FE7" w14:textId="77777777" w:rsidR="0097090C" w:rsidRPr="005D5898" w:rsidRDefault="0097090C" w:rsidP="0097090C">
            <w:pPr>
              <w:rPr>
                <w:sz w:val="18"/>
                <w:szCs w:val="18"/>
              </w:rPr>
            </w:pPr>
            <w:r w:rsidRPr="005D5898">
              <w:rPr>
                <w:sz w:val="18"/>
                <w:szCs w:val="18"/>
              </w:rPr>
              <w:t>0</w:t>
            </w:r>
          </w:p>
        </w:tc>
        <w:tc>
          <w:tcPr>
            <w:tcW w:w="1180" w:type="dxa"/>
            <w:tcBorders>
              <w:top w:val="nil"/>
              <w:left w:val="nil"/>
              <w:bottom w:val="nil"/>
              <w:right w:val="nil"/>
            </w:tcBorders>
            <w:shd w:val="clear" w:color="auto" w:fill="auto"/>
            <w:noWrap/>
            <w:vAlign w:val="center"/>
            <w:hideMark/>
          </w:tcPr>
          <w:p w14:paraId="75363E95" w14:textId="77777777" w:rsidR="0097090C" w:rsidRPr="005D5898" w:rsidRDefault="0097090C" w:rsidP="0097090C">
            <w:pPr>
              <w:rPr>
                <w:sz w:val="18"/>
                <w:szCs w:val="18"/>
              </w:rPr>
            </w:pPr>
            <w:r w:rsidRPr="005D5898">
              <w:rPr>
                <w:sz w:val="18"/>
                <w:szCs w:val="18"/>
              </w:rPr>
              <w:t>1,937</w:t>
            </w:r>
          </w:p>
        </w:tc>
      </w:tr>
      <w:tr w:rsidR="0097090C" w:rsidRPr="003C07CF" w14:paraId="66A7B0B6" w14:textId="77777777" w:rsidTr="0097090C">
        <w:trPr>
          <w:trHeight w:val="285"/>
        </w:trPr>
        <w:tc>
          <w:tcPr>
            <w:tcW w:w="3720" w:type="dxa"/>
            <w:tcBorders>
              <w:top w:val="single" w:sz="4" w:space="0" w:color="auto"/>
              <w:left w:val="nil"/>
              <w:bottom w:val="single" w:sz="4" w:space="0" w:color="auto"/>
              <w:right w:val="nil"/>
            </w:tcBorders>
            <w:shd w:val="clear" w:color="auto" w:fill="auto"/>
            <w:vAlign w:val="center"/>
            <w:hideMark/>
          </w:tcPr>
          <w:p w14:paraId="07D58275" w14:textId="77777777" w:rsidR="0097090C" w:rsidRPr="003C07CF" w:rsidRDefault="0097090C" w:rsidP="0097090C">
            <w:pPr>
              <w:rPr>
                <w:b/>
                <w:bCs/>
              </w:rPr>
            </w:pPr>
            <w:r w:rsidRPr="003C07CF">
              <w:rPr>
                <w:b/>
                <w:bCs/>
              </w:rPr>
              <w:t>Total Exhibitions at fair value</w:t>
            </w:r>
          </w:p>
        </w:tc>
        <w:tc>
          <w:tcPr>
            <w:tcW w:w="1460" w:type="dxa"/>
            <w:tcBorders>
              <w:top w:val="single" w:sz="4" w:space="0" w:color="auto"/>
              <w:left w:val="nil"/>
              <w:bottom w:val="single" w:sz="4" w:space="0" w:color="auto"/>
              <w:right w:val="nil"/>
            </w:tcBorders>
            <w:shd w:val="clear" w:color="000000" w:fill="D9D9D9"/>
            <w:noWrap/>
            <w:vAlign w:val="center"/>
            <w:hideMark/>
          </w:tcPr>
          <w:p w14:paraId="24FA84E4" w14:textId="77777777" w:rsidR="0097090C" w:rsidRPr="003C07CF" w:rsidRDefault="0097090C" w:rsidP="0097090C">
            <w:pPr>
              <w:rPr>
                <w:b/>
                <w:bCs/>
              </w:rPr>
            </w:pPr>
            <w:r>
              <w:rPr>
                <w:b/>
                <w:bCs/>
              </w:rPr>
              <w:t>3,580</w:t>
            </w:r>
          </w:p>
        </w:tc>
        <w:tc>
          <w:tcPr>
            <w:tcW w:w="1140" w:type="dxa"/>
            <w:tcBorders>
              <w:top w:val="single" w:sz="4" w:space="0" w:color="auto"/>
              <w:left w:val="nil"/>
              <w:bottom w:val="single" w:sz="4" w:space="0" w:color="auto"/>
              <w:right w:val="nil"/>
            </w:tcBorders>
            <w:shd w:val="clear" w:color="auto" w:fill="auto"/>
            <w:noWrap/>
            <w:vAlign w:val="center"/>
            <w:hideMark/>
          </w:tcPr>
          <w:p w14:paraId="39C8F61F" w14:textId="77777777" w:rsidR="0097090C" w:rsidRPr="003C07CF" w:rsidRDefault="0097090C" w:rsidP="0097090C">
            <w:pPr>
              <w:rPr>
                <w:b/>
                <w:bCs/>
              </w:rPr>
            </w:pPr>
            <w:r w:rsidRPr="003C07CF">
              <w:rPr>
                <w:b/>
                <w:bCs/>
              </w:rPr>
              <w:t>0</w:t>
            </w:r>
          </w:p>
        </w:tc>
        <w:tc>
          <w:tcPr>
            <w:tcW w:w="1140" w:type="dxa"/>
            <w:tcBorders>
              <w:top w:val="single" w:sz="4" w:space="0" w:color="auto"/>
              <w:left w:val="nil"/>
              <w:bottom w:val="single" w:sz="4" w:space="0" w:color="auto"/>
              <w:right w:val="nil"/>
            </w:tcBorders>
            <w:shd w:val="clear" w:color="000000" w:fill="D9D9D9"/>
            <w:noWrap/>
            <w:vAlign w:val="center"/>
            <w:hideMark/>
          </w:tcPr>
          <w:p w14:paraId="6D96CE30" w14:textId="77777777" w:rsidR="0097090C" w:rsidRPr="003C07CF" w:rsidRDefault="0097090C" w:rsidP="0097090C">
            <w:pPr>
              <w:rPr>
                <w:b/>
                <w:bCs/>
              </w:rPr>
            </w:pPr>
            <w:r w:rsidRPr="003C07CF">
              <w:rPr>
                <w:b/>
                <w:bCs/>
              </w:rPr>
              <w:t>0</w:t>
            </w:r>
          </w:p>
        </w:tc>
        <w:tc>
          <w:tcPr>
            <w:tcW w:w="1140" w:type="dxa"/>
            <w:tcBorders>
              <w:top w:val="single" w:sz="4" w:space="0" w:color="auto"/>
              <w:left w:val="nil"/>
              <w:bottom w:val="single" w:sz="4" w:space="0" w:color="auto"/>
              <w:right w:val="nil"/>
            </w:tcBorders>
            <w:shd w:val="clear" w:color="auto" w:fill="auto"/>
            <w:noWrap/>
            <w:vAlign w:val="center"/>
            <w:hideMark/>
          </w:tcPr>
          <w:p w14:paraId="4D70F9DA" w14:textId="77777777" w:rsidR="0097090C" w:rsidRPr="003C07CF" w:rsidRDefault="0097090C" w:rsidP="0097090C">
            <w:pPr>
              <w:rPr>
                <w:b/>
                <w:bCs/>
              </w:rPr>
            </w:pPr>
            <w:r>
              <w:rPr>
                <w:b/>
                <w:bCs/>
              </w:rPr>
              <w:t>3,580</w:t>
            </w:r>
          </w:p>
        </w:tc>
        <w:tc>
          <w:tcPr>
            <w:tcW w:w="1440" w:type="dxa"/>
            <w:tcBorders>
              <w:top w:val="single" w:sz="4" w:space="0" w:color="auto"/>
              <w:left w:val="nil"/>
              <w:bottom w:val="single" w:sz="4" w:space="0" w:color="auto"/>
              <w:right w:val="nil"/>
            </w:tcBorders>
            <w:shd w:val="clear" w:color="000000" w:fill="D9D9D9"/>
            <w:noWrap/>
            <w:vAlign w:val="center"/>
            <w:hideMark/>
          </w:tcPr>
          <w:p w14:paraId="022E0820" w14:textId="77777777" w:rsidR="0097090C" w:rsidRPr="003C07CF" w:rsidRDefault="0097090C" w:rsidP="0097090C">
            <w:pPr>
              <w:rPr>
                <w:b/>
                <w:bCs/>
              </w:rPr>
            </w:pPr>
            <w:r w:rsidRPr="003C07CF">
              <w:rPr>
                <w:b/>
                <w:bCs/>
              </w:rPr>
              <w:t>1,937</w:t>
            </w:r>
          </w:p>
        </w:tc>
        <w:tc>
          <w:tcPr>
            <w:tcW w:w="1180" w:type="dxa"/>
            <w:tcBorders>
              <w:top w:val="single" w:sz="4" w:space="0" w:color="auto"/>
              <w:left w:val="nil"/>
              <w:bottom w:val="single" w:sz="4" w:space="0" w:color="auto"/>
              <w:right w:val="nil"/>
            </w:tcBorders>
            <w:shd w:val="clear" w:color="auto" w:fill="auto"/>
            <w:noWrap/>
            <w:vAlign w:val="center"/>
            <w:hideMark/>
          </w:tcPr>
          <w:p w14:paraId="3AFA64A1" w14:textId="77777777" w:rsidR="0097090C" w:rsidRPr="003C07CF" w:rsidRDefault="0097090C" w:rsidP="0097090C">
            <w:pPr>
              <w:rPr>
                <w:b/>
                <w:bCs/>
              </w:rPr>
            </w:pPr>
            <w:r w:rsidRPr="003C07CF">
              <w:rPr>
                <w:b/>
                <w:bCs/>
              </w:rPr>
              <w:t>0</w:t>
            </w:r>
          </w:p>
        </w:tc>
        <w:tc>
          <w:tcPr>
            <w:tcW w:w="1180" w:type="dxa"/>
            <w:tcBorders>
              <w:top w:val="single" w:sz="4" w:space="0" w:color="auto"/>
              <w:left w:val="nil"/>
              <w:bottom w:val="single" w:sz="4" w:space="0" w:color="auto"/>
              <w:right w:val="nil"/>
            </w:tcBorders>
            <w:shd w:val="clear" w:color="000000" w:fill="D9D9D9"/>
            <w:noWrap/>
            <w:vAlign w:val="center"/>
            <w:hideMark/>
          </w:tcPr>
          <w:p w14:paraId="32F34663" w14:textId="77777777" w:rsidR="0097090C" w:rsidRPr="003C07CF" w:rsidRDefault="0097090C" w:rsidP="0097090C">
            <w:pPr>
              <w:rPr>
                <w:b/>
                <w:bCs/>
              </w:rPr>
            </w:pPr>
            <w:r w:rsidRPr="003C07CF">
              <w:rPr>
                <w:b/>
                <w:bCs/>
              </w:rPr>
              <w:t>0</w:t>
            </w:r>
          </w:p>
        </w:tc>
        <w:tc>
          <w:tcPr>
            <w:tcW w:w="1180" w:type="dxa"/>
            <w:tcBorders>
              <w:top w:val="single" w:sz="4" w:space="0" w:color="auto"/>
              <w:left w:val="nil"/>
              <w:bottom w:val="single" w:sz="4" w:space="0" w:color="auto"/>
              <w:right w:val="nil"/>
            </w:tcBorders>
            <w:shd w:val="clear" w:color="auto" w:fill="auto"/>
            <w:noWrap/>
            <w:vAlign w:val="center"/>
            <w:hideMark/>
          </w:tcPr>
          <w:p w14:paraId="39E022E6" w14:textId="77777777" w:rsidR="0097090C" w:rsidRPr="003C07CF" w:rsidRDefault="0097090C" w:rsidP="0097090C">
            <w:pPr>
              <w:rPr>
                <w:b/>
                <w:bCs/>
              </w:rPr>
            </w:pPr>
            <w:r w:rsidRPr="003C07CF">
              <w:rPr>
                <w:b/>
                <w:bCs/>
              </w:rPr>
              <w:t>1,937</w:t>
            </w:r>
          </w:p>
        </w:tc>
      </w:tr>
    </w:tbl>
    <w:p w14:paraId="4A332A2E" w14:textId="77777777" w:rsidR="0097090C" w:rsidRDefault="0097090C" w:rsidP="0097090C">
      <w:pPr>
        <w:spacing w:before="60"/>
        <w:rPr>
          <w:rFonts w:cs="Arial"/>
          <w:i/>
          <w:sz w:val="18"/>
          <w:szCs w:val="18"/>
        </w:rPr>
        <w:sectPr w:rsidR="0097090C" w:rsidSect="0097090C">
          <w:pgSz w:w="16838" w:h="11906" w:orient="landscape"/>
          <w:pgMar w:top="1440" w:right="1387" w:bottom="1440" w:left="1440" w:header="709" w:footer="709" w:gutter="0"/>
          <w:cols w:space="708"/>
          <w:docGrid w:linePitch="360"/>
        </w:sectPr>
      </w:pPr>
      <w:r w:rsidRPr="00545B90">
        <w:rPr>
          <w:rFonts w:cs="Arial"/>
          <w:i/>
          <w:sz w:val="21"/>
          <w:szCs w:val="21"/>
        </w:rPr>
        <w:t>Note (i) Classified in accordance with the fair value hierarchy, see Note 1</w:t>
      </w:r>
      <w:r>
        <w:rPr>
          <w:rFonts w:cs="Arial"/>
          <w:i/>
          <w:sz w:val="18"/>
          <w:szCs w:val="18"/>
        </w:rPr>
        <w:t>(d</w:t>
      </w:r>
    </w:p>
    <w:p w14:paraId="27E60E6A" w14:textId="77777777" w:rsidR="0097090C" w:rsidRPr="00776CAA" w:rsidRDefault="0097090C" w:rsidP="0097090C">
      <w:pPr>
        <w:pStyle w:val="Heading6"/>
      </w:pPr>
      <w:r w:rsidRPr="00776CAA">
        <w:t>Collections</w:t>
      </w:r>
    </w:p>
    <w:p w14:paraId="3FC3BAF8" w14:textId="77777777" w:rsidR="0097090C" w:rsidRDefault="0097090C" w:rsidP="0097090C">
      <w:pPr>
        <w:rPr>
          <w:rFonts w:cs="Arial"/>
        </w:rPr>
      </w:pPr>
      <w:r>
        <w:rPr>
          <w:rFonts w:cs="Arial"/>
        </w:rPr>
        <w:t xml:space="preserve">Collections items valued under a market approach adopted by the appointed independent valuers are classified as Level 2 fair value measurements. The market approach uses prices and other relevant information generated by market transactions involving identical or comparable assets or items.  </w:t>
      </w:r>
    </w:p>
    <w:p w14:paraId="52E89A5A" w14:textId="77777777" w:rsidR="0097090C" w:rsidRDefault="0097090C" w:rsidP="0097090C">
      <w:pPr>
        <w:spacing w:before="120" w:after="60"/>
        <w:rPr>
          <w:rFonts w:cs="Arial"/>
        </w:rPr>
      </w:pPr>
      <w:r>
        <w:rPr>
          <w:rFonts w:cs="Arial"/>
        </w:rPr>
        <w:t>Collection items valued under a statistical valuation model adopted by the appointed independent valuers using a statistically verified sampling methodology, estimated recollections costs and additions subsequent to the valuation at cost or valuation are classified as Level 3 fair value measurements.</w:t>
      </w:r>
    </w:p>
    <w:p w14:paraId="40765BDE" w14:textId="77777777" w:rsidR="0097090C" w:rsidRDefault="0097090C" w:rsidP="0097090C">
      <w:pPr>
        <w:rPr>
          <w:rFonts w:cs="Arial"/>
        </w:rPr>
      </w:pPr>
    </w:p>
    <w:p w14:paraId="17AF2014" w14:textId="77777777" w:rsidR="0097090C" w:rsidRPr="00776CAA" w:rsidRDefault="0097090C" w:rsidP="0097090C">
      <w:pPr>
        <w:pStyle w:val="Heading6"/>
      </w:pPr>
      <w:r w:rsidRPr="00776CAA">
        <w:t>Land</w:t>
      </w:r>
    </w:p>
    <w:p w14:paraId="346E5D3B" w14:textId="77777777" w:rsidR="0097090C" w:rsidRDefault="0097090C" w:rsidP="0097090C">
      <w:pPr>
        <w:rPr>
          <w:rFonts w:cs="Arial"/>
        </w:rPr>
      </w:pPr>
      <w:r>
        <w:rPr>
          <w:rFonts w:cs="Arial"/>
        </w:rPr>
        <w:t>Non-specialised land – Land is valued under a market approach adopted by the independent valuers.  Valuation determined by comparison to recent sales of comparable market transactions and appropriate adjustments for the differences between the valued items and the market transactions.</w:t>
      </w:r>
    </w:p>
    <w:p w14:paraId="08FB8298" w14:textId="77777777" w:rsidR="0097090C" w:rsidRDefault="0097090C" w:rsidP="0097090C">
      <w:pPr>
        <w:rPr>
          <w:rFonts w:cs="Arial"/>
        </w:rPr>
      </w:pPr>
    </w:p>
    <w:p w14:paraId="33CDB2BF" w14:textId="77777777" w:rsidR="0097090C" w:rsidRDefault="0097090C" w:rsidP="0097090C">
      <w:r w:rsidRPr="00273EB5">
        <w:rPr>
          <w:rStyle w:val="Heading6Char"/>
        </w:rPr>
        <w:t>Specialised land</w:t>
      </w:r>
      <w:r>
        <w:t xml:space="preserve"> </w:t>
      </w:r>
      <w:r w:rsidRPr="00273EB5">
        <w:t>– Land is valued under a market approach is adjusted for the community service obligation (CSO) or any heritage restrictions to reflect the specialised nature of the land being valued. The CSO adjustment is a reflection of the valuer’s assessment of the impact of restrictions associated with an asset to the extent that is also equally applicable to market participants  The range of CSO applied to specialised land is 20%-30%.</w:t>
      </w:r>
    </w:p>
    <w:p w14:paraId="754F25B2" w14:textId="77777777" w:rsidR="0097090C" w:rsidRPr="00FC7549" w:rsidRDefault="0097090C" w:rsidP="0097090C">
      <w:pPr>
        <w:rPr>
          <w:rFonts w:cs="Arial"/>
        </w:rPr>
      </w:pPr>
    </w:p>
    <w:p w14:paraId="78661579" w14:textId="77777777" w:rsidR="0097090C" w:rsidRPr="00776CAA" w:rsidRDefault="0097090C" w:rsidP="0097090C">
      <w:pPr>
        <w:pStyle w:val="Heading6"/>
      </w:pPr>
      <w:r w:rsidRPr="00776CAA">
        <w:t>Buildings</w:t>
      </w:r>
    </w:p>
    <w:p w14:paraId="7F52ADE0" w14:textId="77777777" w:rsidR="0097090C" w:rsidRDefault="0097090C" w:rsidP="0097090C">
      <w:pPr>
        <w:rPr>
          <w:rFonts w:cs="Arial"/>
        </w:rPr>
      </w:pPr>
      <w:r>
        <w:rPr>
          <w:rFonts w:cs="Arial"/>
        </w:rPr>
        <w:t xml:space="preserve">Specialised buildings are valued under a depreciated replacement cost approach adopted by the independent valuers. </w:t>
      </w:r>
      <w:r w:rsidRPr="00776CAA">
        <w:rPr>
          <w:rFonts w:cs="Arial"/>
        </w:rPr>
        <w:t xml:space="preserve">As depreciation adjustments </w:t>
      </w:r>
      <w:r>
        <w:rPr>
          <w:rFonts w:cs="Arial"/>
        </w:rPr>
        <w:t xml:space="preserve">adopted by the valuers </w:t>
      </w:r>
      <w:r w:rsidRPr="00776CAA">
        <w:rPr>
          <w:rFonts w:cs="Arial"/>
        </w:rPr>
        <w:t>are considered significant unobservable inputs in nature, specialised buildings are classified as Level 3 fair value measurements.</w:t>
      </w:r>
    </w:p>
    <w:p w14:paraId="21E5725F" w14:textId="77777777" w:rsidR="0097090C" w:rsidRPr="00FC7549" w:rsidRDefault="0097090C" w:rsidP="0097090C">
      <w:pPr>
        <w:rPr>
          <w:rFonts w:cs="Arial"/>
        </w:rPr>
      </w:pPr>
    </w:p>
    <w:p w14:paraId="7A61740F" w14:textId="77777777" w:rsidR="0097090C" w:rsidRPr="00776CAA" w:rsidRDefault="0097090C" w:rsidP="0097090C">
      <w:pPr>
        <w:pStyle w:val="Heading6"/>
      </w:pPr>
      <w:r w:rsidRPr="00776CAA">
        <w:t>Plant and Equipment</w:t>
      </w:r>
    </w:p>
    <w:p w14:paraId="07AE6395" w14:textId="77777777" w:rsidR="0097090C" w:rsidRDefault="0097090C" w:rsidP="0097090C">
      <w:pPr>
        <w:rPr>
          <w:rFonts w:cs="Arial"/>
        </w:rPr>
      </w:pPr>
      <w:r w:rsidRPr="00776CAA">
        <w:rPr>
          <w:rFonts w:cs="Arial"/>
        </w:rPr>
        <w:t>Plant and e</w:t>
      </w:r>
      <w:r>
        <w:rPr>
          <w:rFonts w:cs="Arial"/>
        </w:rPr>
        <w:t xml:space="preserve">quipment is valued under </w:t>
      </w:r>
      <w:r w:rsidRPr="00776CAA">
        <w:rPr>
          <w:rFonts w:cs="Arial"/>
        </w:rPr>
        <w:t>deprecia</w:t>
      </w:r>
      <w:r>
        <w:rPr>
          <w:rFonts w:cs="Arial"/>
        </w:rPr>
        <w:t>ted replacement cost approach</w:t>
      </w:r>
      <w:r w:rsidRPr="00776CAA">
        <w:rPr>
          <w:rFonts w:cs="Arial"/>
        </w:rPr>
        <w:t xml:space="preserve">. As depreciation adjustments are considered as significant, unobservable inputs in nature, </w:t>
      </w:r>
      <w:r>
        <w:rPr>
          <w:rFonts w:cs="Arial"/>
        </w:rPr>
        <w:t xml:space="preserve">plant and equipment </w:t>
      </w:r>
      <w:r w:rsidRPr="00776CAA">
        <w:rPr>
          <w:rFonts w:cs="Arial"/>
        </w:rPr>
        <w:t>are classified as Level 3 fair value measurements</w:t>
      </w:r>
      <w:r>
        <w:rPr>
          <w:rFonts w:cs="Arial"/>
        </w:rPr>
        <w:t xml:space="preserve">. Where </w:t>
      </w:r>
      <w:r w:rsidRPr="00776CAA">
        <w:rPr>
          <w:rFonts w:cs="Arial"/>
        </w:rPr>
        <w:t xml:space="preserve">plant and equipment is specialised in use, such that it is rarely sold other than as part of a going concern, fair value is determined using the depreciated replacement cost method. </w:t>
      </w:r>
    </w:p>
    <w:p w14:paraId="482EEF9E" w14:textId="77777777" w:rsidR="0097090C" w:rsidRPr="00776CAA" w:rsidRDefault="0097090C" w:rsidP="0097090C">
      <w:pPr>
        <w:rPr>
          <w:rFonts w:cs="Arial"/>
        </w:rPr>
      </w:pPr>
    </w:p>
    <w:p w14:paraId="4BAB6BD8" w14:textId="77777777" w:rsidR="0097090C" w:rsidRPr="00776CAA" w:rsidRDefault="0097090C" w:rsidP="0097090C">
      <w:pPr>
        <w:pStyle w:val="Heading6"/>
      </w:pPr>
      <w:r w:rsidRPr="00776CAA">
        <w:t>Exhibitions</w:t>
      </w:r>
    </w:p>
    <w:p w14:paraId="0A552972" w14:textId="77777777" w:rsidR="0097090C" w:rsidRDefault="0097090C" w:rsidP="0097090C">
      <w:pPr>
        <w:rPr>
          <w:rFonts w:cs="Arial"/>
        </w:rPr>
      </w:pPr>
      <w:r>
        <w:rPr>
          <w:rFonts w:cs="Arial"/>
        </w:rPr>
        <w:t xml:space="preserve">Exhibitions are valued under </w:t>
      </w:r>
      <w:r w:rsidRPr="00776CAA">
        <w:rPr>
          <w:rFonts w:cs="Arial"/>
        </w:rPr>
        <w:t>deprecia</w:t>
      </w:r>
      <w:r>
        <w:rPr>
          <w:rFonts w:cs="Arial"/>
        </w:rPr>
        <w:t>ted replacement cost approach</w:t>
      </w:r>
      <w:r w:rsidRPr="00776CAA">
        <w:rPr>
          <w:rFonts w:cs="Arial"/>
        </w:rPr>
        <w:t xml:space="preserve">. As depreciation adjustments are considered as significant, unobservable inputs in nature, </w:t>
      </w:r>
      <w:r>
        <w:rPr>
          <w:rFonts w:cs="Arial"/>
        </w:rPr>
        <w:t xml:space="preserve">Exhibitions </w:t>
      </w:r>
      <w:r w:rsidRPr="00776CAA">
        <w:rPr>
          <w:rFonts w:cs="Arial"/>
        </w:rPr>
        <w:t>are classified as Level 3 fair value measurements</w:t>
      </w:r>
      <w:r>
        <w:rPr>
          <w:rFonts w:cs="Arial"/>
        </w:rPr>
        <w:t>.</w:t>
      </w:r>
    </w:p>
    <w:p w14:paraId="0023A414" w14:textId="77777777" w:rsidR="0097090C" w:rsidRPr="00776CAA" w:rsidRDefault="0097090C" w:rsidP="0097090C">
      <w:pPr>
        <w:rPr>
          <w:rFonts w:cs="Arial"/>
        </w:rPr>
      </w:pPr>
    </w:p>
    <w:p w14:paraId="725A4670" w14:textId="77777777" w:rsidR="0097090C" w:rsidRPr="00776CAA" w:rsidRDefault="0097090C" w:rsidP="0097090C">
      <w:pPr>
        <w:spacing w:before="120" w:after="60"/>
        <w:rPr>
          <w:rFonts w:cs="Arial"/>
        </w:rPr>
      </w:pPr>
      <w:r w:rsidRPr="00776CAA">
        <w:rPr>
          <w:rFonts w:cs="Arial"/>
        </w:rPr>
        <w:t>There were no changes in valuation techniques throu</w:t>
      </w:r>
      <w:r>
        <w:rPr>
          <w:rFonts w:cs="Arial"/>
        </w:rPr>
        <w:t>ghout the period to 30 June 2016</w:t>
      </w:r>
      <w:r w:rsidRPr="00776CAA">
        <w:rPr>
          <w:rFonts w:cs="Arial"/>
        </w:rPr>
        <w:t xml:space="preserve">. </w:t>
      </w:r>
    </w:p>
    <w:p w14:paraId="0C4D3938" w14:textId="77777777" w:rsidR="0097090C" w:rsidRDefault="0097090C" w:rsidP="0097090C">
      <w:pPr>
        <w:spacing w:before="120" w:after="60"/>
        <w:rPr>
          <w:rFonts w:cs="Arial"/>
        </w:rPr>
        <w:sectPr w:rsidR="0097090C" w:rsidSect="0097090C">
          <w:pgSz w:w="11906" w:h="16838"/>
          <w:pgMar w:top="1387" w:right="1440" w:bottom="1440" w:left="1440" w:header="709" w:footer="709" w:gutter="0"/>
          <w:cols w:space="708"/>
          <w:docGrid w:linePitch="360"/>
        </w:sectPr>
      </w:pPr>
      <w:r w:rsidRPr="00776CAA">
        <w:rPr>
          <w:rFonts w:cs="Arial"/>
        </w:rPr>
        <w:t>For all assets measured at fair value, the current use is considered the highest and best use.</w:t>
      </w:r>
    </w:p>
    <w:p w14:paraId="0998C4E1" w14:textId="77777777" w:rsidR="0097090C" w:rsidRDefault="0097090C" w:rsidP="0097090C">
      <w:pPr>
        <w:pStyle w:val="Heading5"/>
      </w:pPr>
      <w:r>
        <w:t xml:space="preserve">9(f) </w:t>
      </w:r>
      <w:r w:rsidRPr="00541EDE">
        <w:t>Reconciliation of Level 3 fair value</w:t>
      </w:r>
    </w:p>
    <w:tbl>
      <w:tblPr>
        <w:tblW w:w="12500" w:type="dxa"/>
        <w:tblInd w:w="108" w:type="dxa"/>
        <w:tblLook w:val="04A0" w:firstRow="1" w:lastRow="0" w:firstColumn="1" w:lastColumn="0" w:noHBand="0" w:noVBand="1"/>
      </w:tblPr>
      <w:tblGrid>
        <w:gridCol w:w="4016"/>
        <w:gridCol w:w="1697"/>
        <w:gridCol w:w="1696"/>
        <w:gridCol w:w="1697"/>
        <w:gridCol w:w="1697"/>
        <w:gridCol w:w="1697"/>
      </w:tblGrid>
      <w:tr w:rsidR="0097090C" w:rsidRPr="00182A38" w14:paraId="47C8CF30" w14:textId="77777777" w:rsidTr="0097090C">
        <w:trPr>
          <w:trHeight w:val="480"/>
        </w:trPr>
        <w:tc>
          <w:tcPr>
            <w:tcW w:w="4016" w:type="dxa"/>
            <w:tcBorders>
              <w:top w:val="single" w:sz="4" w:space="0" w:color="auto"/>
              <w:left w:val="nil"/>
              <w:bottom w:val="single" w:sz="4" w:space="0" w:color="auto"/>
              <w:right w:val="nil"/>
            </w:tcBorders>
            <w:shd w:val="clear" w:color="000000" w:fill="D9D9D9"/>
            <w:noWrap/>
            <w:vAlign w:val="bottom"/>
            <w:hideMark/>
          </w:tcPr>
          <w:p w14:paraId="44C5B3AB" w14:textId="77777777" w:rsidR="0097090C" w:rsidRPr="00182A38" w:rsidRDefault="0097090C" w:rsidP="0097090C">
            <w:pPr>
              <w:jc w:val="center"/>
              <w:rPr>
                <w:rFonts w:cs="Arial"/>
                <w:b/>
                <w:bCs/>
                <w:color w:val="000000"/>
                <w:sz w:val="18"/>
                <w:szCs w:val="18"/>
              </w:rPr>
            </w:pPr>
            <w:r w:rsidRPr="00182A38">
              <w:rPr>
                <w:rFonts w:cs="Arial"/>
                <w:b/>
                <w:bCs/>
                <w:color w:val="000000"/>
                <w:sz w:val="18"/>
                <w:szCs w:val="18"/>
              </w:rPr>
              <w:t>2016</w:t>
            </w:r>
          </w:p>
        </w:tc>
        <w:tc>
          <w:tcPr>
            <w:tcW w:w="1697" w:type="dxa"/>
            <w:tcBorders>
              <w:top w:val="single" w:sz="4" w:space="0" w:color="auto"/>
              <w:left w:val="nil"/>
              <w:bottom w:val="single" w:sz="4" w:space="0" w:color="auto"/>
              <w:right w:val="nil"/>
            </w:tcBorders>
            <w:shd w:val="clear" w:color="000000" w:fill="D9D9D9"/>
            <w:vAlign w:val="bottom"/>
            <w:hideMark/>
          </w:tcPr>
          <w:p w14:paraId="6F8A8F58"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Collections</w:t>
            </w:r>
          </w:p>
        </w:tc>
        <w:tc>
          <w:tcPr>
            <w:tcW w:w="1696" w:type="dxa"/>
            <w:tcBorders>
              <w:top w:val="single" w:sz="4" w:space="0" w:color="auto"/>
              <w:left w:val="nil"/>
              <w:bottom w:val="single" w:sz="4" w:space="0" w:color="auto"/>
              <w:right w:val="nil"/>
            </w:tcBorders>
            <w:shd w:val="clear" w:color="000000" w:fill="D9D9D9"/>
            <w:vAlign w:val="bottom"/>
            <w:hideMark/>
          </w:tcPr>
          <w:p w14:paraId="31AA1636"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Land</w:t>
            </w:r>
          </w:p>
        </w:tc>
        <w:tc>
          <w:tcPr>
            <w:tcW w:w="1697" w:type="dxa"/>
            <w:tcBorders>
              <w:top w:val="single" w:sz="4" w:space="0" w:color="auto"/>
              <w:left w:val="nil"/>
              <w:bottom w:val="single" w:sz="4" w:space="0" w:color="auto"/>
              <w:right w:val="nil"/>
            </w:tcBorders>
            <w:shd w:val="clear" w:color="000000" w:fill="D9D9D9"/>
            <w:vAlign w:val="bottom"/>
            <w:hideMark/>
          </w:tcPr>
          <w:p w14:paraId="6522D72D"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Buildings</w:t>
            </w:r>
          </w:p>
        </w:tc>
        <w:tc>
          <w:tcPr>
            <w:tcW w:w="1697" w:type="dxa"/>
            <w:tcBorders>
              <w:top w:val="single" w:sz="4" w:space="0" w:color="auto"/>
              <w:left w:val="nil"/>
              <w:bottom w:val="single" w:sz="4" w:space="0" w:color="auto"/>
              <w:right w:val="nil"/>
            </w:tcBorders>
            <w:shd w:val="clear" w:color="000000" w:fill="D9D9D9"/>
            <w:vAlign w:val="bottom"/>
            <w:hideMark/>
          </w:tcPr>
          <w:p w14:paraId="04A5D715"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Plant and Equipment</w:t>
            </w:r>
          </w:p>
        </w:tc>
        <w:tc>
          <w:tcPr>
            <w:tcW w:w="1697" w:type="dxa"/>
            <w:tcBorders>
              <w:top w:val="single" w:sz="4" w:space="0" w:color="auto"/>
              <w:left w:val="nil"/>
              <w:bottom w:val="single" w:sz="4" w:space="0" w:color="auto"/>
              <w:right w:val="nil"/>
            </w:tcBorders>
            <w:shd w:val="clear" w:color="000000" w:fill="D9D9D9"/>
            <w:vAlign w:val="bottom"/>
            <w:hideMark/>
          </w:tcPr>
          <w:p w14:paraId="6938EC29"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Exhibitions</w:t>
            </w:r>
          </w:p>
        </w:tc>
      </w:tr>
      <w:tr w:rsidR="0097090C" w:rsidRPr="00182A38" w14:paraId="454CE9DA" w14:textId="77777777" w:rsidTr="0097090C">
        <w:trPr>
          <w:trHeight w:val="255"/>
        </w:trPr>
        <w:tc>
          <w:tcPr>
            <w:tcW w:w="4016" w:type="dxa"/>
            <w:tcBorders>
              <w:top w:val="nil"/>
              <w:left w:val="nil"/>
              <w:bottom w:val="single" w:sz="4" w:space="0" w:color="auto"/>
              <w:right w:val="nil"/>
            </w:tcBorders>
            <w:shd w:val="clear" w:color="auto" w:fill="auto"/>
            <w:noWrap/>
            <w:vAlign w:val="bottom"/>
            <w:hideMark/>
          </w:tcPr>
          <w:p w14:paraId="7DC14CA9" w14:textId="77777777" w:rsidR="0097090C" w:rsidRPr="00182A38" w:rsidRDefault="0097090C" w:rsidP="0097090C">
            <w:pPr>
              <w:rPr>
                <w:rFonts w:cs="Arial"/>
                <w:color w:val="000000"/>
                <w:sz w:val="18"/>
                <w:szCs w:val="18"/>
              </w:rPr>
            </w:pPr>
            <w:r w:rsidRPr="00182A38">
              <w:rPr>
                <w:rFonts w:cs="Arial"/>
                <w:color w:val="000000"/>
                <w:sz w:val="18"/>
                <w:szCs w:val="18"/>
              </w:rPr>
              <w:t> </w:t>
            </w:r>
          </w:p>
        </w:tc>
        <w:tc>
          <w:tcPr>
            <w:tcW w:w="1697" w:type="dxa"/>
            <w:tcBorders>
              <w:top w:val="nil"/>
              <w:left w:val="nil"/>
              <w:bottom w:val="single" w:sz="4" w:space="0" w:color="auto"/>
              <w:right w:val="nil"/>
            </w:tcBorders>
            <w:shd w:val="clear" w:color="auto" w:fill="auto"/>
            <w:noWrap/>
            <w:vAlign w:val="center"/>
            <w:hideMark/>
          </w:tcPr>
          <w:p w14:paraId="7BA6E2A2"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6" w:type="dxa"/>
            <w:tcBorders>
              <w:top w:val="nil"/>
              <w:left w:val="nil"/>
              <w:bottom w:val="single" w:sz="4" w:space="0" w:color="auto"/>
              <w:right w:val="nil"/>
            </w:tcBorders>
            <w:shd w:val="clear" w:color="auto" w:fill="auto"/>
            <w:noWrap/>
            <w:vAlign w:val="center"/>
            <w:hideMark/>
          </w:tcPr>
          <w:p w14:paraId="4C5148C7"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7" w:type="dxa"/>
            <w:tcBorders>
              <w:top w:val="nil"/>
              <w:left w:val="nil"/>
              <w:bottom w:val="single" w:sz="4" w:space="0" w:color="auto"/>
              <w:right w:val="nil"/>
            </w:tcBorders>
            <w:shd w:val="clear" w:color="auto" w:fill="auto"/>
            <w:noWrap/>
            <w:vAlign w:val="center"/>
            <w:hideMark/>
          </w:tcPr>
          <w:p w14:paraId="6561D1BB"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7" w:type="dxa"/>
            <w:tcBorders>
              <w:top w:val="nil"/>
              <w:left w:val="nil"/>
              <w:bottom w:val="single" w:sz="4" w:space="0" w:color="auto"/>
              <w:right w:val="nil"/>
            </w:tcBorders>
            <w:shd w:val="clear" w:color="auto" w:fill="auto"/>
            <w:noWrap/>
            <w:vAlign w:val="center"/>
            <w:hideMark/>
          </w:tcPr>
          <w:p w14:paraId="74B7F229"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7" w:type="dxa"/>
            <w:tcBorders>
              <w:top w:val="nil"/>
              <w:left w:val="nil"/>
              <w:bottom w:val="single" w:sz="4" w:space="0" w:color="auto"/>
              <w:right w:val="nil"/>
            </w:tcBorders>
            <w:shd w:val="clear" w:color="auto" w:fill="auto"/>
            <w:noWrap/>
            <w:vAlign w:val="center"/>
            <w:hideMark/>
          </w:tcPr>
          <w:p w14:paraId="4FD1F911"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r>
      <w:tr w:rsidR="0097090C" w:rsidRPr="00182A38" w14:paraId="633AA066" w14:textId="77777777" w:rsidTr="0097090C">
        <w:trPr>
          <w:trHeight w:val="255"/>
        </w:trPr>
        <w:tc>
          <w:tcPr>
            <w:tcW w:w="4016" w:type="dxa"/>
            <w:tcBorders>
              <w:top w:val="nil"/>
              <w:left w:val="nil"/>
              <w:bottom w:val="nil"/>
              <w:right w:val="nil"/>
            </w:tcBorders>
            <w:shd w:val="clear" w:color="auto" w:fill="auto"/>
            <w:noWrap/>
            <w:vAlign w:val="bottom"/>
            <w:hideMark/>
          </w:tcPr>
          <w:p w14:paraId="32B42085" w14:textId="77777777" w:rsidR="0097090C" w:rsidRPr="00182A38" w:rsidRDefault="0097090C" w:rsidP="0097090C">
            <w:pPr>
              <w:rPr>
                <w:rFonts w:cs="Arial"/>
                <w:b/>
                <w:bCs/>
                <w:color w:val="000000"/>
                <w:sz w:val="18"/>
                <w:szCs w:val="18"/>
              </w:rPr>
            </w:pPr>
            <w:r w:rsidRPr="00182A38">
              <w:rPr>
                <w:rFonts w:cs="Arial"/>
                <w:b/>
                <w:bCs/>
                <w:color w:val="000000"/>
                <w:sz w:val="18"/>
                <w:szCs w:val="18"/>
              </w:rPr>
              <w:t>Opening balance</w:t>
            </w:r>
          </w:p>
        </w:tc>
        <w:tc>
          <w:tcPr>
            <w:tcW w:w="1697" w:type="dxa"/>
            <w:tcBorders>
              <w:top w:val="nil"/>
              <w:left w:val="nil"/>
              <w:bottom w:val="nil"/>
              <w:right w:val="nil"/>
            </w:tcBorders>
            <w:shd w:val="clear" w:color="auto" w:fill="auto"/>
            <w:noWrap/>
            <w:vAlign w:val="center"/>
            <w:hideMark/>
          </w:tcPr>
          <w:p w14:paraId="43505D5E"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375,432</w:t>
            </w:r>
          </w:p>
        </w:tc>
        <w:tc>
          <w:tcPr>
            <w:tcW w:w="1696" w:type="dxa"/>
            <w:tcBorders>
              <w:top w:val="nil"/>
              <w:left w:val="nil"/>
              <w:bottom w:val="nil"/>
              <w:right w:val="nil"/>
            </w:tcBorders>
            <w:shd w:val="clear" w:color="auto" w:fill="auto"/>
            <w:noWrap/>
            <w:vAlign w:val="center"/>
            <w:hideMark/>
          </w:tcPr>
          <w:p w14:paraId="7D1AAAD3"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143,699</w:t>
            </w:r>
          </w:p>
        </w:tc>
        <w:tc>
          <w:tcPr>
            <w:tcW w:w="1697" w:type="dxa"/>
            <w:tcBorders>
              <w:top w:val="nil"/>
              <w:left w:val="nil"/>
              <w:bottom w:val="nil"/>
              <w:right w:val="nil"/>
            </w:tcBorders>
            <w:shd w:val="clear" w:color="auto" w:fill="auto"/>
            <w:noWrap/>
            <w:vAlign w:val="center"/>
            <w:hideMark/>
          </w:tcPr>
          <w:p w14:paraId="03184C07"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323,481</w:t>
            </w:r>
          </w:p>
        </w:tc>
        <w:tc>
          <w:tcPr>
            <w:tcW w:w="1697" w:type="dxa"/>
            <w:tcBorders>
              <w:top w:val="nil"/>
              <w:left w:val="nil"/>
              <w:bottom w:val="nil"/>
              <w:right w:val="nil"/>
            </w:tcBorders>
            <w:shd w:val="clear" w:color="auto" w:fill="auto"/>
            <w:noWrap/>
            <w:vAlign w:val="center"/>
            <w:hideMark/>
          </w:tcPr>
          <w:p w14:paraId="56296742"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7,021</w:t>
            </w:r>
          </w:p>
        </w:tc>
        <w:tc>
          <w:tcPr>
            <w:tcW w:w="1697" w:type="dxa"/>
            <w:tcBorders>
              <w:top w:val="nil"/>
              <w:left w:val="nil"/>
              <w:bottom w:val="nil"/>
              <w:right w:val="nil"/>
            </w:tcBorders>
            <w:shd w:val="clear" w:color="auto" w:fill="auto"/>
            <w:noWrap/>
            <w:vAlign w:val="center"/>
            <w:hideMark/>
          </w:tcPr>
          <w:p w14:paraId="0D6B2A18"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1,937</w:t>
            </w:r>
          </w:p>
        </w:tc>
      </w:tr>
      <w:tr w:rsidR="0097090C" w:rsidRPr="00182A38" w14:paraId="6A8069D2" w14:textId="77777777" w:rsidTr="0097090C">
        <w:trPr>
          <w:trHeight w:val="255"/>
        </w:trPr>
        <w:tc>
          <w:tcPr>
            <w:tcW w:w="4016" w:type="dxa"/>
            <w:tcBorders>
              <w:top w:val="nil"/>
              <w:left w:val="nil"/>
              <w:bottom w:val="nil"/>
              <w:right w:val="nil"/>
            </w:tcBorders>
            <w:shd w:val="clear" w:color="auto" w:fill="auto"/>
            <w:noWrap/>
            <w:vAlign w:val="bottom"/>
            <w:hideMark/>
          </w:tcPr>
          <w:p w14:paraId="5B286669" w14:textId="77777777" w:rsidR="0097090C" w:rsidRPr="00182A38" w:rsidRDefault="0097090C" w:rsidP="0097090C">
            <w:pPr>
              <w:rPr>
                <w:rFonts w:cs="Arial"/>
                <w:color w:val="000000"/>
                <w:sz w:val="18"/>
                <w:szCs w:val="18"/>
              </w:rPr>
            </w:pPr>
            <w:r w:rsidRPr="00182A38">
              <w:rPr>
                <w:rFonts w:cs="Arial"/>
                <w:color w:val="000000"/>
                <w:sz w:val="18"/>
                <w:szCs w:val="18"/>
              </w:rPr>
              <w:t>Purchases (sales)</w:t>
            </w:r>
          </w:p>
        </w:tc>
        <w:tc>
          <w:tcPr>
            <w:tcW w:w="1697" w:type="dxa"/>
            <w:tcBorders>
              <w:top w:val="nil"/>
              <w:left w:val="nil"/>
              <w:bottom w:val="nil"/>
              <w:right w:val="nil"/>
            </w:tcBorders>
            <w:shd w:val="clear" w:color="auto" w:fill="auto"/>
            <w:noWrap/>
            <w:vAlign w:val="center"/>
            <w:hideMark/>
          </w:tcPr>
          <w:p w14:paraId="37ED9F90" w14:textId="77777777" w:rsidR="0097090C" w:rsidRPr="00182A38" w:rsidRDefault="0097090C" w:rsidP="0097090C">
            <w:pPr>
              <w:jc w:val="right"/>
              <w:rPr>
                <w:rFonts w:cs="Arial"/>
                <w:color w:val="000000"/>
                <w:sz w:val="18"/>
                <w:szCs w:val="18"/>
              </w:rPr>
            </w:pPr>
            <w:r>
              <w:rPr>
                <w:rFonts w:cs="Arial"/>
                <w:color w:val="000000"/>
                <w:sz w:val="18"/>
                <w:szCs w:val="18"/>
              </w:rPr>
              <w:t>1,147</w:t>
            </w:r>
          </w:p>
        </w:tc>
        <w:tc>
          <w:tcPr>
            <w:tcW w:w="1696" w:type="dxa"/>
            <w:tcBorders>
              <w:top w:val="nil"/>
              <w:left w:val="nil"/>
              <w:bottom w:val="nil"/>
              <w:right w:val="nil"/>
            </w:tcBorders>
            <w:shd w:val="clear" w:color="auto" w:fill="auto"/>
            <w:noWrap/>
            <w:vAlign w:val="center"/>
            <w:hideMark/>
          </w:tcPr>
          <w:p w14:paraId="320F33DA"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0C44F230" w14:textId="77777777" w:rsidR="0097090C" w:rsidRPr="00182A38" w:rsidRDefault="0097090C" w:rsidP="0097090C">
            <w:pPr>
              <w:jc w:val="right"/>
              <w:rPr>
                <w:rFonts w:cs="Arial"/>
                <w:color w:val="000000"/>
                <w:sz w:val="18"/>
                <w:szCs w:val="18"/>
              </w:rPr>
            </w:pPr>
            <w:r w:rsidRPr="00182A38">
              <w:rPr>
                <w:rFonts w:cs="Arial"/>
                <w:color w:val="000000"/>
                <w:sz w:val="18"/>
                <w:szCs w:val="18"/>
              </w:rPr>
              <w:t>5,589</w:t>
            </w:r>
          </w:p>
        </w:tc>
        <w:tc>
          <w:tcPr>
            <w:tcW w:w="1697" w:type="dxa"/>
            <w:tcBorders>
              <w:top w:val="nil"/>
              <w:left w:val="nil"/>
              <w:bottom w:val="nil"/>
              <w:right w:val="nil"/>
            </w:tcBorders>
            <w:shd w:val="clear" w:color="auto" w:fill="auto"/>
            <w:noWrap/>
            <w:vAlign w:val="center"/>
            <w:hideMark/>
          </w:tcPr>
          <w:p w14:paraId="4C0BD38F" w14:textId="77777777" w:rsidR="0097090C" w:rsidRPr="00182A38" w:rsidRDefault="0097090C" w:rsidP="0097090C">
            <w:pPr>
              <w:jc w:val="right"/>
              <w:rPr>
                <w:rFonts w:cs="Arial"/>
                <w:color w:val="000000"/>
                <w:sz w:val="18"/>
                <w:szCs w:val="18"/>
              </w:rPr>
            </w:pPr>
            <w:r w:rsidRPr="00182A38">
              <w:rPr>
                <w:rFonts w:cs="Arial"/>
                <w:color w:val="000000"/>
                <w:sz w:val="18"/>
                <w:szCs w:val="18"/>
              </w:rPr>
              <w:t>731</w:t>
            </w:r>
          </w:p>
        </w:tc>
        <w:tc>
          <w:tcPr>
            <w:tcW w:w="1697" w:type="dxa"/>
            <w:tcBorders>
              <w:top w:val="nil"/>
              <w:left w:val="nil"/>
              <w:bottom w:val="nil"/>
              <w:right w:val="nil"/>
            </w:tcBorders>
            <w:shd w:val="clear" w:color="auto" w:fill="auto"/>
            <w:noWrap/>
            <w:vAlign w:val="center"/>
            <w:hideMark/>
          </w:tcPr>
          <w:p w14:paraId="7CBFF0A8" w14:textId="77777777" w:rsidR="0097090C" w:rsidRPr="00182A38" w:rsidRDefault="0097090C" w:rsidP="0097090C">
            <w:pPr>
              <w:jc w:val="right"/>
              <w:rPr>
                <w:rFonts w:cs="Arial"/>
                <w:color w:val="000000"/>
                <w:sz w:val="18"/>
                <w:szCs w:val="18"/>
              </w:rPr>
            </w:pPr>
            <w:r>
              <w:rPr>
                <w:rFonts w:cs="Arial"/>
                <w:color w:val="000000"/>
                <w:sz w:val="18"/>
                <w:szCs w:val="18"/>
              </w:rPr>
              <w:t>2,244</w:t>
            </w:r>
          </w:p>
        </w:tc>
      </w:tr>
      <w:tr w:rsidR="0097090C" w:rsidRPr="00182A38" w14:paraId="2A9E7270" w14:textId="77777777" w:rsidTr="0097090C">
        <w:trPr>
          <w:trHeight w:val="255"/>
        </w:trPr>
        <w:tc>
          <w:tcPr>
            <w:tcW w:w="4016" w:type="dxa"/>
            <w:tcBorders>
              <w:top w:val="nil"/>
              <w:left w:val="nil"/>
              <w:bottom w:val="nil"/>
              <w:right w:val="nil"/>
            </w:tcBorders>
            <w:shd w:val="clear" w:color="auto" w:fill="auto"/>
            <w:noWrap/>
            <w:vAlign w:val="bottom"/>
            <w:hideMark/>
          </w:tcPr>
          <w:p w14:paraId="5B6882D1" w14:textId="77777777" w:rsidR="0097090C" w:rsidRPr="00182A38" w:rsidRDefault="0097090C" w:rsidP="0097090C">
            <w:pPr>
              <w:rPr>
                <w:rFonts w:cs="Arial"/>
                <w:color w:val="000000"/>
                <w:sz w:val="18"/>
                <w:szCs w:val="18"/>
              </w:rPr>
            </w:pPr>
            <w:r w:rsidRPr="00182A38">
              <w:rPr>
                <w:rFonts w:cs="Arial"/>
                <w:color w:val="000000"/>
                <w:sz w:val="18"/>
                <w:szCs w:val="18"/>
              </w:rPr>
              <w:t>Transfers in (out) of Level 3</w:t>
            </w:r>
          </w:p>
        </w:tc>
        <w:tc>
          <w:tcPr>
            <w:tcW w:w="1697" w:type="dxa"/>
            <w:tcBorders>
              <w:top w:val="nil"/>
              <w:left w:val="nil"/>
              <w:bottom w:val="nil"/>
              <w:right w:val="nil"/>
            </w:tcBorders>
            <w:shd w:val="clear" w:color="auto" w:fill="auto"/>
            <w:noWrap/>
            <w:vAlign w:val="center"/>
            <w:hideMark/>
          </w:tcPr>
          <w:p w14:paraId="536F6A7C" w14:textId="77777777" w:rsidR="0097090C" w:rsidRPr="00182A38" w:rsidRDefault="0097090C" w:rsidP="0097090C">
            <w:pPr>
              <w:jc w:val="right"/>
              <w:rPr>
                <w:rFonts w:cs="Arial"/>
                <w:color w:val="000000"/>
                <w:sz w:val="18"/>
                <w:szCs w:val="18"/>
              </w:rPr>
            </w:pPr>
            <w:r>
              <w:rPr>
                <w:rFonts w:cs="Arial"/>
                <w:color w:val="000000"/>
                <w:sz w:val="18"/>
                <w:szCs w:val="18"/>
              </w:rPr>
              <w:t>168,609</w:t>
            </w:r>
          </w:p>
        </w:tc>
        <w:tc>
          <w:tcPr>
            <w:tcW w:w="1696" w:type="dxa"/>
            <w:tcBorders>
              <w:top w:val="nil"/>
              <w:left w:val="nil"/>
              <w:bottom w:val="nil"/>
              <w:right w:val="nil"/>
            </w:tcBorders>
            <w:shd w:val="clear" w:color="auto" w:fill="auto"/>
            <w:noWrap/>
            <w:vAlign w:val="center"/>
            <w:hideMark/>
          </w:tcPr>
          <w:p w14:paraId="7454F9B9"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7AFD36DF"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5F2F1533"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2C4D4009"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24E8457A" w14:textId="77777777" w:rsidTr="0097090C">
        <w:trPr>
          <w:trHeight w:val="255"/>
        </w:trPr>
        <w:tc>
          <w:tcPr>
            <w:tcW w:w="4016" w:type="dxa"/>
            <w:tcBorders>
              <w:top w:val="nil"/>
              <w:left w:val="nil"/>
              <w:bottom w:val="nil"/>
              <w:right w:val="nil"/>
            </w:tcBorders>
            <w:shd w:val="clear" w:color="auto" w:fill="auto"/>
            <w:noWrap/>
            <w:vAlign w:val="bottom"/>
            <w:hideMark/>
          </w:tcPr>
          <w:p w14:paraId="1B98EC03" w14:textId="77777777" w:rsidR="0097090C" w:rsidRPr="00182A38" w:rsidRDefault="0097090C" w:rsidP="0097090C">
            <w:pPr>
              <w:rPr>
                <w:rFonts w:cs="Arial"/>
                <w:color w:val="000000"/>
                <w:sz w:val="18"/>
                <w:szCs w:val="18"/>
              </w:rPr>
            </w:pPr>
            <w:r w:rsidRPr="00182A38">
              <w:rPr>
                <w:rFonts w:cs="Arial"/>
                <w:color w:val="000000"/>
                <w:sz w:val="18"/>
                <w:szCs w:val="18"/>
              </w:rPr>
              <w:t>Gains or losses recognised in net result</w:t>
            </w:r>
          </w:p>
        </w:tc>
        <w:tc>
          <w:tcPr>
            <w:tcW w:w="1697" w:type="dxa"/>
            <w:tcBorders>
              <w:top w:val="nil"/>
              <w:left w:val="nil"/>
              <w:bottom w:val="nil"/>
              <w:right w:val="nil"/>
            </w:tcBorders>
            <w:shd w:val="clear" w:color="auto" w:fill="auto"/>
            <w:noWrap/>
            <w:vAlign w:val="center"/>
            <w:hideMark/>
          </w:tcPr>
          <w:p w14:paraId="54A2E0D7"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07988953"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01D8FA3E"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7C04BBC4"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5CA44497"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0EEF7035" w14:textId="77777777" w:rsidTr="0097090C">
        <w:trPr>
          <w:trHeight w:val="255"/>
        </w:trPr>
        <w:tc>
          <w:tcPr>
            <w:tcW w:w="4016" w:type="dxa"/>
            <w:tcBorders>
              <w:top w:val="nil"/>
              <w:left w:val="nil"/>
              <w:bottom w:val="nil"/>
              <w:right w:val="nil"/>
            </w:tcBorders>
            <w:shd w:val="clear" w:color="auto" w:fill="auto"/>
            <w:noWrap/>
            <w:vAlign w:val="bottom"/>
            <w:hideMark/>
          </w:tcPr>
          <w:p w14:paraId="7DBE0D04" w14:textId="77777777" w:rsidR="0097090C" w:rsidRPr="00182A38" w:rsidRDefault="0097090C" w:rsidP="0097090C">
            <w:pPr>
              <w:rPr>
                <w:rFonts w:cs="Arial"/>
                <w:color w:val="000000"/>
                <w:sz w:val="18"/>
                <w:szCs w:val="18"/>
              </w:rPr>
            </w:pPr>
            <w:r w:rsidRPr="00182A38">
              <w:rPr>
                <w:rFonts w:cs="Arial"/>
                <w:color w:val="000000"/>
                <w:sz w:val="18"/>
                <w:szCs w:val="18"/>
              </w:rPr>
              <w:t>Depreciation</w:t>
            </w:r>
          </w:p>
        </w:tc>
        <w:tc>
          <w:tcPr>
            <w:tcW w:w="1697" w:type="dxa"/>
            <w:tcBorders>
              <w:top w:val="nil"/>
              <w:left w:val="nil"/>
              <w:bottom w:val="nil"/>
              <w:right w:val="nil"/>
            </w:tcBorders>
            <w:shd w:val="clear" w:color="auto" w:fill="auto"/>
            <w:noWrap/>
            <w:vAlign w:val="center"/>
            <w:hideMark/>
          </w:tcPr>
          <w:p w14:paraId="7F065F64" w14:textId="77777777" w:rsidR="0097090C" w:rsidRPr="00182A38" w:rsidRDefault="0097090C" w:rsidP="0097090C">
            <w:pPr>
              <w:jc w:val="right"/>
              <w:rPr>
                <w:rFonts w:cs="Arial"/>
                <w:color w:val="000000"/>
                <w:sz w:val="18"/>
                <w:szCs w:val="18"/>
              </w:rPr>
            </w:pPr>
            <w:r w:rsidRPr="00182A38">
              <w:rPr>
                <w:rFonts w:cs="Arial"/>
                <w:color w:val="000000"/>
                <w:sz w:val="18"/>
                <w:szCs w:val="18"/>
              </w:rPr>
              <w:t>(103)</w:t>
            </w:r>
          </w:p>
        </w:tc>
        <w:tc>
          <w:tcPr>
            <w:tcW w:w="1696" w:type="dxa"/>
            <w:tcBorders>
              <w:top w:val="nil"/>
              <w:left w:val="nil"/>
              <w:bottom w:val="nil"/>
              <w:right w:val="nil"/>
            </w:tcBorders>
            <w:shd w:val="clear" w:color="auto" w:fill="auto"/>
            <w:noWrap/>
            <w:vAlign w:val="center"/>
            <w:hideMark/>
          </w:tcPr>
          <w:p w14:paraId="328672CB"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6AEEAC23" w14:textId="77777777" w:rsidR="0097090C" w:rsidRPr="00182A38" w:rsidRDefault="0097090C" w:rsidP="0097090C">
            <w:pPr>
              <w:jc w:val="right"/>
              <w:rPr>
                <w:rFonts w:cs="Arial"/>
                <w:color w:val="000000"/>
                <w:sz w:val="18"/>
                <w:szCs w:val="18"/>
              </w:rPr>
            </w:pPr>
            <w:r w:rsidRPr="00182A38">
              <w:rPr>
                <w:rFonts w:cs="Arial"/>
                <w:color w:val="000000"/>
                <w:sz w:val="18"/>
                <w:szCs w:val="18"/>
              </w:rPr>
              <w:t>(15,709)</w:t>
            </w:r>
          </w:p>
        </w:tc>
        <w:tc>
          <w:tcPr>
            <w:tcW w:w="1697" w:type="dxa"/>
            <w:tcBorders>
              <w:top w:val="nil"/>
              <w:left w:val="nil"/>
              <w:bottom w:val="nil"/>
              <w:right w:val="nil"/>
            </w:tcBorders>
            <w:shd w:val="clear" w:color="auto" w:fill="auto"/>
            <w:noWrap/>
            <w:vAlign w:val="center"/>
            <w:hideMark/>
          </w:tcPr>
          <w:p w14:paraId="614EA51C" w14:textId="77777777" w:rsidR="0097090C" w:rsidRPr="00182A38" w:rsidRDefault="0097090C" w:rsidP="0097090C">
            <w:pPr>
              <w:jc w:val="right"/>
              <w:rPr>
                <w:rFonts w:cs="Arial"/>
                <w:color w:val="000000"/>
                <w:sz w:val="18"/>
                <w:szCs w:val="18"/>
              </w:rPr>
            </w:pPr>
            <w:r w:rsidRPr="00182A38">
              <w:rPr>
                <w:rFonts w:cs="Arial"/>
                <w:color w:val="000000"/>
                <w:sz w:val="18"/>
                <w:szCs w:val="18"/>
              </w:rPr>
              <w:t>(1,285)</w:t>
            </w:r>
          </w:p>
        </w:tc>
        <w:tc>
          <w:tcPr>
            <w:tcW w:w="1697" w:type="dxa"/>
            <w:tcBorders>
              <w:top w:val="nil"/>
              <w:left w:val="nil"/>
              <w:bottom w:val="nil"/>
              <w:right w:val="nil"/>
            </w:tcBorders>
            <w:shd w:val="clear" w:color="auto" w:fill="auto"/>
            <w:noWrap/>
            <w:vAlign w:val="center"/>
            <w:hideMark/>
          </w:tcPr>
          <w:p w14:paraId="212120AE" w14:textId="77777777" w:rsidR="0097090C" w:rsidRPr="00182A38" w:rsidRDefault="0097090C" w:rsidP="0097090C">
            <w:pPr>
              <w:jc w:val="right"/>
              <w:rPr>
                <w:rFonts w:cs="Arial"/>
                <w:color w:val="000000"/>
                <w:sz w:val="18"/>
                <w:szCs w:val="18"/>
              </w:rPr>
            </w:pPr>
            <w:r w:rsidRPr="00182A38">
              <w:rPr>
                <w:rFonts w:cs="Arial"/>
                <w:color w:val="000000"/>
                <w:sz w:val="18"/>
                <w:szCs w:val="18"/>
              </w:rPr>
              <w:t>(601)</w:t>
            </w:r>
          </w:p>
        </w:tc>
      </w:tr>
      <w:tr w:rsidR="0097090C" w:rsidRPr="00182A38" w14:paraId="390AB314" w14:textId="77777777" w:rsidTr="0097090C">
        <w:trPr>
          <w:trHeight w:val="255"/>
        </w:trPr>
        <w:tc>
          <w:tcPr>
            <w:tcW w:w="4016" w:type="dxa"/>
            <w:tcBorders>
              <w:top w:val="nil"/>
              <w:left w:val="nil"/>
              <w:bottom w:val="nil"/>
              <w:right w:val="nil"/>
            </w:tcBorders>
            <w:shd w:val="clear" w:color="auto" w:fill="auto"/>
            <w:noWrap/>
            <w:vAlign w:val="bottom"/>
            <w:hideMark/>
          </w:tcPr>
          <w:p w14:paraId="12B04F30" w14:textId="77777777" w:rsidR="0097090C" w:rsidRPr="00182A38" w:rsidRDefault="0097090C" w:rsidP="0097090C">
            <w:pPr>
              <w:rPr>
                <w:rFonts w:cs="Arial"/>
                <w:color w:val="000000"/>
                <w:sz w:val="18"/>
                <w:szCs w:val="18"/>
              </w:rPr>
            </w:pPr>
            <w:r w:rsidRPr="00182A38">
              <w:rPr>
                <w:rFonts w:cs="Arial"/>
                <w:color w:val="000000"/>
                <w:sz w:val="18"/>
                <w:szCs w:val="18"/>
              </w:rPr>
              <w:t>Impairment loss</w:t>
            </w:r>
          </w:p>
        </w:tc>
        <w:tc>
          <w:tcPr>
            <w:tcW w:w="1697" w:type="dxa"/>
            <w:tcBorders>
              <w:top w:val="nil"/>
              <w:left w:val="nil"/>
              <w:bottom w:val="nil"/>
              <w:right w:val="nil"/>
            </w:tcBorders>
            <w:shd w:val="clear" w:color="auto" w:fill="auto"/>
            <w:noWrap/>
            <w:vAlign w:val="center"/>
            <w:hideMark/>
          </w:tcPr>
          <w:p w14:paraId="10DAA52E"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2EFF86CA"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1BE2CC40"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66C2770F"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4D5E630C"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1EF97707" w14:textId="77777777" w:rsidTr="0097090C">
        <w:trPr>
          <w:trHeight w:val="255"/>
        </w:trPr>
        <w:tc>
          <w:tcPr>
            <w:tcW w:w="4016" w:type="dxa"/>
            <w:tcBorders>
              <w:top w:val="single" w:sz="4" w:space="0" w:color="auto"/>
              <w:left w:val="nil"/>
              <w:bottom w:val="single" w:sz="4" w:space="0" w:color="auto"/>
              <w:right w:val="nil"/>
            </w:tcBorders>
            <w:shd w:val="clear" w:color="auto" w:fill="auto"/>
            <w:noWrap/>
            <w:vAlign w:val="bottom"/>
            <w:hideMark/>
          </w:tcPr>
          <w:p w14:paraId="6A84D96F" w14:textId="77777777" w:rsidR="0097090C" w:rsidRPr="00182A38" w:rsidRDefault="0097090C" w:rsidP="0097090C">
            <w:pPr>
              <w:rPr>
                <w:rFonts w:cs="Arial"/>
                <w:color w:val="000000"/>
                <w:sz w:val="18"/>
                <w:szCs w:val="18"/>
              </w:rPr>
            </w:pPr>
            <w:r w:rsidRPr="00182A38">
              <w:rPr>
                <w:rFonts w:cs="Arial"/>
                <w:color w:val="000000"/>
                <w:sz w:val="18"/>
                <w:szCs w:val="18"/>
              </w:rPr>
              <w:t>Subtotal</w:t>
            </w:r>
          </w:p>
        </w:tc>
        <w:tc>
          <w:tcPr>
            <w:tcW w:w="1697" w:type="dxa"/>
            <w:tcBorders>
              <w:top w:val="single" w:sz="4" w:space="0" w:color="auto"/>
              <w:left w:val="nil"/>
              <w:bottom w:val="single" w:sz="4" w:space="0" w:color="auto"/>
              <w:right w:val="nil"/>
            </w:tcBorders>
            <w:shd w:val="clear" w:color="auto" w:fill="auto"/>
            <w:noWrap/>
            <w:vAlign w:val="center"/>
            <w:hideMark/>
          </w:tcPr>
          <w:p w14:paraId="059668FF" w14:textId="77777777" w:rsidR="0097090C" w:rsidRPr="00182A38" w:rsidRDefault="0097090C" w:rsidP="0097090C">
            <w:pPr>
              <w:jc w:val="right"/>
              <w:rPr>
                <w:rFonts w:cs="Arial"/>
                <w:color w:val="000000"/>
                <w:sz w:val="18"/>
                <w:szCs w:val="18"/>
              </w:rPr>
            </w:pPr>
            <w:r>
              <w:rPr>
                <w:rFonts w:cs="Arial"/>
                <w:color w:val="000000"/>
                <w:sz w:val="18"/>
                <w:szCs w:val="18"/>
              </w:rPr>
              <w:t>545,085</w:t>
            </w:r>
          </w:p>
        </w:tc>
        <w:tc>
          <w:tcPr>
            <w:tcW w:w="1696" w:type="dxa"/>
            <w:tcBorders>
              <w:top w:val="single" w:sz="4" w:space="0" w:color="auto"/>
              <w:left w:val="nil"/>
              <w:bottom w:val="single" w:sz="4" w:space="0" w:color="auto"/>
              <w:right w:val="nil"/>
            </w:tcBorders>
            <w:shd w:val="clear" w:color="auto" w:fill="auto"/>
            <w:noWrap/>
            <w:vAlign w:val="center"/>
            <w:hideMark/>
          </w:tcPr>
          <w:p w14:paraId="7646A0CD" w14:textId="77777777" w:rsidR="0097090C" w:rsidRPr="00182A38" w:rsidRDefault="0097090C" w:rsidP="0097090C">
            <w:pPr>
              <w:jc w:val="right"/>
              <w:rPr>
                <w:rFonts w:cs="Arial"/>
                <w:color w:val="000000"/>
                <w:sz w:val="18"/>
                <w:szCs w:val="18"/>
              </w:rPr>
            </w:pPr>
            <w:r w:rsidRPr="00182A38">
              <w:rPr>
                <w:rFonts w:cs="Arial"/>
                <w:color w:val="000000"/>
                <w:sz w:val="18"/>
                <w:szCs w:val="18"/>
              </w:rPr>
              <w:t>143,699</w:t>
            </w:r>
          </w:p>
        </w:tc>
        <w:tc>
          <w:tcPr>
            <w:tcW w:w="1697" w:type="dxa"/>
            <w:tcBorders>
              <w:top w:val="single" w:sz="4" w:space="0" w:color="auto"/>
              <w:left w:val="nil"/>
              <w:bottom w:val="single" w:sz="4" w:space="0" w:color="auto"/>
              <w:right w:val="nil"/>
            </w:tcBorders>
            <w:shd w:val="clear" w:color="auto" w:fill="auto"/>
            <w:noWrap/>
            <w:vAlign w:val="center"/>
            <w:hideMark/>
          </w:tcPr>
          <w:p w14:paraId="0E93D216" w14:textId="77777777" w:rsidR="0097090C" w:rsidRPr="00182A38" w:rsidRDefault="0097090C" w:rsidP="0097090C">
            <w:pPr>
              <w:jc w:val="right"/>
              <w:rPr>
                <w:rFonts w:cs="Arial"/>
                <w:color w:val="000000"/>
                <w:sz w:val="18"/>
                <w:szCs w:val="18"/>
              </w:rPr>
            </w:pPr>
            <w:r w:rsidRPr="00182A38">
              <w:rPr>
                <w:rFonts w:cs="Arial"/>
                <w:color w:val="000000"/>
                <w:sz w:val="18"/>
                <w:szCs w:val="18"/>
              </w:rPr>
              <w:t>313,361</w:t>
            </w:r>
          </w:p>
        </w:tc>
        <w:tc>
          <w:tcPr>
            <w:tcW w:w="1697" w:type="dxa"/>
            <w:tcBorders>
              <w:top w:val="single" w:sz="4" w:space="0" w:color="auto"/>
              <w:left w:val="nil"/>
              <w:bottom w:val="single" w:sz="4" w:space="0" w:color="auto"/>
              <w:right w:val="nil"/>
            </w:tcBorders>
            <w:shd w:val="clear" w:color="auto" w:fill="auto"/>
            <w:noWrap/>
            <w:vAlign w:val="center"/>
            <w:hideMark/>
          </w:tcPr>
          <w:p w14:paraId="57EF41F9" w14:textId="77777777" w:rsidR="0097090C" w:rsidRPr="00182A38" w:rsidRDefault="0097090C" w:rsidP="0097090C">
            <w:pPr>
              <w:jc w:val="right"/>
              <w:rPr>
                <w:rFonts w:cs="Arial"/>
                <w:color w:val="000000"/>
                <w:sz w:val="18"/>
                <w:szCs w:val="18"/>
              </w:rPr>
            </w:pPr>
            <w:r w:rsidRPr="00182A38">
              <w:rPr>
                <w:rFonts w:cs="Arial"/>
                <w:color w:val="000000"/>
                <w:sz w:val="18"/>
                <w:szCs w:val="18"/>
              </w:rPr>
              <w:t>6,467</w:t>
            </w:r>
          </w:p>
        </w:tc>
        <w:tc>
          <w:tcPr>
            <w:tcW w:w="1697" w:type="dxa"/>
            <w:tcBorders>
              <w:top w:val="single" w:sz="4" w:space="0" w:color="auto"/>
              <w:left w:val="nil"/>
              <w:bottom w:val="single" w:sz="4" w:space="0" w:color="auto"/>
              <w:right w:val="nil"/>
            </w:tcBorders>
            <w:shd w:val="clear" w:color="auto" w:fill="auto"/>
            <w:noWrap/>
            <w:vAlign w:val="center"/>
            <w:hideMark/>
          </w:tcPr>
          <w:p w14:paraId="10C2DF34" w14:textId="77777777" w:rsidR="0097090C" w:rsidRPr="00182A38" w:rsidRDefault="0097090C" w:rsidP="0097090C">
            <w:pPr>
              <w:jc w:val="right"/>
              <w:rPr>
                <w:rFonts w:cs="Arial"/>
                <w:color w:val="000000"/>
                <w:sz w:val="18"/>
                <w:szCs w:val="18"/>
              </w:rPr>
            </w:pPr>
            <w:r>
              <w:rPr>
                <w:rFonts w:cs="Arial"/>
                <w:color w:val="000000"/>
                <w:sz w:val="18"/>
                <w:szCs w:val="18"/>
              </w:rPr>
              <w:t>3,580</w:t>
            </w:r>
          </w:p>
        </w:tc>
      </w:tr>
      <w:tr w:rsidR="0097090C" w:rsidRPr="00182A38" w14:paraId="29E094BB" w14:textId="77777777" w:rsidTr="0097090C">
        <w:trPr>
          <w:trHeight w:val="510"/>
        </w:trPr>
        <w:tc>
          <w:tcPr>
            <w:tcW w:w="4016" w:type="dxa"/>
            <w:tcBorders>
              <w:top w:val="nil"/>
              <w:left w:val="nil"/>
              <w:bottom w:val="nil"/>
              <w:right w:val="nil"/>
            </w:tcBorders>
            <w:shd w:val="clear" w:color="auto" w:fill="auto"/>
            <w:vAlign w:val="bottom"/>
            <w:hideMark/>
          </w:tcPr>
          <w:p w14:paraId="635816AA" w14:textId="77777777" w:rsidR="0097090C" w:rsidRPr="00182A38" w:rsidRDefault="0097090C" w:rsidP="0097090C">
            <w:pPr>
              <w:rPr>
                <w:rFonts w:cs="Arial"/>
                <w:color w:val="000000"/>
                <w:sz w:val="18"/>
                <w:szCs w:val="18"/>
              </w:rPr>
            </w:pPr>
            <w:r w:rsidRPr="00182A38">
              <w:rPr>
                <w:rFonts w:cs="Arial"/>
                <w:color w:val="000000"/>
                <w:sz w:val="18"/>
                <w:szCs w:val="18"/>
              </w:rPr>
              <w:t>Gains or losses recognised in other economic flows – other comprehensive income</w:t>
            </w:r>
          </w:p>
        </w:tc>
        <w:tc>
          <w:tcPr>
            <w:tcW w:w="1697" w:type="dxa"/>
            <w:tcBorders>
              <w:top w:val="nil"/>
              <w:left w:val="nil"/>
              <w:bottom w:val="nil"/>
              <w:right w:val="nil"/>
            </w:tcBorders>
            <w:shd w:val="clear" w:color="auto" w:fill="auto"/>
            <w:noWrap/>
            <w:vAlign w:val="center"/>
            <w:hideMark/>
          </w:tcPr>
          <w:p w14:paraId="456A70C4"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1F74F675"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651FA584"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0A1DAFF1"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2FF3751D"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44AE3EBB" w14:textId="77777777" w:rsidTr="0097090C">
        <w:trPr>
          <w:trHeight w:val="255"/>
        </w:trPr>
        <w:tc>
          <w:tcPr>
            <w:tcW w:w="4016" w:type="dxa"/>
            <w:tcBorders>
              <w:top w:val="nil"/>
              <w:left w:val="nil"/>
              <w:bottom w:val="nil"/>
              <w:right w:val="nil"/>
            </w:tcBorders>
            <w:shd w:val="clear" w:color="auto" w:fill="auto"/>
            <w:noWrap/>
            <w:vAlign w:val="bottom"/>
            <w:hideMark/>
          </w:tcPr>
          <w:p w14:paraId="27B69071" w14:textId="77777777" w:rsidR="0097090C" w:rsidRPr="00182A38" w:rsidRDefault="0097090C" w:rsidP="0097090C">
            <w:pPr>
              <w:rPr>
                <w:rFonts w:cs="Arial"/>
                <w:color w:val="000000"/>
                <w:sz w:val="18"/>
                <w:szCs w:val="18"/>
              </w:rPr>
            </w:pPr>
            <w:r w:rsidRPr="00182A38">
              <w:rPr>
                <w:rFonts w:cs="Arial"/>
                <w:color w:val="000000"/>
                <w:sz w:val="18"/>
                <w:szCs w:val="18"/>
              </w:rPr>
              <w:t>Revaluation</w:t>
            </w:r>
          </w:p>
        </w:tc>
        <w:tc>
          <w:tcPr>
            <w:tcW w:w="1697" w:type="dxa"/>
            <w:tcBorders>
              <w:top w:val="nil"/>
              <w:left w:val="nil"/>
              <w:bottom w:val="nil"/>
              <w:right w:val="nil"/>
            </w:tcBorders>
            <w:shd w:val="clear" w:color="auto" w:fill="auto"/>
            <w:noWrap/>
            <w:vAlign w:val="center"/>
            <w:hideMark/>
          </w:tcPr>
          <w:p w14:paraId="21D015F8" w14:textId="77777777" w:rsidR="0097090C" w:rsidRPr="00182A38" w:rsidRDefault="0097090C" w:rsidP="0097090C">
            <w:pPr>
              <w:jc w:val="right"/>
              <w:rPr>
                <w:rFonts w:cs="Arial"/>
                <w:color w:val="000000"/>
                <w:sz w:val="18"/>
                <w:szCs w:val="18"/>
              </w:rPr>
            </w:pPr>
            <w:r>
              <w:rPr>
                <w:rFonts w:cs="Arial"/>
                <w:color w:val="000000"/>
                <w:sz w:val="18"/>
                <w:szCs w:val="18"/>
              </w:rPr>
              <w:t>160,845</w:t>
            </w:r>
          </w:p>
        </w:tc>
        <w:tc>
          <w:tcPr>
            <w:tcW w:w="1696" w:type="dxa"/>
            <w:tcBorders>
              <w:top w:val="nil"/>
              <w:left w:val="nil"/>
              <w:bottom w:val="nil"/>
              <w:right w:val="nil"/>
            </w:tcBorders>
            <w:shd w:val="clear" w:color="auto" w:fill="auto"/>
            <w:noWrap/>
            <w:vAlign w:val="center"/>
            <w:hideMark/>
          </w:tcPr>
          <w:p w14:paraId="46E7998B" w14:textId="77777777" w:rsidR="0097090C" w:rsidRPr="00182A38" w:rsidRDefault="0097090C" w:rsidP="0097090C">
            <w:pPr>
              <w:jc w:val="right"/>
              <w:rPr>
                <w:rFonts w:cs="Arial"/>
                <w:color w:val="000000"/>
                <w:sz w:val="18"/>
                <w:szCs w:val="18"/>
              </w:rPr>
            </w:pPr>
            <w:r w:rsidRPr="00182A38">
              <w:rPr>
                <w:rFonts w:cs="Arial"/>
                <w:color w:val="000000"/>
                <w:sz w:val="18"/>
                <w:szCs w:val="18"/>
              </w:rPr>
              <w:t>219,660</w:t>
            </w:r>
          </w:p>
        </w:tc>
        <w:tc>
          <w:tcPr>
            <w:tcW w:w="1697" w:type="dxa"/>
            <w:tcBorders>
              <w:top w:val="nil"/>
              <w:left w:val="nil"/>
              <w:bottom w:val="nil"/>
              <w:right w:val="nil"/>
            </w:tcBorders>
            <w:shd w:val="clear" w:color="auto" w:fill="auto"/>
            <w:noWrap/>
            <w:vAlign w:val="center"/>
            <w:hideMark/>
          </w:tcPr>
          <w:p w14:paraId="3DFA4A27" w14:textId="77777777" w:rsidR="0097090C" w:rsidRPr="00182A38" w:rsidRDefault="0097090C" w:rsidP="0097090C">
            <w:pPr>
              <w:jc w:val="right"/>
              <w:rPr>
                <w:rFonts w:cs="Arial"/>
                <w:color w:val="000000"/>
                <w:sz w:val="18"/>
                <w:szCs w:val="18"/>
              </w:rPr>
            </w:pPr>
            <w:r>
              <w:rPr>
                <w:rFonts w:cs="Arial"/>
                <w:color w:val="000000"/>
                <w:sz w:val="18"/>
                <w:szCs w:val="18"/>
              </w:rPr>
              <w:t>201,360</w:t>
            </w:r>
          </w:p>
        </w:tc>
        <w:tc>
          <w:tcPr>
            <w:tcW w:w="1697" w:type="dxa"/>
            <w:tcBorders>
              <w:top w:val="nil"/>
              <w:left w:val="nil"/>
              <w:bottom w:val="nil"/>
              <w:right w:val="nil"/>
            </w:tcBorders>
            <w:shd w:val="clear" w:color="auto" w:fill="auto"/>
            <w:noWrap/>
            <w:vAlign w:val="center"/>
            <w:hideMark/>
          </w:tcPr>
          <w:p w14:paraId="45FBA025"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613B8D72"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41250630" w14:textId="77777777" w:rsidTr="0097090C">
        <w:trPr>
          <w:trHeight w:val="255"/>
        </w:trPr>
        <w:tc>
          <w:tcPr>
            <w:tcW w:w="4016" w:type="dxa"/>
            <w:tcBorders>
              <w:top w:val="single" w:sz="4" w:space="0" w:color="auto"/>
              <w:left w:val="nil"/>
              <w:bottom w:val="single" w:sz="4" w:space="0" w:color="auto"/>
              <w:right w:val="nil"/>
            </w:tcBorders>
            <w:shd w:val="clear" w:color="auto" w:fill="auto"/>
            <w:noWrap/>
            <w:vAlign w:val="bottom"/>
            <w:hideMark/>
          </w:tcPr>
          <w:p w14:paraId="6BA9707C" w14:textId="77777777" w:rsidR="0097090C" w:rsidRPr="00182A38" w:rsidRDefault="0097090C" w:rsidP="0097090C">
            <w:pPr>
              <w:rPr>
                <w:rFonts w:cs="Arial"/>
                <w:color w:val="000000"/>
                <w:sz w:val="18"/>
                <w:szCs w:val="18"/>
              </w:rPr>
            </w:pPr>
            <w:r w:rsidRPr="00182A38">
              <w:rPr>
                <w:rFonts w:cs="Arial"/>
                <w:color w:val="000000"/>
                <w:sz w:val="18"/>
                <w:szCs w:val="18"/>
              </w:rPr>
              <w:t>Subtotal</w:t>
            </w:r>
          </w:p>
        </w:tc>
        <w:tc>
          <w:tcPr>
            <w:tcW w:w="1697" w:type="dxa"/>
            <w:tcBorders>
              <w:top w:val="single" w:sz="4" w:space="0" w:color="auto"/>
              <w:left w:val="nil"/>
              <w:bottom w:val="single" w:sz="4" w:space="0" w:color="auto"/>
              <w:right w:val="nil"/>
            </w:tcBorders>
            <w:shd w:val="clear" w:color="auto" w:fill="auto"/>
            <w:noWrap/>
            <w:vAlign w:val="center"/>
            <w:hideMark/>
          </w:tcPr>
          <w:p w14:paraId="5E4D3C1B" w14:textId="77777777" w:rsidR="0097090C" w:rsidRPr="00182A38" w:rsidRDefault="0097090C" w:rsidP="0097090C">
            <w:pPr>
              <w:jc w:val="right"/>
              <w:rPr>
                <w:rFonts w:cs="Arial"/>
                <w:color w:val="000000"/>
                <w:sz w:val="18"/>
                <w:szCs w:val="18"/>
              </w:rPr>
            </w:pPr>
            <w:r>
              <w:rPr>
                <w:rFonts w:cs="Arial"/>
                <w:color w:val="000000"/>
                <w:sz w:val="18"/>
                <w:szCs w:val="18"/>
              </w:rPr>
              <w:t>160,845</w:t>
            </w:r>
          </w:p>
        </w:tc>
        <w:tc>
          <w:tcPr>
            <w:tcW w:w="1696" w:type="dxa"/>
            <w:tcBorders>
              <w:top w:val="single" w:sz="4" w:space="0" w:color="auto"/>
              <w:left w:val="nil"/>
              <w:bottom w:val="single" w:sz="4" w:space="0" w:color="auto"/>
              <w:right w:val="nil"/>
            </w:tcBorders>
            <w:shd w:val="clear" w:color="auto" w:fill="auto"/>
            <w:noWrap/>
            <w:vAlign w:val="center"/>
            <w:hideMark/>
          </w:tcPr>
          <w:p w14:paraId="5407C9C6" w14:textId="77777777" w:rsidR="0097090C" w:rsidRPr="00182A38" w:rsidRDefault="0097090C" w:rsidP="0097090C">
            <w:pPr>
              <w:jc w:val="right"/>
              <w:rPr>
                <w:rFonts w:cs="Arial"/>
                <w:color w:val="000000"/>
                <w:sz w:val="18"/>
                <w:szCs w:val="18"/>
              </w:rPr>
            </w:pPr>
            <w:r w:rsidRPr="00182A38">
              <w:rPr>
                <w:rFonts w:cs="Arial"/>
                <w:color w:val="000000"/>
                <w:sz w:val="18"/>
                <w:szCs w:val="18"/>
              </w:rPr>
              <w:t>219,660</w:t>
            </w:r>
          </w:p>
        </w:tc>
        <w:tc>
          <w:tcPr>
            <w:tcW w:w="1697" w:type="dxa"/>
            <w:tcBorders>
              <w:top w:val="single" w:sz="4" w:space="0" w:color="auto"/>
              <w:left w:val="nil"/>
              <w:bottom w:val="single" w:sz="4" w:space="0" w:color="auto"/>
              <w:right w:val="nil"/>
            </w:tcBorders>
            <w:shd w:val="clear" w:color="auto" w:fill="auto"/>
            <w:noWrap/>
            <w:vAlign w:val="center"/>
            <w:hideMark/>
          </w:tcPr>
          <w:p w14:paraId="49D49555" w14:textId="77777777" w:rsidR="0097090C" w:rsidRPr="00182A38" w:rsidRDefault="0097090C" w:rsidP="0097090C">
            <w:pPr>
              <w:jc w:val="right"/>
              <w:rPr>
                <w:rFonts w:cs="Arial"/>
                <w:color w:val="000000"/>
                <w:sz w:val="18"/>
                <w:szCs w:val="18"/>
              </w:rPr>
            </w:pPr>
            <w:r>
              <w:rPr>
                <w:rFonts w:cs="Arial"/>
                <w:color w:val="000000"/>
                <w:sz w:val="18"/>
                <w:szCs w:val="18"/>
              </w:rPr>
              <w:t>201,360</w:t>
            </w:r>
          </w:p>
        </w:tc>
        <w:tc>
          <w:tcPr>
            <w:tcW w:w="1697" w:type="dxa"/>
            <w:tcBorders>
              <w:top w:val="single" w:sz="4" w:space="0" w:color="auto"/>
              <w:left w:val="nil"/>
              <w:bottom w:val="single" w:sz="4" w:space="0" w:color="auto"/>
              <w:right w:val="nil"/>
            </w:tcBorders>
            <w:shd w:val="clear" w:color="auto" w:fill="auto"/>
            <w:noWrap/>
            <w:vAlign w:val="center"/>
            <w:hideMark/>
          </w:tcPr>
          <w:p w14:paraId="7B71C700"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single" w:sz="4" w:space="0" w:color="auto"/>
              <w:left w:val="nil"/>
              <w:bottom w:val="single" w:sz="4" w:space="0" w:color="auto"/>
              <w:right w:val="nil"/>
            </w:tcBorders>
            <w:shd w:val="clear" w:color="auto" w:fill="auto"/>
            <w:noWrap/>
            <w:vAlign w:val="center"/>
            <w:hideMark/>
          </w:tcPr>
          <w:p w14:paraId="56EC4522"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382EFE3E" w14:textId="77777777" w:rsidTr="0097090C">
        <w:trPr>
          <w:trHeight w:val="255"/>
        </w:trPr>
        <w:tc>
          <w:tcPr>
            <w:tcW w:w="4016" w:type="dxa"/>
            <w:tcBorders>
              <w:top w:val="nil"/>
              <w:left w:val="nil"/>
              <w:bottom w:val="single" w:sz="4" w:space="0" w:color="auto"/>
              <w:right w:val="nil"/>
            </w:tcBorders>
            <w:shd w:val="clear" w:color="auto" w:fill="auto"/>
            <w:noWrap/>
            <w:vAlign w:val="bottom"/>
            <w:hideMark/>
          </w:tcPr>
          <w:p w14:paraId="446B3B4D" w14:textId="77777777" w:rsidR="0097090C" w:rsidRPr="00182A38" w:rsidRDefault="0097090C" w:rsidP="0097090C">
            <w:pPr>
              <w:rPr>
                <w:rFonts w:cs="Arial"/>
                <w:b/>
                <w:bCs/>
                <w:color w:val="000000"/>
                <w:sz w:val="18"/>
                <w:szCs w:val="18"/>
              </w:rPr>
            </w:pPr>
            <w:r w:rsidRPr="00182A38">
              <w:rPr>
                <w:rFonts w:cs="Arial"/>
                <w:b/>
                <w:bCs/>
                <w:color w:val="000000"/>
                <w:sz w:val="18"/>
                <w:szCs w:val="18"/>
              </w:rPr>
              <w:t>Closing balance</w:t>
            </w:r>
          </w:p>
        </w:tc>
        <w:tc>
          <w:tcPr>
            <w:tcW w:w="1697" w:type="dxa"/>
            <w:tcBorders>
              <w:top w:val="nil"/>
              <w:left w:val="nil"/>
              <w:bottom w:val="single" w:sz="4" w:space="0" w:color="auto"/>
              <w:right w:val="nil"/>
            </w:tcBorders>
            <w:shd w:val="clear" w:color="auto" w:fill="auto"/>
            <w:noWrap/>
            <w:vAlign w:val="center"/>
            <w:hideMark/>
          </w:tcPr>
          <w:p w14:paraId="60CEC6F9" w14:textId="77777777" w:rsidR="0097090C" w:rsidRPr="00182A38" w:rsidRDefault="0097090C" w:rsidP="0097090C">
            <w:pPr>
              <w:jc w:val="right"/>
              <w:rPr>
                <w:rFonts w:cs="Arial"/>
                <w:b/>
                <w:bCs/>
                <w:color w:val="000000"/>
                <w:sz w:val="18"/>
                <w:szCs w:val="18"/>
              </w:rPr>
            </w:pPr>
            <w:r>
              <w:rPr>
                <w:rFonts w:cs="Arial"/>
                <w:b/>
                <w:bCs/>
                <w:color w:val="000000"/>
                <w:sz w:val="18"/>
                <w:szCs w:val="18"/>
              </w:rPr>
              <w:t>705,930</w:t>
            </w:r>
          </w:p>
        </w:tc>
        <w:tc>
          <w:tcPr>
            <w:tcW w:w="1696" w:type="dxa"/>
            <w:tcBorders>
              <w:top w:val="nil"/>
              <w:left w:val="nil"/>
              <w:bottom w:val="single" w:sz="4" w:space="0" w:color="auto"/>
              <w:right w:val="nil"/>
            </w:tcBorders>
            <w:shd w:val="clear" w:color="auto" w:fill="auto"/>
            <w:noWrap/>
            <w:vAlign w:val="center"/>
            <w:hideMark/>
          </w:tcPr>
          <w:p w14:paraId="77B41BAA"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363,359</w:t>
            </w:r>
          </w:p>
        </w:tc>
        <w:tc>
          <w:tcPr>
            <w:tcW w:w="1697" w:type="dxa"/>
            <w:tcBorders>
              <w:top w:val="nil"/>
              <w:left w:val="nil"/>
              <w:bottom w:val="single" w:sz="4" w:space="0" w:color="auto"/>
              <w:right w:val="nil"/>
            </w:tcBorders>
            <w:shd w:val="clear" w:color="auto" w:fill="auto"/>
            <w:noWrap/>
            <w:vAlign w:val="center"/>
            <w:hideMark/>
          </w:tcPr>
          <w:p w14:paraId="53964776" w14:textId="77777777" w:rsidR="0097090C" w:rsidRPr="00182A38" w:rsidRDefault="0097090C" w:rsidP="0097090C">
            <w:pPr>
              <w:jc w:val="right"/>
              <w:rPr>
                <w:rFonts w:cs="Arial"/>
                <w:b/>
                <w:bCs/>
                <w:color w:val="000000"/>
                <w:sz w:val="18"/>
                <w:szCs w:val="18"/>
              </w:rPr>
            </w:pPr>
            <w:r>
              <w:rPr>
                <w:rFonts w:cs="Arial"/>
                <w:b/>
                <w:bCs/>
                <w:color w:val="000000"/>
                <w:sz w:val="18"/>
                <w:szCs w:val="18"/>
              </w:rPr>
              <w:t>514,721</w:t>
            </w:r>
          </w:p>
        </w:tc>
        <w:tc>
          <w:tcPr>
            <w:tcW w:w="1697" w:type="dxa"/>
            <w:tcBorders>
              <w:top w:val="nil"/>
              <w:left w:val="nil"/>
              <w:bottom w:val="single" w:sz="4" w:space="0" w:color="auto"/>
              <w:right w:val="nil"/>
            </w:tcBorders>
            <w:shd w:val="clear" w:color="auto" w:fill="auto"/>
            <w:noWrap/>
            <w:vAlign w:val="center"/>
            <w:hideMark/>
          </w:tcPr>
          <w:p w14:paraId="474059B3"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6,467</w:t>
            </w:r>
          </w:p>
        </w:tc>
        <w:tc>
          <w:tcPr>
            <w:tcW w:w="1697" w:type="dxa"/>
            <w:tcBorders>
              <w:top w:val="nil"/>
              <w:left w:val="nil"/>
              <w:bottom w:val="single" w:sz="4" w:space="0" w:color="auto"/>
              <w:right w:val="nil"/>
            </w:tcBorders>
            <w:shd w:val="clear" w:color="auto" w:fill="auto"/>
            <w:noWrap/>
            <w:vAlign w:val="center"/>
            <w:hideMark/>
          </w:tcPr>
          <w:p w14:paraId="0ABE0E15" w14:textId="77777777" w:rsidR="0097090C" w:rsidRPr="00182A38" w:rsidRDefault="0097090C" w:rsidP="0097090C">
            <w:pPr>
              <w:jc w:val="right"/>
              <w:rPr>
                <w:rFonts w:cs="Arial"/>
                <w:b/>
                <w:bCs/>
                <w:color w:val="000000"/>
                <w:sz w:val="18"/>
                <w:szCs w:val="18"/>
              </w:rPr>
            </w:pPr>
            <w:r>
              <w:rPr>
                <w:rFonts w:cs="Arial"/>
                <w:b/>
                <w:bCs/>
                <w:color w:val="000000"/>
                <w:sz w:val="18"/>
                <w:szCs w:val="18"/>
              </w:rPr>
              <w:t>3,580</w:t>
            </w:r>
          </w:p>
        </w:tc>
      </w:tr>
      <w:tr w:rsidR="0097090C" w:rsidRPr="00182A38" w14:paraId="13126976" w14:textId="77777777" w:rsidTr="0097090C">
        <w:trPr>
          <w:trHeight w:val="255"/>
        </w:trPr>
        <w:tc>
          <w:tcPr>
            <w:tcW w:w="4016" w:type="dxa"/>
            <w:tcBorders>
              <w:top w:val="nil"/>
              <w:left w:val="nil"/>
              <w:bottom w:val="nil"/>
              <w:right w:val="nil"/>
            </w:tcBorders>
            <w:shd w:val="clear" w:color="auto" w:fill="auto"/>
            <w:noWrap/>
            <w:vAlign w:val="bottom"/>
            <w:hideMark/>
          </w:tcPr>
          <w:p w14:paraId="7DDC565A" w14:textId="77777777" w:rsidR="0097090C" w:rsidRPr="00182A38" w:rsidRDefault="0097090C" w:rsidP="0097090C">
            <w:pPr>
              <w:rPr>
                <w:rFonts w:cs="Arial"/>
                <w:color w:val="000000"/>
              </w:rPr>
            </w:pPr>
          </w:p>
        </w:tc>
        <w:tc>
          <w:tcPr>
            <w:tcW w:w="1697" w:type="dxa"/>
            <w:tcBorders>
              <w:top w:val="nil"/>
              <w:left w:val="nil"/>
              <w:bottom w:val="nil"/>
              <w:right w:val="nil"/>
            </w:tcBorders>
            <w:shd w:val="clear" w:color="auto" w:fill="auto"/>
            <w:noWrap/>
            <w:vAlign w:val="bottom"/>
            <w:hideMark/>
          </w:tcPr>
          <w:p w14:paraId="08E9C5FE" w14:textId="77777777" w:rsidR="0097090C" w:rsidRPr="00182A38" w:rsidRDefault="0097090C" w:rsidP="0097090C">
            <w:pPr>
              <w:rPr>
                <w:rFonts w:cs="Arial"/>
                <w:color w:val="000000"/>
              </w:rPr>
            </w:pPr>
          </w:p>
        </w:tc>
        <w:tc>
          <w:tcPr>
            <w:tcW w:w="1696" w:type="dxa"/>
            <w:tcBorders>
              <w:top w:val="nil"/>
              <w:left w:val="nil"/>
              <w:bottom w:val="nil"/>
              <w:right w:val="nil"/>
            </w:tcBorders>
            <w:shd w:val="clear" w:color="auto" w:fill="auto"/>
            <w:noWrap/>
            <w:vAlign w:val="bottom"/>
            <w:hideMark/>
          </w:tcPr>
          <w:p w14:paraId="0B5D482A" w14:textId="77777777" w:rsidR="0097090C" w:rsidRPr="00182A38" w:rsidRDefault="0097090C" w:rsidP="0097090C">
            <w:pPr>
              <w:rPr>
                <w:rFonts w:cs="Arial"/>
                <w:color w:val="000000"/>
              </w:rPr>
            </w:pPr>
          </w:p>
        </w:tc>
        <w:tc>
          <w:tcPr>
            <w:tcW w:w="1697" w:type="dxa"/>
            <w:tcBorders>
              <w:top w:val="nil"/>
              <w:left w:val="nil"/>
              <w:bottom w:val="nil"/>
              <w:right w:val="nil"/>
            </w:tcBorders>
            <w:shd w:val="clear" w:color="auto" w:fill="auto"/>
            <w:noWrap/>
            <w:vAlign w:val="bottom"/>
            <w:hideMark/>
          </w:tcPr>
          <w:p w14:paraId="14A63127" w14:textId="77777777" w:rsidR="0097090C" w:rsidRPr="00182A38" w:rsidRDefault="0097090C" w:rsidP="0097090C">
            <w:pPr>
              <w:rPr>
                <w:rFonts w:cs="Arial"/>
                <w:color w:val="000000"/>
              </w:rPr>
            </w:pPr>
          </w:p>
        </w:tc>
        <w:tc>
          <w:tcPr>
            <w:tcW w:w="1697" w:type="dxa"/>
            <w:tcBorders>
              <w:top w:val="nil"/>
              <w:left w:val="nil"/>
              <w:bottom w:val="nil"/>
              <w:right w:val="nil"/>
            </w:tcBorders>
            <w:shd w:val="clear" w:color="auto" w:fill="auto"/>
            <w:noWrap/>
            <w:vAlign w:val="bottom"/>
            <w:hideMark/>
          </w:tcPr>
          <w:p w14:paraId="46B859FE" w14:textId="77777777" w:rsidR="0097090C" w:rsidRPr="00182A38" w:rsidRDefault="0097090C" w:rsidP="0097090C">
            <w:pPr>
              <w:rPr>
                <w:rFonts w:cs="Arial"/>
                <w:color w:val="000000"/>
              </w:rPr>
            </w:pPr>
          </w:p>
        </w:tc>
        <w:tc>
          <w:tcPr>
            <w:tcW w:w="1697" w:type="dxa"/>
            <w:tcBorders>
              <w:top w:val="nil"/>
              <w:left w:val="nil"/>
              <w:bottom w:val="nil"/>
              <w:right w:val="nil"/>
            </w:tcBorders>
            <w:shd w:val="clear" w:color="auto" w:fill="auto"/>
            <w:noWrap/>
            <w:vAlign w:val="bottom"/>
            <w:hideMark/>
          </w:tcPr>
          <w:p w14:paraId="29614149" w14:textId="77777777" w:rsidR="0097090C" w:rsidRPr="00182A38" w:rsidRDefault="0097090C" w:rsidP="0097090C">
            <w:pPr>
              <w:rPr>
                <w:rFonts w:cs="Arial"/>
                <w:color w:val="000000"/>
              </w:rPr>
            </w:pPr>
          </w:p>
        </w:tc>
      </w:tr>
      <w:tr w:rsidR="0097090C" w:rsidRPr="00182A38" w14:paraId="26555FB1" w14:textId="77777777" w:rsidTr="0097090C">
        <w:trPr>
          <w:trHeight w:val="480"/>
        </w:trPr>
        <w:tc>
          <w:tcPr>
            <w:tcW w:w="4016" w:type="dxa"/>
            <w:tcBorders>
              <w:top w:val="single" w:sz="4" w:space="0" w:color="auto"/>
              <w:left w:val="nil"/>
              <w:bottom w:val="single" w:sz="4" w:space="0" w:color="auto"/>
              <w:right w:val="nil"/>
            </w:tcBorders>
            <w:shd w:val="clear" w:color="000000" w:fill="D9D9D9"/>
            <w:noWrap/>
            <w:vAlign w:val="bottom"/>
            <w:hideMark/>
          </w:tcPr>
          <w:p w14:paraId="44648279" w14:textId="77777777" w:rsidR="0097090C" w:rsidRPr="00182A38" w:rsidRDefault="0097090C" w:rsidP="0097090C">
            <w:pPr>
              <w:jc w:val="center"/>
              <w:rPr>
                <w:rFonts w:cs="Arial"/>
                <w:b/>
                <w:bCs/>
                <w:color w:val="000000"/>
                <w:sz w:val="18"/>
                <w:szCs w:val="18"/>
              </w:rPr>
            </w:pPr>
            <w:r w:rsidRPr="00182A38">
              <w:rPr>
                <w:rFonts w:cs="Arial"/>
                <w:b/>
                <w:bCs/>
                <w:color w:val="000000"/>
                <w:sz w:val="18"/>
                <w:szCs w:val="18"/>
              </w:rPr>
              <w:t>2015</w:t>
            </w:r>
          </w:p>
        </w:tc>
        <w:tc>
          <w:tcPr>
            <w:tcW w:w="1697" w:type="dxa"/>
            <w:tcBorders>
              <w:top w:val="single" w:sz="4" w:space="0" w:color="auto"/>
              <w:left w:val="nil"/>
              <w:bottom w:val="single" w:sz="4" w:space="0" w:color="auto"/>
              <w:right w:val="nil"/>
            </w:tcBorders>
            <w:shd w:val="clear" w:color="000000" w:fill="D9D9D9"/>
            <w:vAlign w:val="bottom"/>
            <w:hideMark/>
          </w:tcPr>
          <w:p w14:paraId="5EEE350C"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Collections</w:t>
            </w:r>
          </w:p>
        </w:tc>
        <w:tc>
          <w:tcPr>
            <w:tcW w:w="1696" w:type="dxa"/>
            <w:tcBorders>
              <w:top w:val="single" w:sz="4" w:space="0" w:color="auto"/>
              <w:left w:val="nil"/>
              <w:bottom w:val="single" w:sz="4" w:space="0" w:color="auto"/>
              <w:right w:val="nil"/>
            </w:tcBorders>
            <w:shd w:val="clear" w:color="000000" w:fill="D9D9D9"/>
            <w:vAlign w:val="bottom"/>
            <w:hideMark/>
          </w:tcPr>
          <w:p w14:paraId="7375E612"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Land</w:t>
            </w:r>
          </w:p>
        </w:tc>
        <w:tc>
          <w:tcPr>
            <w:tcW w:w="1697" w:type="dxa"/>
            <w:tcBorders>
              <w:top w:val="single" w:sz="4" w:space="0" w:color="auto"/>
              <w:left w:val="nil"/>
              <w:bottom w:val="single" w:sz="4" w:space="0" w:color="auto"/>
              <w:right w:val="nil"/>
            </w:tcBorders>
            <w:shd w:val="clear" w:color="000000" w:fill="D9D9D9"/>
            <w:vAlign w:val="bottom"/>
            <w:hideMark/>
          </w:tcPr>
          <w:p w14:paraId="0D084324"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Buildings</w:t>
            </w:r>
          </w:p>
        </w:tc>
        <w:tc>
          <w:tcPr>
            <w:tcW w:w="1697" w:type="dxa"/>
            <w:tcBorders>
              <w:top w:val="single" w:sz="4" w:space="0" w:color="auto"/>
              <w:left w:val="nil"/>
              <w:bottom w:val="single" w:sz="4" w:space="0" w:color="auto"/>
              <w:right w:val="nil"/>
            </w:tcBorders>
            <w:shd w:val="clear" w:color="000000" w:fill="D9D9D9"/>
            <w:vAlign w:val="bottom"/>
            <w:hideMark/>
          </w:tcPr>
          <w:p w14:paraId="110486A3"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Plant and Equipment</w:t>
            </w:r>
          </w:p>
        </w:tc>
        <w:tc>
          <w:tcPr>
            <w:tcW w:w="1697" w:type="dxa"/>
            <w:tcBorders>
              <w:top w:val="single" w:sz="4" w:space="0" w:color="auto"/>
              <w:left w:val="nil"/>
              <w:bottom w:val="single" w:sz="4" w:space="0" w:color="auto"/>
              <w:right w:val="nil"/>
            </w:tcBorders>
            <w:shd w:val="clear" w:color="000000" w:fill="D9D9D9"/>
            <w:vAlign w:val="bottom"/>
            <w:hideMark/>
          </w:tcPr>
          <w:p w14:paraId="75ADC46C"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Exhibitions</w:t>
            </w:r>
          </w:p>
        </w:tc>
      </w:tr>
      <w:tr w:rsidR="0097090C" w:rsidRPr="00182A38" w14:paraId="52A5DF98" w14:textId="77777777" w:rsidTr="0097090C">
        <w:trPr>
          <w:trHeight w:val="255"/>
        </w:trPr>
        <w:tc>
          <w:tcPr>
            <w:tcW w:w="4016" w:type="dxa"/>
            <w:tcBorders>
              <w:top w:val="nil"/>
              <w:left w:val="nil"/>
              <w:bottom w:val="single" w:sz="4" w:space="0" w:color="auto"/>
              <w:right w:val="nil"/>
            </w:tcBorders>
            <w:shd w:val="clear" w:color="auto" w:fill="auto"/>
            <w:noWrap/>
            <w:vAlign w:val="bottom"/>
            <w:hideMark/>
          </w:tcPr>
          <w:p w14:paraId="3444D7E7" w14:textId="77777777" w:rsidR="0097090C" w:rsidRPr="00182A38" w:rsidRDefault="0097090C" w:rsidP="0097090C">
            <w:pPr>
              <w:rPr>
                <w:rFonts w:cs="Arial"/>
                <w:color w:val="000000"/>
                <w:sz w:val="18"/>
                <w:szCs w:val="18"/>
              </w:rPr>
            </w:pPr>
            <w:r w:rsidRPr="00182A38">
              <w:rPr>
                <w:rFonts w:cs="Arial"/>
                <w:color w:val="000000"/>
                <w:sz w:val="18"/>
                <w:szCs w:val="18"/>
              </w:rPr>
              <w:t> </w:t>
            </w:r>
          </w:p>
        </w:tc>
        <w:tc>
          <w:tcPr>
            <w:tcW w:w="1697" w:type="dxa"/>
            <w:tcBorders>
              <w:top w:val="nil"/>
              <w:left w:val="nil"/>
              <w:bottom w:val="single" w:sz="4" w:space="0" w:color="auto"/>
              <w:right w:val="nil"/>
            </w:tcBorders>
            <w:shd w:val="clear" w:color="auto" w:fill="auto"/>
            <w:noWrap/>
            <w:vAlign w:val="center"/>
            <w:hideMark/>
          </w:tcPr>
          <w:p w14:paraId="501B8126"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6" w:type="dxa"/>
            <w:tcBorders>
              <w:top w:val="nil"/>
              <w:left w:val="nil"/>
              <w:bottom w:val="single" w:sz="4" w:space="0" w:color="auto"/>
              <w:right w:val="nil"/>
            </w:tcBorders>
            <w:shd w:val="clear" w:color="auto" w:fill="auto"/>
            <w:noWrap/>
            <w:vAlign w:val="center"/>
            <w:hideMark/>
          </w:tcPr>
          <w:p w14:paraId="4A366C8A"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7" w:type="dxa"/>
            <w:tcBorders>
              <w:top w:val="nil"/>
              <w:left w:val="nil"/>
              <w:bottom w:val="single" w:sz="4" w:space="0" w:color="auto"/>
              <w:right w:val="nil"/>
            </w:tcBorders>
            <w:shd w:val="clear" w:color="auto" w:fill="auto"/>
            <w:noWrap/>
            <w:vAlign w:val="center"/>
            <w:hideMark/>
          </w:tcPr>
          <w:p w14:paraId="24EECCE4"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7" w:type="dxa"/>
            <w:tcBorders>
              <w:top w:val="nil"/>
              <w:left w:val="nil"/>
              <w:bottom w:val="single" w:sz="4" w:space="0" w:color="auto"/>
              <w:right w:val="nil"/>
            </w:tcBorders>
            <w:shd w:val="clear" w:color="auto" w:fill="auto"/>
            <w:noWrap/>
            <w:vAlign w:val="center"/>
            <w:hideMark/>
          </w:tcPr>
          <w:p w14:paraId="783709BC"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c>
          <w:tcPr>
            <w:tcW w:w="1697" w:type="dxa"/>
            <w:tcBorders>
              <w:top w:val="nil"/>
              <w:left w:val="nil"/>
              <w:bottom w:val="single" w:sz="4" w:space="0" w:color="auto"/>
              <w:right w:val="nil"/>
            </w:tcBorders>
            <w:shd w:val="clear" w:color="auto" w:fill="auto"/>
            <w:noWrap/>
            <w:vAlign w:val="center"/>
            <w:hideMark/>
          </w:tcPr>
          <w:p w14:paraId="727D795D" w14:textId="77777777" w:rsidR="0097090C" w:rsidRPr="00182A38" w:rsidRDefault="0097090C" w:rsidP="0097090C">
            <w:pPr>
              <w:jc w:val="right"/>
              <w:rPr>
                <w:rFonts w:cs="Arial"/>
                <w:color w:val="000000"/>
                <w:sz w:val="18"/>
                <w:szCs w:val="18"/>
              </w:rPr>
            </w:pPr>
            <w:r w:rsidRPr="00182A38">
              <w:rPr>
                <w:rFonts w:cs="Arial"/>
                <w:color w:val="000000"/>
                <w:sz w:val="18"/>
                <w:szCs w:val="18"/>
              </w:rPr>
              <w:t>$'000</w:t>
            </w:r>
          </w:p>
        </w:tc>
      </w:tr>
      <w:tr w:rsidR="0097090C" w:rsidRPr="00182A38" w14:paraId="38AE770E" w14:textId="77777777" w:rsidTr="0097090C">
        <w:trPr>
          <w:trHeight w:val="255"/>
        </w:trPr>
        <w:tc>
          <w:tcPr>
            <w:tcW w:w="4016" w:type="dxa"/>
            <w:tcBorders>
              <w:top w:val="nil"/>
              <w:left w:val="nil"/>
              <w:bottom w:val="nil"/>
              <w:right w:val="nil"/>
            </w:tcBorders>
            <w:shd w:val="clear" w:color="auto" w:fill="auto"/>
            <w:noWrap/>
            <w:vAlign w:val="bottom"/>
            <w:hideMark/>
          </w:tcPr>
          <w:p w14:paraId="407F98F8" w14:textId="77777777" w:rsidR="0097090C" w:rsidRPr="00182A38" w:rsidRDefault="0097090C" w:rsidP="0097090C">
            <w:pPr>
              <w:rPr>
                <w:rFonts w:cs="Arial"/>
                <w:b/>
                <w:bCs/>
                <w:color w:val="000000"/>
                <w:sz w:val="18"/>
                <w:szCs w:val="18"/>
              </w:rPr>
            </w:pPr>
            <w:r w:rsidRPr="00182A38">
              <w:rPr>
                <w:rFonts w:cs="Arial"/>
                <w:b/>
                <w:bCs/>
                <w:color w:val="000000"/>
                <w:sz w:val="18"/>
                <w:szCs w:val="18"/>
              </w:rPr>
              <w:t>Opening balance</w:t>
            </w:r>
          </w:p>
        </w:tc>
        <w:tc>
          <w:tcPr>
            <w:tcW w:w="1697" w:type="dxa"/>
            <w:tcBorders>
              <w:top w:val="nil"/>
              <w:left w:val="nil"/>
              <w:bottom w:val="nil"/>
              <w:right w:val="nil"/>
            </w:tcBorders>
            <w:shd w:val="clear" w:color="auto" w:fill="auto"/>
            <w:noWrap/>
            <w:vAlign w:val="center"/>
            <w:hideMark/>
          </w:tcPr>
          <w:p w14:paraId="7A1C3842"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374,650</w:t>
            </w:r>
          </w:p>
        </w:tc>
        <w:tc>
          <w:tcPr>
            <w:tcW w:w="1696" w:type="dxa"/>
            <w:tcBorders>
              <w:top w:val="nil"/>
              <w:left w:val="nil"/>
              <w:bottom w:val="nil"/>
              <w:right w:val="nil"/>
            </w:tcBorders>
            <w:shd w:val="clear" w:color="auto" w:fill="auto"/>
            <w:noWrap/>
            <w:vAlign w:val="center"/>
            <w:hideMark/>
          </w:tcPr>
          <w:p w14:paraId="27A737D6"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143,699</w:t>
            </w:r>
          </w:p>
        </w:tc>
        <w:tc>
          <w:tcPr>
            <w:tcW w:w="1697" w:type="dxa"/>
            <w:tcBorders>
              <w:top w:val="nil"/>
              <w:left w:val="nil"/>
              <w:bottom w:val="nil"/>
              <w:right w:val="nil"/>
            </w:tcBorders>
            <w:shd w:val="clear" w:color="auto" w:fill="auto"/>
            <w:noWrap/>
            <w:vAlign w:val="center"/>
            <w:hideMark/>
          </w:tcPr>
          <w:p w14:paraId="5515C9F5"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338,971</w:t>
            </w:r>
          </w:p>
        </w:tc>
        <w:tc>
          <w:tcPr>
            <w:tcW w:w="1697" w:type="dxa"/>
            <w:tcBorders>
              <w:top w:val="nil"/>
              <w:left w:val="nil"/>
              <w:bottom w:val="nil"/>
              <w:right w:val="nil"/>
            </w:tcBorders>
            <w:shd w:val="clear" w:color="auto" w:fill="auto"/>
            <w:noWrap/>
            <w:vAlign w:val="center"/>
            <w:hideMark/>
          </w:tcPr>
          <w:p w14:paraId="3FF1A534"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4,580</w:t>
            </w:r>
          </w:p>
        </w:tc>
        <w:tc>
          <w:tcPr>
            <w:tcW w:w="1697" w:type="dxa"/>
            <w:tcBorders>
              <w:top w:val="nil"/>
              <w:left w:val="nil"/>
              <w:bottom w:val="nil"/>
              <w:right w:val="nil"/>
            </w:tcBorders>
            <w:shd w:val="clear" w:color="auto" w:fill="auto"/>
            <w:noWrap/>
            <w:vAlign w:val="center"/>
            <w:hideMark/>
          </w:tcPr>
          <w:p w14:paraId="345B96A1"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2,508</w:t>
            </w:r>
          </w:p>
        </w:tc>
      </w:tr>
      <w:tr w:rsidR="0097090C" w:rsidRPr="00182A38" w14:paraId="79577C9A" w14:textId="77777777" w:rsidTr="0097090C">
        <w:trPr>
          <w:trHeight w:val="255"/>
        </w:trPr>
        <w:tc>
          <w:tcPr>
            <w:tcW w:w="4016" w:type="dxa"/>
            <w:tcBorders>
              <w:top w:val="nil"/>
              <w:left w:val="nil"/>
              <w:bottom w:val="nil"/>
              <w:right w:val="nil"/>
            </w:tcBorders>
            <w:shd w:val="clear" w:color="auto" w:fill="auto"/>
            <w:noWrap/>
            <w:vAlign w:val="bottom"/>
            <w:hideMark/>
          </w:tcPr>
          <w:p w14:paraId="181A2264" w14:textId="77777777" w:rsidR="0097090C" w:rsidRPr="00182A38" w:rsidRDefault="0097090C" w:rsidP="0097090C">
            <w:pPr>
              <w:rPr>
                <w:rFonts w:cs="Arial"/>
                <w:color w:val="000000"/>
                <w:sz w:val="18"/>
                <w:szCs w:val="18"/>
              </w:rPr>
            </w:pPr>
            <w:r w:rsidRPr="00182A38">
              <w:rPr>
                <w:rFonts w:cs="Arial"/>
                <w:color w:val="000000"/>
                <w:sz w:val="18"/>
                <w:szCs w:val="18"/>
              </w:rPr>
              <w:t>Purchases (sales)</w:t>
            </w:r>
          </w:p>
        </w:tc>
        <w:tc>
          <w:tcPr>
            <w:tcW w:w="1697" w:type="dxa"/>
            <w:tcBorders>
              <w:top w:val="nil"/>
              <w:left w:val="nil"/>
              <w:bottom w:val="nil"/>
              <w:right w:val="nil"/>
            </w:tcBorders>
            <w:shd w:val="clear" w:color="auto" w:fill="auto"/>
            <w:noWrap/>
            <w:vAlign w:val="center"/>
            <w:hideMark/>
          </w:tcPr>
          <w:p w14:paraId="3DA602B0" w14:textId="77777777" w:rsidR="0097090C" w:rsidRPr="00182A38" w:rsidRDefault="0097090C" w:rsidP="0097090C">
            <w:pPr>
              <w:jc w:val="right"/>
              <w:rPr>
                <w:rFonts w:cs="Arial"/>
                <w:color w:val="000000"/>
                <w:sz w:val="18"/>
                <w:szCs w:val="18"/>
              </w:rPr>
            </w:pPr>
            <w:r w:rsidRPr="00182A38">
              <w:rPr>
                <w:rFonts w:cs="Arial"/>
                <w:color w:val="000000"/>
                <w:sz w:val="18"/>
                <w:szCs w:val="18"/>
              </w:rPr>
              <w:t>903</w:t>
            </w:r>
          </w:p>
        </w:tc>
        <w:tc>
          <w:tcPr>
            <w:tcW w:w="1696" w:type="dxa"/>
            <w:tcBorders>
              <w:top w:val="nil"/>
              <w:left w:val="nil"/>
              <w:bottom w:val="nil"/>
              <w:right w:val="nil"/>
            </w:tcBorders>
            <w:shd w:val="clear" w:color="auto" w:fill="auto"/>
            <w:noWrap/>
            <w:vAlign w:val="center"/>
            <w:hideMark/>
          </w:tcPr>
          <w:p w14:paraId="24C1E1CC"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3D000A01" w14:textId="77777777" w:rsidR="0097090C" w:rsidRPr="00182A38" w:rsidRDefault="0097090C" w:rsidP="0097090C">
            <w:pPr>
              <w:jc w:val="right"/>
              <w:rPr>
                <w:rFonts w:cs="Arial"/>
                <w:color w:val="000000"/>
                <w:sz w:val="18"/>
                <w:szCs w:val="18"/>
              </w:rPr>
            </w:pPr>
            <w:r w:rsidRPr="00182A38">
              <w:rPr>
                <w:rFonts w:cs="Arial"/>
                <w:color w:val="000000"/>
                <w:sz w:val="18"/>
                <w:szCs w:val="18"/>
              </w:rPr>
              <w:t>176</w:t>
            </w:r>
          </w:p>
        </w:tc>
        <w:tc>
          <w:tcPr>
            <w:tcW w:w="1697" w:type="dxa"/>
            <w:tcBorders>
              <w:top w:val="nil"/>
              <w:left w:val="nil"/>
              <w:bottom w:val="nil"/>
              <w:right w:val="nil"/>
            </w:tcBorders>
            <w:shd w:val="clear" w:color="auto" w:fill="auto"/>
            <w:noWrap/>
            <w:vAlign w:val="center"/>
            <w:hideMark/>
          </w:tcPr>
          <w:p w14:paraId="458C995C" w14:textId="77777777" w:rsidR="0097090C" w:rsidRPr="00182A38" w:rsidRDefault="0097090C" w:rsidP="0097090C">
            <w:pPr>
              <w:jc w:val="right"/>
              <w:rPr>
                <w:rFonts w:cs="Arial"/>
                <w:color w:val="000000"/>
                <w:sz w:val="18"/>
                <w:szCs w:val="18"/>
              </w:rPr>
            </w:pPr>
            <w:r w:rsidRPr="00182A38">
              <w:rPr>
                <w:rFonts w:cs="Arial"/>
                <w:color w:val="000000"/>
                <w:sz w:val="18"/>
                <w:szCs w:val="18"/>
              </w:rPr>
              <w:t>4,041</w:t>
            </w:r>
          </w:p>
        </w:tc>
        <w:tc>
          <w:tcPr>
            <w:tcW w:w="1697" w:type="dxa"/>
            <w:tcBorders>
              <w:top w:val="nil"/>
              <w:left w:val="nil"/>
              <w:bottom w:val="nil"/>
              <w:right w:val="nil"/>
            </w:tcBorders>
            <w:shd w:val="clear" w:color="auto" w:fill="auto"/>
            <w:noWrap/>
            <w:vAlign w:val="center"/>
            <w:hideMark/>
          </w:tcPr>
          <w:p w14:paraId="3DE445D3" w14:textId="77777777" w:rsidR="0097090C" w:rsidRPr="00182A38" w:rsidRDefault="0097090C" w:rsidP="0097090C">
            <w:pPr>
              <w:jc w:val="right"/>
              <w:rPr>
                <w:rFonts w:cs="Arial"/>
                <w:color w:val="000000"/>
                <w:sz w:val="18"/>
                <w:szCs w:val="18"/>
              </w:rPr>
            </w:pPr>
            <w:r w:rsidRPr="00182A38">
              <w:rPr>
                <w:rFonts w:cs="Arial"/>
                <w:color w:val="000000"/>
                <w:sz w:val="18"/>
                <w:szCs w:val="18"/>
              </w:rPr>
              <w:t>248</w:t>
            </w:r>
          </w:p>
        </w:tc>
      </w:tr>
      <w:tr w:rsidR="0097090C" w:rsidRPr="00182A38" w14:paraId="60D0ADC7" w14:textId="77777777" w:rsidTr="0097090C">
        <w:trPr>
          <w:trHeight w:val="255"/>
        </w:trPr>
        <w:tc>
          <w:tcPr>
            <w:tcW w:w="4016" w:type="dxa"/>
            <w:tcBorders>
              <w:top w:val="nil"/>
              <w:left w:val="nil"/>
              <w:bottom w:val="nil"/>
              <w:right w:val="nil"/>
            </w:tcBorders>
            <w:shd w:val="clear" w:color="auto" w:fill="auto"/>
            <w:noWrap/>
            <w:vAlign w:val="bottom"/>
            <w:hideMark/>
          </w:tcPr>
          <w:p w14:paraId="2C540EB1" w14:textId="77777777" w:rsidR="0097090C" w:rsidRPr="00182A38" w:rsidRDefault="0097090C" w:rsidP="0097090C">
            <w:pPr>
              <w:rPr>
                <w:rFonts w:cs="Arial"/>
                <w:color w:val="000000"/>
                <w:sz w:val="18"/>
                <w:szCs w:val="18"/>
              </w:rPr>
            </w:pPr>
            <w:r w:rsidRPr="00182A38">
              <w:rPr>
                <w:rFonts w:cs="Arial"/>
                <w:color w:val="000000"/>
                <w:sz w:val="18"/>
                <w:szCs w:val="18"/>
              </w:rPr>
              <w:t>Transfers in (out) of Level 3</w:t>
            </w:r>
          </w:p>
        </w:tc>
        <w:tc>
          <w:tcPr>
            <w:tcW w:w="1697" w:type="dxa"/>
            <w:tcBorders>
              <w:top w:val="nil"/>
              <w:left w:val="nil"/>
              <w:bottom w:val="nil"/>
              <w:right w:val="nil"/>
            </w:tcBorders>
            <w:shd w:val="clear" w:color="auto" w:fill="auto"/>
            <w:noWrap/>
            <w:vAlign w:val="center"/>
            <w:hideMark/>
          </w:tcPr>
          <w:p w14:paraId="2FC461C3"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1BE737EE"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105960E2"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4FE67326"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56DC69B8"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7DC3C020" w14:textId="77777777" w:rsidTr="0097090C">
        <w:trPr>
          <w:trHeight w:val="255"/>
        </w:trPr>
        <w:tc>
          <w:tcPr>
            <w:tcW w:w="4016" w:type="dxa"/>
            <w:tcBorders>
              <w:top w:val="nil"/>
              <w:left w:val="nil"/>
              <w:bottom w:val="nil"/>
              <w:right w:val="nil"/>
            </w:tcBorders>
            <w:shd w:val="clear" w:color="auto" w:fill="auto"/>
            <w:noWrap/>
            <w:vAlign w:val="bottom"/>
            <w:hideMark/>
          </w:tcPr>
          <w:p w14:paraId="40A7A7C0" w14:textId="77777777" w:rsidR="0097090C" w:rsidRPr="00182A38" w:rsidRDefault="0097090C" w:rsidP="0097090C">
            <w:pPr>
              <w:rPr>
                <w:rFonts w:cs="Arial"/>
                <w:color w:val="000000"/>
                <w:sz w:val="18"/>
                <w:szCs w:val="18"/>
              </w:rPr>
            </w:pPr>
            <w:r w:rsidRPr="00182A38">
              <w:rPr>
                <w:rFonts w:cs="Arial"/>
                <w:color w:val="000000"/>
                <w:sz w:val="18"/>
                <w:szCs w:val="18"/>
              </w:rPr>
              <w:t>Gains or losses recognised in net result</w:t>
            </w:r>
          </w:p>
        </w:tc>
        <w:tc>
          <w:tcPr>
            <w:tcW w:w="1697" w:type="dxa"/>
            <w:tcBorders>
              <w:top w:val="nil"/>
              <w:left w:val="nil"/>
              <w:bottom w:val="nil"/>
              <w:right w:val="nil"/>
            </w:tcBorders>
            <w:shd w:val="clear" w:color="auto" w:fill="auto"/>
            <w:noWrap/>
            <w:vAlign w:val="center"/>
            <w:hideMark/>
          </w:tcPr>
          <w:p w14:paraId="7ADB3F46"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4817480E"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40342304"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2B3039CE"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74265625"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61591C9D" w14:textId="77777777" w:rsidTr="0097090C">
        <w:trPr>
          <w:trHeight w:val="255"/>
        </w:trPr>
        <w:tc>
          <w:tcPr>
            <w:tcW w:w="4016" w:type="dxa"/>
            <w:tcBorders>
              <w:top w:val="nil"/>
              <w:left w:val="nil"/>
              <w:bottom w:val="nil"/>
              <w:right w:val="nil"/>
            </w:tcBorders>
            <w:shd w:val="clear" w:color="auto" w:fill="auto"/>
            <w:noWrap/>
            <w:vAlign w:val="bottom"/>
            <w:hideMark/>
          </w:tcPr>
          <w:p w14:paraId="59AE8109" w14:textId="77777777" w:rsidR="0097090C" w:rsidRPr="00182A38" w:rsidRDefault="0097090C" w:rsidP="0097090C">
            <w:pPr>
              <w:rPr>
                <w:rFonts w:cs="Arial"/>
                <w:color w:val="000000"/>
                <w:sz w:val="18"/>
                <w:szCs w:val="18"/>
              </w:rPr>
            </w:pPr>
            <w:r w:rsidRPr="00182A38">
              <w:rPr>
                <w:rFonts w:cs="Arial"/>
                <w:color w:val="000000"/>
                <w:sz w:val="18"/>
                <w:szCs w:val="18"/>
              </w:rPr>
              <w:t>Depreciation</w:t>
            </w:r>
          </w:p>
        </w:tc>
        <w:tc>
          <w:tcPr>
            <w:tcW w:w="1697" w:type="dxa"/>
            <w:tcBorders>
              <w:top w:val="nil"/>
              <w:left w:val="nil"/>
              <w:bottom w:val="nil"/>
              <w:right w:val="nil"/>
            </w:tcBorders>
            <w:shd w:val="clear" w:color="auto" w:fill="auto"/>
            <w:noWrap/>
            <w:vAlign w:val="center"/>
            <w:hideMark/>
          </w:tcPr>
          <w:p w14:paraId="16992863" w14:textId="77777777" w:rsidR="0097090C" w:rsidRPr="00182A38" w:rsidRDefault="0097090C" w:rsidP="0097090C">
            <w:pPr>
              <w:jc w:val="right"/>
              <w:rPr>
                <w:rFonts w:cs="Arial"/>
                <w:color w:val="000000"/>
                <w:sz w:val="18"/>
                <w:szCs w:val="18"/>
              </w:rPr>
            </w:pPr>
            <w:r w:rsidRPr="00182A38">
              <w:rPr>
                <w:rFonts w:cs="Arial"/>
                <w:color w:val="000000"/>
                <w:sz w:val="18"/>
                <w:szCs w:val="18"/>
              </w:rPr>
              <w:t>(121)</w:t>
            </w:r>
          </w:p>
        </w:tc>
        <w:tc>
          <w:tcPr>
            <w:tcW w:w="1696" w:type="dxa"/>
            <w:tcBorders>
              <w:top w:val="nil"/>
              <w:left w:val="nil"/>
              <w:bottom w:val="nil"/>
              <w:right w:val="nil"/>
            </w:tcBorders>
            <w:shd w:val="clear" w:color="auto" w:fill="auto"/>
            <w:noWrap/>
            <w:vAlign w:val="center"/>
            <w:hideMark/>
          </w:tcPr>
          <w:p w14:paraId="0CAF29F2"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36E8E36F" w14:textId="77777777" w:rsidR="0097090C" w:rsidRPr="00182A38" w:rsidRDefault="0097090C" w:rsidP="0097090C">
            <w:pPr>
              <w:jc w:val="right"/>
              <w:rPr>
                <w:rFonts w:cs="Arial"/>
                <w:color w:val="000000"/>
                <w:sz w:val="18"/>
                <w:szCs w:val="18"/>
              </w:rPr>
            </w:pPr>
            <w:r w:rsidRPr="00182A38">
              <w:rPr>
                <w:rFonts w:cs="Arial"/>
                <w:color w:val="000000"/>
                <w:sz w:val="18"/>
                <w:szCs w:val="18"/>
              </w:rPr>
              <w:t>(15,666)</w:t>
            </w:r>
          </w:p>
        </w:tc>
        <w:tc>
          <w:tcPr>
            <w:tcW w:w="1697" w:type="dxa"/>
            <w:tcBorders>
              <w:top w:val="nil"/>
              <w:left w:val="nil"/>
              <w:bottom w:val="nil"/>
              <w:right w:val="nil"/>
            </w:tcBorders>
            <w:shd w:val="clear" w:color="auto" w:fill="auto"/>
            <w:noWrap/>
            <w:vAlign w:val="center"/>
            <w:hideMark/>
          </w:tcPr>
          <w:p w14:paraId="1F69EDD8" w14:textId="77777777" w:rsidR="0097090C" w:rsidRPr="00182A38" w:rsidRDefault="0097090C" w:rsidP="0097090C">
            <w:pPr>
              <w:jc w:val="right"/>
              <w:rPr>
                <w:rFonts w:cs="Arial"/>
                <w:color w:val="000000"/>
                <w:sz w:val="18"/>
                <w:szCs w:val="18"/>
              </w:rPr>
            </w:pPr>
            <w:r w:rsidRPr="00182A38">
              <w:rPr>
                <w:rFonts w:cs="Arial"/>
                <w:color w:val="000000"/>
                <w:sz w:val="18"/>
                <w:szCs w:val="18"/>
              </w:rPr>
              <w:t>(1,283)</w:t>
            </w:r>
          </w:p>
        </w:tc>
        <w:tc>
          <w:tcPr>
            <w:tcW w:w="1697" w:type="dxa"/>
            <w:tcBorders>
              <w:top w:val="nil"/>
              <w:left w:val="nil"/>
              <w:bottom w:val="nil"/>
              <w:right w:val="nil"/>
            </w:tcBorders>
            <w:shd w:val="clear" w:color="auto" w:fill="auto"/>
            <w:noWrap/>
            <w:vAlign w:val="center"/>
            <w:hideMark/>
          </w:tcPr>
          <w:p w14:paraId="3DD64D1D" w14:textId="77777777" w:rsidR="0097090C" w:rsidRPr="00182A38" w:rsidRDefault="0097090C" w:rsidP="0097090C">
            <w:pPr>
              <w:jc w:val="right"/>
              <w:rPr>
                <w:rFonts w:cs="Arial"/>
                <w:color w:val="000000"/>
                <w:sz w:val="18"/>
                <w:szCs w:val="18"/>
              </w:rPr>
            </w:pPr>
            <w:r w:rsidRPr="00182A38">
              <w:rPr>
                <w:rFonts w:cs="Arial"/>
                <w:color w:val="000000"/>
                <w:sz w:val="18"/>
                <w:szCs w:val="18"/>
              </w:rPr>
              <w:t>(819)</w:t>
            </w:r>
          </w:p>
        </w:tc>
      </w:tr>
      <w:tr w:rsidR="0097090C" w:rsidRPr="00182A38" w14:paraId="2AE55A60" w14:textId="77777777" w:rsidTr="0097090C">
        <w:trPr>
          <w:trHeight w:val="255"/>
        </w:trPr>
        <w:tc>
          <w:tcPr>
            <w:tcW w:w="4016" w:type="dxa"/>
            <w:tcBorders>
              <w:top w:val="nil"/>
              <w:left w:val="nil"/>
              <w:bottom w:val="nil"/>
              <w:right w:val="nil"/>
            </w:tcBorders>
            <w:shd w:val="clear" w:color="auto" w:fill="auto"/>
            <w:noWrap/>
            <w:vAlign w:val="bottom"/>
            <w:hideMark/>
          </w:tcPr>
          <w:p w14:paraId="32AB8D06" w14:textId="77777777" w:rsidR="0097090C" w:rsidRPr="00182A38" w:rsidRDefault="0097090C" w:rsidP="0097090C">
            <w:pPr>
              <w:rPr>
                <w:rFonts w:cs="Arial"/>
                <w:color w:val="000000"/>
                <w:sz w:val="18"/>
                <w:szCs w:val="18"/>
              </w:rPr>
            </w:pPr>
            <w:r w:rsidRPr="00182A38">
              <w:rPr>
                <w:rFonts w:cs="Arial"/>
                <w:color w:val="000000"/>
                <w:sz w:val="18"/>
                <w:szCs w:val="18"/>
              </w:rPr>
              <w:t>Impairment loss</w:t>
            </w:r>
          </w:p>
        </w:tc>
        <w:tc>
          <w:tcPr>
            <w:tcW w:w="1697" w:type="dxa"/>
            <w:tcBorders>
              <w:top w:val="nil"/>
              <w:left w:val="nil"/>
              <w:bottom w:val="nil"/>
              <w:right w:val="nil"/>
            </w:tcBorders>
            <w:shd w:val="clear" w:color="auto" w:fill="auto"/>
            <w:noWrap/>
            <w:vAlign w:val="center"/>
            <w:hideMark/>
          </w:tcPr>
          <w:p w14:paraId="7A4DFEC9"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1D345C88"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7CCE9C74"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1D55002F"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60F4D03B"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30694B42" w14:textId="77777777" w:rsidTr="0097090C">
        <w:trPr>
          <w:trHeight w:val="255"/>
        </w:trPr>
        <w:tc>
          <w:tcPr>
            <w:tcW w:w="4016" w:type="dxa"/>
            <w:tcBorders>
              <w:top w:val="single" w:sz="4" w:space="0" w:color="auto"/>
              <w:left w:val="nil"/>
              <w:bottom w:val="single" w:sz="4" w:space="0" w:color="auto"/>
              <w:right w:val="nil"/>
            </w:tcBorders>
            <w:shd w:val="clear" w:color="auto" w:fill="auto"/>
            <w:noWrap/>
            <w:vAlign w:val="bottom"/>
            <w:hideMark/>
          </w:tcPr>
          <w:p w14:paraId="3BC8E0C7" w14:textId="77777777" w:rsidR="0097090C" w:rsidRPr="00182A38" w:rsidRDefault="0097090C" w:rsidP="0097090C">
            <w:pPr>
              <w:rPr>
                <w:rFonts w:cs="Arial"/>
                <w:color w:val="000000"/>
                <w:sz w:val="18"/>
                <w:szCs w:val="18"/>
              </w:rPr>
            </w:pPr>
            <w:r w:rsidRPr="00182A38">
              <w:rPr>
                <w:rFonts w:cs="Arial"/>
                <w:color w:val="000000"/>
                <w:sz w:val="18"/>
                <w:szCs w:val="18"/>
              </w:rPr>
              <w:t>Subtotal</w:t>
            </w:r>
          </w:p>
        </w:tc>
        <w:tc>
          <w:tcPr>
            <w:tcW w:w="1697" w:type="dxa"/>
            <w:tcBorders>
              <w:top w:val="single" w:sz="4" w:space="0" w:color="auto"/>
              <w:left w:val="nil"/>
              <w:bottom w:val="single" w:sz="4" w:space="0" w:color="auto"/>
              <w:right w:val="nil"/>
            </w:tcBorders>
            <w:shd w:val="clear" w:color="auto" w:fill="auto"/>
            <w:noWrap/>
            <w:vAlign w:val="center"/>
            <w:hideMark/>
          </w:tcPr>
          <w:p w14:paraId="24640C35" w14:textId="77777777" w:rsidR="0097090C" w:rsidRPr="00182A38" w:rsidRDefault="0097090C" w:rsidP="0097090C">
            <w:pPr>
              <w:jc w:val="right"/>
              <w:rPr>
                <w:rFonts w:cs="Arial"/>
                <w:color w:val="000000"/>
                <w:sz w:val="18"/>
                <w:szCs w:val="18"/>
              </w:rPr>
            </w:pPr>
            <w:r w:rsidRPr="00182A38">
              <w:rPr>
                <w:rFonts w:cs="Arial"/>
                <w:color w:val="000000"/>
                <w:sz w:val="18"/>
                <w:szCs w:val="18"/>
              </w:rPr>
              <w:t>375,432</w:t>
            </w:r>
          </w:p>
        </w:tc>
        <w:tc>
          <w:tcPr>
            <w:tcW w:w="1696" w:type="dxa"/>
            <w:tcBorders>
              <w:top w:val="single" w:sz="4" w:space="0" w:color="auto"/>
              <w:left w:val="nil"/>
              <w:bottom w:val="single" w:sz="4" w:space="0" w:color="auto"/>
              <w:right w:val="nil"/>
            </w:tcBorders>
            <w:shd w:val="clear" w:color="auto" w:fill="auto"/>
            <w:noWrap/>
            <w:vAlign w:val="center"/>
            <w:hideMark/>
          </w:tcPr>
          <w:p w14:paraId="2D3525E5" w14:textId="77777777" w:rsidR="0097090C" w:rsidRPr="00182A38" w:rsidRDefault="0097090C" w:rsidP="0097090C">
            <w:pPr>
              <w:jc w:val="right"/>
              <w:rPr>
                <w:rFonts w:cs="Arial"/>
                <w:color w:val="000000"/>
                <w:sz w:val="18"/>
                <w:szCs w:val="18"/>
              </w:rPr>
            </w:pPr>
            <w:r w:rsidRPr="00182A38">
              <w:rPr>
                <w:rFonts w:cs="Arial"/>
                <w:color w:val="000000"/>
                <w:sz w:val="18"/>
                <w:szCs w:val="18"/>
              </w:rPr>
              <w:t>143,699</w:t>
            </w:r>
          </w:p>
        </w:tc>
        <w:tc>
          <w:tcPr>
            <w:tcW w:w="1697" w:type="dxa"/>
            <w:tcBorders>
              <w:top w:val="single" w:sz="4" w:space="0" w:color="auto"/>
              <w:left w:val="nil"/>
              <w:bottom w:val="single" w:sz="4" w:space="0" w:color="auto"/>
              <w:right w:val="nil"/>
            </w:tcBorders>
            <w:shd w:val="clear" w:color="auto" w:fill="auto"/>
            <w:noWrap/>
            <w:vAlign w:val="center"/>
            <w:hideMark/>
          </w:tcPr>
          <w:p w14:paraId="6AFB9775" w14:textId="77777777" w:rsidR="0097090C" w:rsidRPr="00182A38" w:rsidRDefault="0097090C" w:rsidP="0097090C">
            <w:pPr>
              <w:jc w:val="right"/>
              <w:rPr>
                <w:rFonts w:cs="Arial"/>
                <w:color w:val="000000"/>
                <w:sz w:val="18"/>
                <w:szCs w:val="18"/>
              </w:rPr>
            </w:pPr>
            <w:r w:rsidRPr="00182A38">
              <w:rPr>
                <w:rFonts w:cs="Arial"/>
                <w:color w:val="000000"/>
                <w:sz w:val="18"/>
                <w:szCs w:val="18"/>
              </w:rPr>
              <w:t>323,481</w:t>
            </w:r>
          </w:p>
        </w:tc>
        <w:tc>
          <w:tcPr>
            <w:tcW w:w="1697" w:type="dxa"/>
            <w:tcBorders>
              <w:top w:val="single" w:sz="4" w:space="0" w:color="auto"/>
              <w:left w:val="nil"/>
              <w:bottom w:val="single" w:sz="4" w:space="0" w:color="auto"/>
              <w:right w:val="nil"/>
            </w:tcBorders>
            <w:shd w:val="clear" w:color="auto" w:fill="auto"/>
            <w:noWrap/>
            <w:vAlign w:val="center"/>
            <w:hideMark/>
          </w:tcPr>
          <w:p w14:paraId="50EE5877" w14:textId="77777777" w:rsidR="0097090C" w:rsidRPr="00182A38" w:rsidRDefault="0097090C" w:rsidP="0097090C">
            <w:pPr>
              <w:jc w:val="right"/>
              <w:rPr>
                <w:rFonts w:cs="Arial"/>
                <w:color w:val="000000"/>
                <w:sz w:val="18"/>
                <w:szCs w:val="18"/>
              </w:rPr>
            </w:pPr>
            <w:r w:rsidRPr="00182A38">
              <w:rPr>
                <w:rFonts w:cs="Arial"/>
                <w:color w:val="000000"/>
                <w:sz w:val="18"/>
                <w:szCs w:val="18"/>
              </w:rPr>
              <w:t>7,338</w:t>
            </w:r>
          </w:p>
        </w:tc>
        <w:tc>
          <w:tcPr>
            <w:tcW w:w="1697" w:type="dxa"/>
            <w:tcBorders>
              <w:top w:val="single" w:sz="4" w:space="0" w:color="auto"/>
              <w:left w:val="nil"/>
              <w:bottom w:val="single" w:sz="4" w:space="0" w:color="auto"/>
              <w:right w:val="nil"/>
            </w:tcBorders>
            <w:shd w:val="clear" w:color="auto" w:fill="auto"/>
            <w:noWrap/>
            <w:vAlign w:val="center"/>
            <w:hideMark/>
          </w:tcPr>
          <w:p w14:paraId="62C4BBE6" w14:textId="77777777" w:rsidR="0097090C" w:rsidRPr="00182A38" w:rsidRDefault="0097090C" w:rsidP="0097090C">
            <w:pPr>
              <w:jc w:val="right"/>
              <w:rPr>
                <w:rFonts w:cs="Arial"/>
                <w:color w:val="000000"/>
                <w:sz w:val="18"/>
                <w:szCs w:val="18"/>
              </w:rPr>
            </w:pPr>
            <w:r w:rsidRPr="00182A38">
              <w:rPr>
                <w:rFonts w:cs="Arial"/>
                <w:color w:val="000000"/>
                <w:sz w:val="18"/>
                <w:szCs w:val="18"/>
              </w:rPr>
              <w:t>1,937</w:t>
            </w:r>
          </w:p>
        </w:tc>
      </w:tr>
      <w:tr w:rsidR="0097090C" w:rsidRPr="00182A38" w14:paraId="30D5726A" w14:textId="77777777" w:rsidTr="0097090C">
        <w:trPr>
          <w:trHeight w:val="510"/>
        </w:trPr>
        <w:tc>
          <w:tcPr>
            <w:tcW w:w="4016" w:type="dxa"/>
            <w:tcBorders>
              <w:top w:val="nil"/>
              <w:left w:val="nil"/>
              <w:bottom w:val="nil"/>
              <w:right w:val="nil"/>
            </w:tcBorders>
            <w:shd w:val="clear" w:color="auto" w:fill="auto"/>
            <w:vAlign w:val="bottom"/>
            <w:hideMark/>
          </w:tcPr>
          <w:p w14:paraId="5279019C" w14:textId="77777777" w:rsidR="0097090C" w:rsidRPr="00182A38" w:rsidRDefault="0097090C" w:rsidP="0097090C">
            <w:pPr>
              <w:rPr>
                <w:rFonts w:cs="Arial"/>
                <w:color w:val="000000"/>
                <w:sz w:val="18"/>
                <w:szCs w:val="18"/>
              </w:rPr>
            </w:pPr>
            <w:r w:rsidRPr="00182A38">
              <w:rPr>
                <w:rFonts w:cs="Arial"/>
                <w:color w:val="000000"/>
                <w:sz w:val="18"/>
                <w:szCs w:val="18"/>
              </w:rPr>
              <w:t>Gains or losses recognised in other economic flows – other comprehensive income</w:t>
            </w:r>
          </w:p>
        </w:tc>
        <w:tc>
          <w:tcPr>
            <w:tcW w:w="1697" w:type="dxa"/>
            <w:tcBorders>
              <w:top w:val="nil"/>
              <w:left w:val="nil"/>
              <w:bottom w:val="nil"/>
              <w:right w:val="nil"/>
            </w:tcBorders>
            <w:shd w:val="clear" w:color="auto" w:fill="auto"/>
            <w:noWrap/>
            <w:vAlign w:val="center"/>
            <w:hideMark/>
          </w:tcPr>
          <w:p w14:paraId="073FA753"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3002D2FA"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776480A8"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65A8A3F1"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11A63895"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6CD065D1" w14:textId="77777777" w:rsidTr="0097090C">
        <w:trPr>
          <w:trHeight w:val="255"/>
        </w:trPr>
        <w:tc>
          <w:tcPr>
            <w:tcW w:w="4016" w:type="dxa"/>
            <w:tcBorders>
              <w:top w:val="nil"/>
              <w:left w:val="nil"/>
              <w:bottom w:val="nil"/>
              <w:right w:val="nil"/>
            </w:tcBorders>
            <w:shd w:val="clear" w:color="auto" w:fill="auto"/>
            <w:noWrap/>
            <w:vAlign w:val="bottom"/>
            <w:hideMark/>
          </w:tcPr>
          <w:p w14:paraId="07930E86" w14:textId="77777777" w:rsidR="0097090C" w:rsidRPr="00182A38" w:rsidRDefault="0097090C" w:rsidP="0097090C">
            <w:pPr>
              <w:rPr>
                <w:rFonts w:cs="Arial"/>
                <w:color w:val="000000"/>
                <w:sz w:val="18"/>
                <w:szCs w:val="18"/>
              </w:rPr>
            </w:pPr>
            <w:r w:rsidRPr="00182A38">
              <w:rPr>
                <w:rFonts w:cs="Arial"/>
                <w:color w:val="000000"/>
                <w:sz w:val="18"/>
                <w:szCs w:val="18"/>
              </w:rPr>
              <w:t>Revaluation</w:t>
            </w:r>
          </w:p>
        </w:tc>
        <w:tc>
          <w:tcPr>
            <w:tcW w:w="1697" w:type="dxa"/>
            <w:tcBorders>
              <w:top w:val="nil"/>
              <w:left w:val="nil"/>
              <w:bottom w:val="nil"/>
              <w:right w:val="nil"/>
            </w:tcBorders>
            <w:shd w:val="clear" w:color="auto" w:fill="auto"/>
            <w:noWrap/>
            <w:vAlign w:val="center"/>
            <w:hideMark/>
          </w:tcPr>
          <w:p w14:paraId="2FA0DF21"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nil"/>
              <w:left w:val="nil"/>
              <w:bottom w:val="nil"/>
              <w:right w:val="nil"/>
            </w:tcBorders>
            <w:shd w:val="clear" w:color="auto" w:fill="auto"/>
            <w:noWrap/>
            <w:vAlign w:val="center"/>
            <w:hideMark/>
          </w:tcPr>
          <w:p w14:paraId="499CD486"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2091E2DC"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17B8E505"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nil"/>
              <w:left w:val="nil"/>
              <w:bottom w:val="nil"/>
              <w:right w:val="nil"/>
            </w:tcBorders>
            <w:shd w:val="clear" w:color="auto" w:fill="auto"/>
            <w:noWrap/>
            <w:vAlign w:val="center"/>
            <w:hideMark/>
          </w:tcPr>
          <w:p w14:paraId="2B36B527"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51D347CE" w14:textId="77777777" w:rsidTr="0097090C">
        <w:trPr>
          <w:trHeight w:val="255"/>
        </w:trPr>
        <w:tc>
          <w:tcPr>
            <w:tcW w:w="4016" w:type="dxa"/>
            <w:tcBorders>
              <w:top w:val="single" w:sz="4" w:space="0" w:color="auto"/>
              <w:left w:val="nil"/>
              <w:bottom w:val="single" w:sz="4" w:space="0" w:color="auto"/>
              <w:right w:val="nil"/>
            </w:tcBorders>
            <w:shd w:val="clear" w:color="auto" w:fill="auto"/>
            <w:noWrap/>
            <w:vAlign w:val="bottom"/>
            <w:hideMark/>
          </w:tcPr>
          <w:p w14:paraId="11DEFC2A" w14:textId="77777777" w:rsidR="0097090C" w:rsidRPr="00182A38" w:rsidRDefault="0097090C" w:rsidP="0097090C">
            <w:pPr>
              <w:rPr>
                <w:rFonts w:cs="Arial"/>
                <w:color w:val="000000"/>
                <w:sz w:val="18"/>
                <w:szCs w:val="18"/>
              </w:rPr>
            </w:pPr>
            <w:r w:rsidRPr="00182A38">
              <w:rPr>
                <w:rFonts w:cs="Arial"/>
                <w:color w:val="000000"/>
                <w:sz w:val="18"/>
                <w:szCs w:val="18"/>
              </w:rPr>
              <w:t>Subtotal</w:t>
            </w:r>
          </w:p>
        </w:tc>
        <w:tc>
          <w:tcPr>
            <w:tcW w:w="1697" w:type="dxa"/>
            <w:tcBorders>
              <w:top w:val="single" w:sz="4" w:space="0" w:color="auto"/>
              <w:left w:val="nil"/>
              <w:bottom w:val="single" w:sz="4" w:space="0" w:color="auto"/>
              <w:right w:val="nil"/>
            </w:tcBorders>
            <w:shd w:val="clear" w:color="auto" w:fill="auto"/>
            <w:noWrap/>
            <w:vAlign w:val="center"/>
            <w:hideMark/>
          </w:tcPr>
          <w:p w14:paraId="327C86D7"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6" w:type="dxa"/>
            <w:tcBorders>
              <w:top w:val="single" w:sz="4" w:space="0" w:color="auto"/>
              <w:left w:val="nil"/>
              <w:bottom w:val="single" w:sz="4" w:space="0" w:color="auto"/>
              <w:right w:val="nil"/>
            </w:tcBorders>
            <w:shd w:val="clear" w:color="auto" w:fill="auto"/>
            <w:noWrap/>
            <w:vAlign w:val="center"/>
            <w:hideMark/>
          </w:tcPr>
          <w:p w14:paraId="6E4DA6B1"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single" w:sz="4" w:space="0" w:color="auto"/>
              <w:left w:val="nil"/>
              <w:bottom w:val="single" w:sz="4" w:space="0" w:color="auto"/>
              <w:right w:val="nil"/>
            </w:tcBorders>
            <w:shd w:val="clear" w:color="auto" w:fill="auto"/>
            <w:noWrap/>
            <w:vAlign w:val="center"/>
            <w:hideMark/>
          </w:tcPr>
          <w:p w14:paraId="3400C42B"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single" w:sz="4" w:space="0" w:color="auto"/>
              <w:left w:val="nil"/>
              <w:bottom w:val="single" w:sz="4" w:space="0" w:color="auto"/>
              <w:right w:val="nil"/>
            </w:tcBorders>
            <w:shd w:val="clear" w:color="auto" w:fill="auto"/>
            <w:noWrap/>
            <w:vAlign w:val="center"/>
            <w:hideMark/>
          </w:tcPr>
          <w:p w14:paraId="1C7286CE"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c>
          <w:tcPr>
            <w:tcW w:w="1697" w:type="dxa"/>
            <w:tcBorders>
              <w:top w:val="single" w:sz="4" w:space="0" w:color="auto"/>
              <w:left w:val="nil"/>
              <w:bottom w:val="single" w:sz="4" w:space="0" w:color="auto"/>
              <w:right w:val="nil"/>
            </w:tcBorders>
            <w:shd w:val="clear" w:color="auto" w:fill="auto"/>
            <w:noWrap/>
            <w:vAlign w:val="center"/>
            <w:hideMark/>
          </w:tcPr>
          <w:p w14:paraId="70AA56DD" w14:textId="77777777" w:rsidR="0097090C" w:rsidRPr="00182A38" w:rsidRDefault="0097090C" w:rsidP="0097090C">
            <w:pPr>
              <w:jc w:val="right"/>
              <w:rPr>
                <w:rFonts w:cs="Arial"/>
                <w:color w:val="000000"/>
                <w:sz w:val="18"/>
                <w:szCs w:val="18"/>
              </w:rPr>
            </w:pPr>
            <w:r w:rsidRPr="00182A38">
              <w:rPr>
                <w:rFonts w:cs="Arial"/>
                <w:color w:val="000000"/>
                <w:sz w:val="18"/>
                <w:szCs w:val="18"/>
              </w:rPr>
              <w:t>0</w:t>
            </w:r>
          </w:p>
        </w:tc>
      </w:tr>
      <w:tr w:rsidR="0097090C" w:rsidRPr="00182A38" w14:paraId="1B7FA80A" w14:textId="77777777" w:rsidTr="0097090C">
        <w:trPr>
          <w:trHeight w:val="255"/>
        </w:trPr>
        <w:tc>
          <w:tcPr>
            <w:tcW w:w="4016" w:type="dxa"/>
            <w:tcBorders>
              <w:top w:val="nil"/>
              <w:left w:val="nil"/>
              <w:bottom w:val="single" w:sz="4" w:space="0" w:color="auto"/>
              <w:right w:val="nil"/>
            </w:tcBorders>
            <w:shd w:val="clear" w:color="auto" w:fill="auto"/>
            <w:noWrap/>
            <w:vAlign w:val="bottom"/>
            <w:hideMark/>
          </w:tcPr>
          <w:p w14:paraId="31769CDA" w14:textId="77777777" w:rsidR="0097090C" w:rsidRPr="00182A38" w:rsidRDefault="0097090C" w:rsidP="0097090C">
            <w:pPr>
              <w:rPr>
                <w:rFonts w:cs="Arial"/>
                <w:b/>
                <w:bCs/>
                <w:color w:val="000000"/>
                <w:sz w:val="18"/>
                <w:szCs w:val="18"/>
              </w:rPr>
            </w:pPr>
            <w:r w:rsidRPr="00182A38">
              <w:rPr>
                <w:rFonts w:cs="Arial"/>
                <w:b/>
                <w:bCs/>
                <w:color w:val="000000"/>
                <w:sz w:val="18"/>
                <w:szCs w:val="18"/>
              </w:rPr>
              <w:t>Closing balance</w:t>
            </w:r>
          </w:p>
        </w:tc>
        <w:tc>
          <w:tcPr>
            <w:tcW w:w="1697" w:type="dxa"/>
            <w:tcBorders>
              <w:top w:val="nil"/>
              <w:left w:val="nil"/>
              <w:bottom w:val="single" w:sz="4" w:space="0" w:color="auto"/>
              <w:right w:val="nil"/>
            </w:tcBorders>
            <w:shd w:val="clear" w:color="auto" w:fill="auto"/>
            <w:noWrap/>
            <w:vAlign w:val="center"/>
            <w:hideMark/>
          </w:tcPr>
          <w:p w14:paraId="2E6C2A11"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375,432</w:t>
            </w:r>
          </w:p>
        </w:tc>
        <w:tc>
          <w:tcPr>
            <w:tcW w:w="1696" w:type="dxa"/>
            <w:tcBorders>
              <w:top w:val="nil"/>
              <w:left w:val="nil"/>
              <w:bottom w:val="single" w:sz="4" w:space="0" w:color="auto"/>
              <w:right w:val="nil"/>
            </w:tcBorders>
            <w:shd w:val="clear" w:color="auto" w:fill="auto"/>
            <w:noWrap/>
            <w:vAlign w:val="center"/>
            <w:hideMark/>
          </w:tcPr>
          <w:p w14:paraId="0696A3F9"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143,699</w:t>
            </w:r>
          </w:p>
        </w:tc>
        <w:tc>
          <w:tcPr>
            <w:tcW w:w="1697" w:type="dxa"/>
            <w:tcBorders>
              <w:top w:val="nil"/>
              <w:left w:val="nil"/>
              <w:bottom w:val="single" w:sz="4" w:space="0" w:color="auto"/>
              <w:right w:val="nil"/>
            </w:tcBorders>
            <w:shd w:val="clear" w:color="auto" w:fill="auto"/>
            <w:noWrap/>
            <w:vAlign w:val="center"/>
            <w:hideMark/>
          </w:tcPr>
          <w:p w14:paraId="5C1D3A1B"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323,481</w:t>
            </w:r>
          </w:p>
        </w:tc>
        <w:tc>
          <w:tcPr>
            <w:tcW w:w="1697" w:type="dxa"/>
            <w:tcBorders>
              <w:top w:val="nil"/>
              <w:left w:val="nil"/>
              <w:bottom w:val="single" w:sz="4" w:space="0" w:color="auto"/>
              <w:right w:val="nil"/>
            </w:tcBorders>
            <w:shd w:val="clear" w:color="auto" w:fill="auto"/>
            <w:noWrap/>
            <w:vAlign w:val="center"/>
            <w:hideMark/>
          </w:tcPr>
          <w:p w14:paraId="684B15EB"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7,338</w:t>
            </w:r>
          </w:p>
        </w:tc>
        <w:tc>
          <w:tcPr>
            <w:tcW w:w="1697" w:type="dxa"/>
            <w:tcBorders>
              <w:top w:val="nil"/>
              <w:left w:val="nil"/>
              <w:bottom w:val="single" w:sz="4" w:space="0" w:color="auto"/>
              <w:right w:val="nil"/>
            </w:tcBorders>
            <w:shd w:val="clear" w:color="auto" w:fill="auto"/>
            <w:noWrap/>
            <w:vAlign w:val="center"/>
            <w:hideMark/>
          </w:tcPr>
          <w:p w14:paraId="2394B8BB" w14:textId="77777777" w:rsidR="0097090C" w:rsidRPr="00182A38" w:rsidRDefault="0097090C" w:rsidP="0097090C">
            <w:pPr>
              <w:jc w:val="right"/>
              <w:rPr>
                <w:rFonts w:cs="Arial"/>
                <w:b/>
                <w:bCs/>
                <w:color w:val="000000"/>
                <w:sz w:val="18"/>
                <w:szCs w:val="18"/>
              </w:rPr>
            </w:pPr>
            <w:r w:rsidRPr="00182A38">
              <w:rPr>
                <w:rFonts w:cs="Arial"/>
                <w:b/>
                <w:bCs/>
                <w:color w:val="000000"/>
                <w:sz w:val="18"/>
                <w:szCs w:val="18"/>
              </w:rPr>
              <w:t>1,937</w:t>
            </w:r>
          </w:p>
        </w:tc>
      </w:tr>
    </w:tbl>
    <w:p w14:paraId="0B5E53C3" w14:textId="77777777" w:rsidR="0097090C" w:rsidRDefault="0097090C" w:rsidP="0097090C">
      <w:pPr>
        <w:rPr>
          <w:rFonts w:cs="Arial"/>
        </w:rPr>
      </w:pPr>
    </w:p>
    <w:p w14:paraId="3CC0284C" w14:textId="77777777" w:rsidR="0097090C" w:rsidRDefault="0097090C" w:rsidP="0097090C">
      <w:pPr>
        <w:pStyle w:val="Heading5"/>
      </w:pPr>
      <w:r w:rsidRPr="00A15133">
        <w:t>9(g) Description of significant unobservable inputs to Level 3 valuations</w:t>
      </w:r>
    </w:p>
    <w:p w14:paraId="32D6B7E3" w14:textId="77777777" w:rsidR="0097090C" w:rsidRDefault="0097090C" w:rsidP="0097090C">
      <w:pPr>
        <w:rPr>
          <w:rFonts w:cs="Arial"/>
        </w:rPr>
      </w:pPr>
    </w:p>
    <w:tbl>
      <w:tblPr>
        <w:tblW w:w="13080" w:type="dxa"/>
        <w:tblInd w:w="108" w:type="dxa"/>
        <w:tblLook w:val="04A0" w:firstRow="1" w:lastRow="0" w:firstColumn="1" w:lastColumn="0" w:noHBand="0" w:noVBand="1"/>
      </w:tblPr>
      <w:tblGrid>
        <w:gridCol w:w="1976"/>
        <w:gridCol w:w="2457"/>
        <w:gridCol w:w="3095"/>
        <w:gridCol w:w="2457"/>
        <w:gridCol w:w="3095"/>
      </w:tblGrid>
      <w:tr w:rsidR="0097090C" w:rsidRPr="00CE7A13" w14:paraId="5652A442" w14:textId="77777777" w:rsidTr="0097090C">
        <w:trPr>
          <w:trHeight w:val="300"/>
        </w:trPr>
        <w:tc>
          <w:tcPr>
            <w:tcW w:w="1976" w:type="dxa"/>
            <w:tcBorders>
              <w:top w:val="single" w:sz="4" w:space="0" w:color="auto"/>
              <w:left w:val="nil"/>
              <w:bottom w:val="single" w:sz="4" w:space="0" w:color="auto"/>
              <w:right w:val="nil"/>
            </w:tcBorders>
            <w:shd w:val="clear" w:color="000000" w:fill="D9D9D9"/>
            <w:noWrap/>
            <w:vAlign w:val="center"/>
            <w:hideMark/>
          </w:tcPr>
          <w:p w14:paraId="725955DB" w14:textId="77777777" w:rsidR="0097090C" w:rsidRPr="00CE7A13" w:rsidRDefault="0097090C" w:rsidP="0097090C">
            <w:pPr>
              <w:jc w:val="center"/>
              <w:rPr>
                <w:rFonts w:cs="Arial"/>
                <w:b/>
                <w:bCs/>
                <w:color w:val="000000"/>
                <w:sz w:val="18"/>
                <w:szCs w:val="18"/>
              </w:rPr>
            </w:pPr>
            <w:r w:rsidRPr="00CE7A13">
              <w:rPr>
                <w:rFonts w:cs="Arial"/>
                <w:b/>
                <w:bCs/>
                <w:color w:val="000000"/>
                <w:sz w:val="18"/>
                <w:szCs w:val="18"/>
              </w:rPr>
              <w:t> </w:t>
            </w:r>
          </w:p>
        </w:tc>
        <w:tc>
          <w:tcPr>
            <w:tcW w:w="2457" w:type="dxa"/>
            <w:tcBorders>
              <w:top w:val="single" w:sz="4" w:space="0" w:color="auto"/>
              <w:left w:val="nil"/>
              <w:bottom w:val="single" w:sz="4" w:space="0" w:color="auto"/>
              <w:right w:val="nil"/>
            </w:tcBorders>
            <w:shd w:val="clear" w:color="000000" w:fill="D9D9D9"/>
            <w:vAlign w:val="center"/>
            <w:hideMark/>
          </w:tcPr>
          <w:p w14:paraId="683F9CF4" w14:textId="77777777" w:rsidR="0097090C" w:rsidRPr="00CE7A13" w:rsidRDefault="0097090C" w:rsidP="0097090C">
            <w:pPr>
              <w:rPr>
                <w:rFonts w:cs="Arial"/>
                <w:b/>
                <w:bCs/>
                <w:color w:val="000000"/>
                <w:sz w:val="18"/>
                <w:szCs w:val="18"/>
              </w:rPr>
            </w:pPr>
            <w:r w:rsidRPr="00CE7A13">
              <w:rPr>
                <w:rFonts w:cs="Arial"/>
                <w:b/>
                <w:bCs/>
                <w:color w:val="000000"/>
                <w:sz w:val="18"/>
                <w:szCs w:val="18"/>
              </w:rPr>
              <w:t>Valuation technique</w:t>
            </w:r>
          </w:p>
        </w:tc>
        <w:tc>
          <w:tcPr>
            <w:tcW w:w="3095" w:type="dxa"/>
            <w:tcBorders>
              <w:top w:val="single" w:sz="4" w:space="0" w:color="auto"/>
              <w:left w:val="nil"/>
              <w:bottom w:val="single" w:sz="4" w:space="0" w:color="auto"/>
              <w:right w:val="nil"/>
            </w:tcBorders>
            <w:shd w:val="clear" w:color="000000" w:fill="D9D9D9"/>
            <w:vAlign w:val="center"/>
            <w:hideMark/>
          </w:tcPr>
          <w:p w14:paraId="6B753A25" w14:textId="77777777" w:rsidR="0097090C" w:rsidRPr="00CE7A13" w:rsidRDefault="0097090C" w:rsidP="0097090C">
            <w:pPr>
              <w:rPr>
                <w:rFonts w:cs="Arial"/>
                <w:b/>
                <w:bCs/>
                <w:color w:val="000000"/>
                <w:sz w:val="18"/>
                <w:szCs w:val="18"/>
              </w:rPr>
            </w:pPr>
            <w:r w:rsidRPr="00CE7A13">
              <w:rPr>
                <w:rFonts w:cs="Arial"/>
                <w:b/>
                <w:bCs/>
                <w:color w:val="000000"/>
                <w:sz w:val="18"/>
                <w:szCs w:val="18"/>
              </w:rPr>
              <w:t>Significant unobservable inputs</w:t>
            </w:r>
          </w:p>
        </w:tc>
        <w:tc>
          <w:tcPr>
            <w:tcW w:w="2457" w:type="dxa"/>
            <w:tcBorders>
              <w:top w:val="single" w:sz="4" w:space="0" w:color="auto"/>
              <w:left w:val="nil"/>
              <w:bottom w:val="single" w:sz="4" w:space="0" w:color="auto"/>
              <w:right w:val="nil"/>
            </w:tcBorders>
            <w:shd w:val="clear" w:color="000000" w:fill="D9D9D9"/>
            <w:vAlign w:val="center"/>
            <w:hideMark/>
          </w:tcPr>
          <w:p w14:paraId="0B4480CD" w14:textId="77777777" w:rsidR="0097090C" w:rsidRPr="00CE7A13" w:rsidRDefault="0097090C" w:rsidP="0097090C">
            <w:pPr>
              <w:rPr>
                <w:rFonts w:cs="Arial"/>
                <w:b/>
                <w:bCs/>
                <w:color w:val="000000"/>
                <w:sz w:val="18"/>
                <w:szCs w:val="18"/>
              </w:rPr>
            </w:pPr>
            <w:r w:rsidRPr="00CE7A13">
              <w:rPr>
                <w:rFonts w:cs="Arial"/>
                <w:b/>
                <w:bCs/>
                <w:color w:val="000000"/>
                <w:sz w:val="18"/>
                <w:szCs w:val="18"/>
              </w:rPr>
              <w:t>Valuation technique</w:t>
            </w:r>
          </w:p>
        </w:tc>
        <w:tc>
          <w:tcPr>
            <w:tcW w:w="3095" w:type="dxa"/>
            <w:tcBorders>
              <w:top w:val="single" w:sz="4" w:space="0" w:color="auto"/>
              <w:left w:val="nil"/>
              <w:bottom w:val="single" w:sz="4" w:space="0" w:color="auto"/>
              <w:right w:val="nil"/>
            </w:tcBorders>
            <w:shd w:val="clear" w:color="000000" w:fill="D9D9D9"/>
            <w:vAlign w:val="center"/>
            <w:hideMark/>
          </w:tcPr>
          <w:p w14:paraId="5E0DE68D" w14:textId="77777777" w:rsidR="0097090C" w:rsidRPr="00CE7A13" w:rsidRDefault="0097090C" w:rsidP="0097090C">
            <w:pPr>
              <w:rPr>
                <w:rFonts w:cs="Arial"/>
                <w:b/>
                <w:bCs/>
                <w:color w:val="000000"/>
                <w:sz w:val="18"/>
                <w:szCs w:val="18"/>
              </w:rPr>
            </w:pPr>
            <w:r w:rsidRPr="00CE7A13">
              <w:rPr>
                <w:rFonts w:cs="Arial"/>
                <w:b/>
                <w:bCs/>
                <w:color w:val="000000"/>
                <w:sz w:val="18"/>
                <w:szCs w:val="18"/>
              </w:rPr>
              <w:t>Significant unobservable inputs</w:t>
            </w:r>
          </w:p>
        </w:tc>
      </w:tr>
      <w:tr w:rsidR="0097090C" w:rsidRPr="00CE7A13" w14:paraId="5EED07C7" w14:textId="77777777" w:rsidTr="0097090C">
        <w:trPr>
          <w:trHeight w:val="300"/>
        </w:trPr>
        <w:tc>
          <w:tcPr>
            <w:tcW w:w="1976" w:type="dxa"/>
            <w:tcBorders>
              <w:top w:val="nil"/>
              <w:left w:val="nil"/>
              <w:bottom w:val="single" w:sz="4" w:space="0" w:color="auto"/>
              <w:right w:val="nil"/>
            </w:tcBorders>
            <w:shd w:val="clear" w:color="auto" w:fill="auto"/>
            <w:noWrap/>
            <w:vAlign w:val="center"/>
            <w:hideMark/>
          </w:tcPr>
          <w:p w14:paraId="3B746D8A" w14:textId="77777777" w:rsidR="0097090C" w:rsidRPr="00CE7A13" w:rsidRDefault="0097090C" w:rsidP="0097090C">
            <w:pPr>
              <w:jc w:val="center"/>
              <w:rPr>
                <w:rFonts w:cs="Arial"/>
                <w:b/>
                <w:bCs/>
                <w:color w:val="000000"/>
                <w:sz w:val="18"/>
                <w:szCs w:val="18"/>
              </w:rPr>
            </w:pPr>
            <w:r w:rsidRPr="00CE7A13">
              <w:rPr>
                <w:rFonts w:cs="Arial"/>
                <w:b/>
                <w:bCs/>
                <w:color w:val="000000"/>
                <w:sz w:val="18"/>
                <w:szCs w:val="18"/>
              </w:rPr>
              <w:t> </w:t>
            </w:r>
          </w:p>
        </w:tc>
        <w:tc>
          <w:tcPr>
            <w:tcW w:w="5552" w:type="dxa"/>
            <w:gridSpan w:val="2"/>
            <w:tcBorders>
              <w:top w:val="single" w:sz="4" w:space="0" w:color="auto"/>
              <w:left w:val="nil"/>
              <w:bottom w:val="single" w:sz="4" w:space="0" w:color="auto"/>
              <w:right w:val="nil"/>
            </w:tcBorders>
            <w:shd w:val="clear" w:color="000000" w:fill="D9D9D9"/>
            <w:vAlign w:val="center"/>
            <w:hideMark/>
          </w:tcPr>
          <w:p w14:paraId="7C9B20BE" w14:textId="77777777" w:rsidR="0097090C" w:rsidRPr="00CE7A13" w:rsidRDefault="0097090C" w:rsidP="0097090C">
            <w:pPr>
              <w:jc w:val="center"/>
              <w:rPr>
                <w:rFonts w:cs="Arial"/>
                <w:b/>
                <w:bCs/>
                <w:color w:val="000000"/>
                <w:sz w:val="18"/>
                <w:szCs w:val="18"/>
              </w:rPr>
            </w:pPr>
            <w:r w:rsidRPr="00CE7A13">
              <w:rPr>
                <w:rFonts w:cs="Arial"/>
                <w:b/>
                <w:bCs/>
                <w:color w:val="000000"/>
                <w:sz w:val="18"/>
                <w:szCs w:val="18"/>
              </w:rPr>
              <w:t>30-Jun-16</w:t>
            </w:r>
          </w:p>
        </w:tc>
        <w:tc>
          <w:tcPr>
            <w:tcW w:w="5552" w:type="dxa"/>
            <w:gridSpan w:val="2"/>
            <w:tcBorders>
              <w:top w:val="single" w:sz="4" w:space="0" w:color="auto"/>
              <w:left w:val="nil"/>
              <w:bottom w:val="single" w:sz="4" w:space="0" w:color="auto"/>
              <w:right w:val="nil"/>
            </w:tcBorders>
            <w:shd w:val="clear" w:color="auto" w:fill="auto"/>
            <w:vAlign w:val="center"/>
            <w:hideMark/>
          </w:tcPr>
          <w:p w14:paraId="66442284" w14:textId="77777777" w:rsidR="0097090C" w:rsidRPr="00CE7A13" w:rsidRDefault="0097090C" w:rsidP="0097090C">
            <w:pPr>
              <w:jc w:val="center"/>
              <w:rPr>
                <w:rFonts w:cs="Arial"/>
                <w:b/>
                <w:bCs/>
                <w:color w:val="000000"/>
                <w:sz w:val="18"/>
                <w:szCs w:val="18"/>
              </w:rPr>
            </w:pPr>
            <w:r w:rsidRPr="00CE7A13">
              <w:rPr>
                <w:rFonts w:cs="Arial"/>
                <w:b/>
                <w:bCs/>
                <w:color w:val="000000"/>
                <w:sz w:val="18"/>
                <w:szCs w:val="18"/>
              </w:rPr>
              <w:t>30-Jun-15</w:t>
            </w:r>
          </w:p>
        </w:tc>
      </w:tr>
      <w:tr w:rsidR="0097090C" w:rsidRPr="00CE7A13" w14:paraId="7EFE87A6" w14:textId="77777777" w:rsidTr="0097090C">
        <w:trPr>
          <w:trHeight w:val="795"/>
        </w:trPr>
        <w:tc>
          <w:tcPr>
            <w:tcW w:w="1976" w:type="dxa"/>
            <w:tcBorders>
              <w:top w:val="nil"/>
              <w:left w:val="nil"/>
              <w:bottom w:val="single" w:sz="4" w:space="0" w:color="auto"/>
              <w:right w:val="nil"/>
            </w:tcBorders>
            <w:shd w:val="clear" w:color="auto" w:fill="auto"/>
            <w:hideMark/>
          </w:tcPr>
          <w:p w14:paraId="465057BA" w14:textId="77777777" w:rsidR="0097090C" w:rsidRPr="00CE7A13" w:rsidRDefault="0097090C" w:rsidP="0097090C">
            <w:pPr>
              <w:rPr>
                <w:rFonts w:cs="Arial"/>
                <w:color w:val="000000"/>
                <w:sz w:val="18"/>
                <w:szCs w:val="18"/>
              </w:rPr>
            </w:pPr>
            <w:r w:rsidRPr="00CE7A13">
              <w:rPr>
                <w:rFonts w:cs="Arial"/>
                <w:color w:val="000000"/>
                <w:sz w:val="18"/>
                <w:szCs w:val="18"/>
              </w:rPr>
              <w:t>Collections</w:t>
            </w:r>
          </w:p>
        </w:tc>
        <w:tc>
          <w:tcPr>
            <w:tcW w:w="2457" w:type="dxa"/>
            <w:tcBorders>
              <w:top w:val="nil"/>
              <w:left w:val="nil"/>
              <w:bottom w:val="single" w:sz="4" w:space="0" w:color="auto"/>
              <w:right w:val="nil"/>
            </w:tcBorders>
            <w:shd w:val="clear" w:color="000000" w:fill="D9D9D9"/>
            <w:hideMark/>
          </w:tcPr>
          <w:p w14:paraId="13424CC5" w14:textId="77777777" w:rsidR="0097090C" w:rsidRPr="00CE7A13" w:rsidRDefault="0097090C" w:rsidP="0097090C">
            <w:pPr>
              <w:rPr>
                <w:rFonts w:cs="Arial"/>
                <w:color w:val="000000"/>
                <w:sz w:val="18"/>
                <w:szCs w:val="18"/>
              </w:rPr>
            </w:pPr>
            <w:r w:rsidRPr="004C475C">
              <w:rPr>
                <w:rFonts w:cs="Arial"/>
                <w:color w:val="000000"/>
                <w:sz w:val="18"/>
                <w:szCs w:val="18"/>
              </w:rPr>
              <w:t>Market, Statistical Model, Cost (Cost of re-collection)</w:t>
            </w:r>
          </w:p>
        </w:tc>
        <w:tc>
          <w:tcPr>
            <w:tcW w:w="3095" w:type="dxa"/>
            <w:tcBorders>
              <w:top w:val="nil"/>
              <w:left w:val="nil"/>
              <w:bottom w:val="single" w:sz="4" w:space="0" w:color="auto"/>
              <w:right w:val="nil"/>
            </w:tcBorders>
            <w:shd w:val="clear" w:color="000000" w:fill="D9D9D9"/>
            <w:hideMark/>
          </w:tcPr>
          <w:p w14:paraId="7187DF01" w14:textId="77777777" w:rsidR="0097090C" w:rsidRPr="00CE7A13" w:rsidRDefault="0097090C" w:rsidP="0097090C">
            <w:pPr>
              <w:rPr>
                <w:rFonts w:cs="Arial"/>
                <w:color w:val="000000"/>
                <w:sz w:val="18"/>
                <w:szCs w:val="18"/>
              </w:rPr>
            </w:pPr>
            <w:r w:rsidRPr="00CE7A13">
              <w:rPr>
                <w:rFonts w:cs="Arial"/>
                <w:color w:val="000000"/>
                <w:sz w:val="18"/>
                <w:szCs w:val="18"/>
              </w:rPr>
              <w:t>Market price, Statistically verified random sample</w:t>
            </w:r>
          </w:p>
        </w:tc>
        <w:tc>
          <w:tcPr>
            <w:tcW w:w="2457" w:type="dxa"/>
            <w:tcBorders>
              <w:top w:val="nil"/>
              <w:left w:val="nil"/>
              <w:bottom w:val="single" w:sz="4" w:space="0" w:color="auto"/>
              <w:right w:val="nil"/>
            </w:tcBorders>
            <w:shd w:val="clear" w:color="auto" w:fill="auto"/>
            <w:hideMark/>
          </w:tcPr>
          <w:p w14:paraId="04832779" w14:textId="77777777" w:rsidR="0097090C" w:rsidRPr="00CE7A13" w:rsidRDefault="0097090C" w:rsidP="0097090C">
            <w:pPr>
              <w:rPr>
                <w:rFonts w:cs="Arial"/>
                <w:color w:val="000000"/>
                <w:sz w:val="18"/>
                <w:szCs w:val="18"/>
              </w:rPr>
            </w:pPr>
            <w:r w:rsidRPr="004C475C">
              <w:rPr>
                <w:rFonts w:cs="Arial"/>
                <w:color w:val="000000"/>
                <w:sz w:val="18"/>
                <w:szCs w:val="18"/>
              </w:rPr>
              <w:t>Market, Statistical Model, Cost (Cost of re-collection</w:t>
            </w:r>
          </w:p>
        </w:tc>
        <w:tc>
          <w:tcPr>
            <w:tcW w:w="3095" w:type="dxa"/>
            <w:tcBorders>
              <w:top w:val="nil"/>
              <w:left w:val="nil"/>
              <w:bottom w:val="single" w:sz="4" w:space="0" w:color="auto"/>
              <w:right w:val="nil"/>
            </w:tcBorders>
            <w:shd w:val="clear" w:color="auto" w:fill="auto"/>
            <w:hideMark/>
          </w:tcPr>
          <w:p w14:paraId="368DF50B" w14:textId="77777777" w:rsidR="0097090C" w:rsidRPr="00CE7A13" w:rsidRDefault="0097090C" w:rsidP="0097090C">
            <w:pPr>
              <w:rPr>
                <w:rFonts w:cs="Arial"/>
                <w:color w:val="000000"/>
                <w:sz w:val="18"/>
                <w:szCs w:val="18"/>
              </w:rPr>
            </w:pPr>
            <w:r w:rsidRPr="00CE7A13">
              <w:rPr>
                <w:rFonts w:cs="Arial"/>
                <w:color w:val="000000"/>
                <w:sz w:val="18"/>
                <w:szCs w:val="18"/>
              </w:rPr>
              <w:t>Market price, Statistically verified random sample</w:t>
            </w:r>
          </w:p>
        </w:tc>
      </w:tr>
      <w:tr w:rsidR="0097090C" w:rsidRPr="00CE7A13" w14:paraId="198AA292" w14:textId="77777777" w:rsidTr="0097090C">
        <w:trPr>
          <w:trHeight w:val="1020"/>
        </w:trPr>
        <w:tc>
          <w:tcPr>
            <w:tcW w:w="1976" w:type="dxa"/>
            <w:tcBorders>
              <w:top w:val="nil"/>
              <w:left w:val="nil"/>
              <w:bottom w:val="single" w:sz="4" w:space="0" w:color="auto"/>
              <w:right w:val="nil"/>
            </w:tcBorders>
            <w:shd w:val="clear" w:color="auto" w:fill="auto"/>
            <w:hideMark/>
          </w:tcPr>
          <w:p w14:paraId="05A6F7A6" w14:textId="77777777" w:rsidR="0097090C" w:rsidRPr="00CE7A13" w:rsidRDefault="0097090C" w:rsidP="0097090C">
            <w:pPr>
              <w:rPr>
                <w:rFonts w:cs="Arial"/>
                <w:color w:val="000000"/>
                <w:sz w:val="18"/>
                <w:szCs w:val="18"/>
              </w:rPr>
            </w:pPr>
            <w:r w:rsidRPr="00CE7A13">
              <w:rPr>
                <w:rFonts w:cs="Arial"/>
                <w:color w:val="000000"/>
                <w:sz w:val="18"/>
                <w:szCs w:val="18"/>
              </w:rPr>
              <w:t>Specialised land</w:t>
            </w:r>
          </w:p>
        </w:tc>
        <w:tc>
          <w:tcPr>
            <w:tcW w:w="2457" w:type="dxa"/>
            <w:tcBorders>
              <w:top w:val="nil"/>
              <w:left w:val="nil"/>
              <w:bottom w:val="single" w:sz="4" w:space="0" w:color="auto"/>
              <w:right w:val="nil"/>
            </w:tcBorders>
            <w:shd w:val="clear" w:color="000000" w:fill="D9D9D9"/>
            <w:hideMark/>
          </w:tcPr>
          <w:p w14:paraId="71775705" w14:textId="77777777" w:rsidR="0097090C" w:rsidRPr="00CE7A13" w:rsidRDefault="0097090C" w:rsidP="0097090C">
            <w:pPr>
              <w:rPr>
                <w:rFonts w:cs="Arial"/>
                <w:color w:val="000000"/>
                <w:sz w:val="18"/>
                <w:szCs w:val="18"/>
              </w:rPr>
            </w:pPr>
            <w:r w:rsidRPr="00CE7A13">
              <w:rPr>
                <w:rFonts w:cs="Arial"/>
                <w:color w:val="000000"/>
                <w:sz w:val="18"/>
                <w:szCs w:val="18"/>
              </w:rPr>
              <w:t xml:space="preserve">Market/Direct Comparison Approach adjusted for unobservable inputs </w:t>
            </w:r>
          </w:p>
        </w:tc>
        <w:tc>
          <w:tcPr>
            <w:tcW w:w="3095" w:type="dxa"/>
            <w:tcBorders>
              <w:top w:val="nil"/>
              <w:left w:val="nil"/>
              <w:bottom w:val="single" w:sz="4" w:space="0" w:color="auto"/>
              <w:right w:val="nil"/>
            </w:tcBorders>
            <w:shd w:val="clear" w:color="000000" w:fill="D9D9D9"/>
            <w:hideMark/>
          </w:tcPr>
          <w:p w14:paraId="0A52521B" w14:textId="77777777" w:rsidR="0097090C" w:rsidRPr="00CE7A13" w:rsidRDefault="0097090C" w:rsidP="0097090C">
            <w:pPr>
              <w:rPr>
                <w:rFonts w:cs="Arial"/>
                <w:color w:val="000000"/>
                <w:sz w:val="18"/>
                <w:szCs w:val="18"/>
              </w:rPr>
            </w:pPr>
            <w:r w:rsidRPr="00CE7A13">
              <w:rPr>
                <w:rFonts w:cs="Arial"/>
                <w:color w:val="000000"/>
                <w:sz w:val="18"/>
                <w:szCs w:val="18"/>
              </w:rPr>
              <w:t>Unit of value by comparative basis ($/m2), Community Service Obligation (CSO) or heritage adjustment</w:t>
            </w:r>
          </w:p>
        </w:tc>
        <w:tc>
          <w:tcPr>
            <w:tcW w:w="2457" w:type="dxa"/>
            <w:tcBorders>
              <w:top w:val="nil"/>
              <w:left w:val="nil"/>
              <w:bottom w:val="single" w:sz="4" w:space="0" w:color="auto"/>
              <w:right w:val="nil"/>
            </w:tcBorders>
            <w:shd w:val="clear" w:color="auto" w:fill="auto"/>
            <w:hideMark/>
          </w:tcPr>
          <w:p w14:paraId="13248FE2" w14:textId="77777777" w:rsidR="0097090C" w:rsidRPr="00CE7A13" w:rsidRDefault="0097090C" w:rsidP="0097090C">
            <w:pPr>
              <w:rPr>
                <w:rFonts w:cs="Arial"/>
                <w:color w:val="000000"/>
                <w:sz w:val="18"/>
                <w:szCs w:val="18"/>
              </w:rPr>
            </w:pPr>
            <w:r w:rsidRPr="00CE7A13">
              <w:rPr>
                <w:rFonts w:cs="Arial"/>
                <w:color w:val="000000"/>
                <w:sz w:val="18"/>
                <w:szCs w:val="18"/>
              </w:rPr>
              <w:t xml:space="preserve">Market/Direct Comparison Approach adjusted for unobservable inputs </w:t>
            </w:r>
          </w:p>
        </w:tc>
        <w:tc>
          <w:tcPr>
            <w:tcW w:w="3095" w:type="dxa"/>
            <w:tcBorders>
              <w:top w:val="nil"/>
              <w:left w:val="nil"/>
              <w:bottom w:val="single" w:sz="4" w:space="0" w:color="auto"/>
              <w:right w:val="nil"/>
            </w:tcBorders>
            <w:shd w:val="clear" w:color="auto" w:fill="auto"/>
            <w:hideMark/>
          </w:tcPr>
          <w:p w14:paraId="7CB07BCF" w14:textId="77777777" w:rsidR="0097090C" w:rsidRPr="00CE7A13" w:rsidRDefault="0097090C" w:rsidP="0097090C">
            <w:pPr>
              <w:rPr>
                <w:rFonts w:cs="Arial"/>
                <w:color w:val="000000"/>
                <w:sz w:val="18"/>
                <w:szCs w:val="18"/>
              </w:rPr>
            </w:pPr>
            <w:r w:rsidRPr="00CE7A13">
              <w:rPr>
                <w:rFonts w:cs="Arial"/>
                <w:color w:val="000000"/>
                <w:sz w:val="18"/>
                <w:szCs w:val="18"/>
              </w:rPr>
              <w:t>Unit of value by comparative basis ($/m2), Community Service Obligation (CSO) or heritage adjustment</w:t>
            </w:r>
          </w:p>
        </w:tc>
      </w:tr>
      <w:tr w:rsidR="0097090C" w:rsidRPr="00CE7A13" w14:paraId="0590F474" w14:textId="77777777" w:rsidTr="0097090C">
        <w:trPr>
          <w:trHeight w:val="960"/>
        </w:trPr>
        <w:tc>
          <w:tcPr>
            <w:tcW w:w="1976" w:type="dxa"/>
            <w:tcBorders>
              <w:top w:val="nil"/>
              <w:left w:val="nil"/>
              <w:bottom w:val="single" w:sz="4" w:space="0" w:color="auto"/>
              <w:right w:val="nil"/>
            </w:tcBorders>
            <w:shd w:val="clear" w:color="auto" w:fill="auto"/>
            <w:hideMark/>
          </w:tcPr>
          <w:p w14:paraId="768B83F1" w14:textId="77777777" w:rsidR="0097090C" w:rsidRPr="00CE7A13" w:rsidRDefault="0097090C" w:rsidP="0097090C">
            <w:pPr>
              <w:rPr>
                <w:rFonts w:cs="Arial"/>
                <w:color w:val="000000"/>
                <w:sz w:val="18"/>
                <w:szCs w:val="18"/>
              </w:rPr>
            </w:pPr>
            <w:r w:rsidRPr="00CE7A13">
              <w:rPr>
                <w:rFonts w:cs="Arial"/>
                <w:color w:val="000000"/>
                <w:sz w:val="18"/>
                <w:szCs w:val="18"/>
              </w:rPr>
              <w:t>Buildings</w:t>
            </w:r>
          </w:p>
        </w:tc>
        <w:tc>
          <w:tcPr>
            <w:tcW w:w="2457" w:type="dxa"/>
            <w:tcBorders>
              <w:top w:val="nil"/>
              <w:left w:val="nil"/>
              <w:bottom w:val="single" w:sz="4" w:space="0" w:color="auto"/>
              <w:right w:val="nil"/>
            </w:tcBorders>
            <w:shd w:val="clear" w:color="000000" w:fill="D9D9D9"/>
            <w:hideMark/>
          </w:tcPr>
          <w:p w14:paraId="6151AAA3" w14:textId="77777777" w:rsidR="0097090C" w:rsidRPr="00CE7A13" w:rsidRDefault="0097090C" w:rsidP="0097090C">
            <w:pPr>
              <w:rPr>
                <w:rFonts w:cs="Arial"/>
                <w:color w:val="000000"/>
                <w:sz w:val="18"/>
                <w:szCs w:val="18"/>
              </w:rPr>
            </w:pPr>
            <w:r w:rsidRPr="00CE7A13">
              <w:rPr>
                <w:rFonts w:cs="Arial"/>
                <w:color w:val="000000"/>
                <w:sz w:val="18"/>
                <w:szCs w:val="18"/>
              </w:rPr>
              <w:t>Cost/Depreciated Replacement Cost Approach</w:t>
            </w:r>
          </w:p>
        </w:tc>
        <w:tc>
          <w:tcPr>
            <w:tcW w:w="3095" w:type="dxa"/>
            <w:tcBorders>
              <w:top w:val="nil"/>
              <w:left w:val="nil"/>
              <w:bottom w:val="single" w:sz="4" w:space="0" w:color="auto"/>
              <w:right w:val="nil"/>
            </w:tcBorders>
            <w:shd w:val="clear" w:color="000000" w:fill="D9D9D9"/>
            <w:hideMark/>
          </w:tcPr>
          <w:p w14:paraId="150C133F" w14:textId="77777777" w:rsidR="0097090C" w:rsidRPr="00CE7A13" w:rsidRDefault="0097090C" w:rsidP="0097090C">
            <w:pPr>
              <w:rPr>
                <w:rFonts w:cs="Arial"/>
                <w:color w:val="000000"/>
                <w:sz w:val="18"/>
                <w:szCs w:val="18"/>
              </w:rPr>
            </w:pPr>
            <w:r w:rsidRPr="00CE7A13">
              <w:rPr>
                <w:rFonts w:cs="Arial"/>
                <w:color w:val="000000"/>
                <w:sz w:val="18"/>
                <w:szCs w:val="18"/>
              </w:rPr>
              <w:t>Recognised building cost indicators and or Quantity Surveyors and examples of current costs, assessment of useful life</w:t>
            </w:r>
          </w:p>
        </w:tc>
        <w:tc>
          <w:tcPr>
            <w:tcW w:w="2457" w:type="dxa"/>
            <w:tcBorders>
              <w:top w:val="nil"/>
              <w:left w:val="nil"/>
              <w:bottom w:val="single" w:sz="4" w:space="0" w:color="auto"/>
              <w:right w:val="nil"/>
            </w:tcBorders>
            <w:shd w:val="clear" w:color="auto" w:fill="auto"/>
            <w:hideMark/>
          </w:tcPr>
          <w:p w14:paraId="0B4B1E2C" w14:textId="77777777" w:rsidR="0097090C" w:rsidRPr="00CE7A13" w:rsidRDefault="0097090C" w:rsidP="0097090C">
            <w:pPr>
              <w:rPr>
                <w:rFonts w:cs="Arial"/>
                <w:color w:val="000000"/>
                <w:sz w:val="18"/>
                <w:szCs w:val="18"/>
              </w:rPr>
            </w:pPr>
            <w:r w:rsidRPr="00CE7A13">
              <w:rPr>
                <w:rFonts w:cs="Arial"/>
                <w:color w:val="000000"/>
                <w:sz w:val="18"/>
                <w:szCs w:val="18"/>
              </w:rPr>
              <w:t>Cost/Depreciated Replacement Cost Approach</w:t>
            </w:r>
          </w:p>
        </w:tc>
        <w:tc>
          <w:tcPr>
            <w:tcW w:w="3095" w:type="dxa"/>
            <w:tcBorders>
              <w:top w:val="nil"/>
              <w:left w:val="nil"/>
              <w:bottom w:val="single" w:sz="4" w:space="0" w:color="auto"/>
              <w:right w:val="nil"/>
            </w:tcBorders>
            <w:shd w:val="clear" w:color="auto" w:fill="auto"/>
            <w:hideMark/>
          </w:tcPr>
          <w:p w14:paraId="5BD13FFF" w14:textId="77777777" w:rsidR="0097090C" w:rsidRPr="00CE7A13" w:rsidRDefault="0097090C" w:rsidP="0097090C">
            <w:pPr>
              <w:rPr>
                <w:rFonts w:cs="Arial"/>
                <w:color w:val="000000"/>
                <w:sz w:val="18"/>
                <w:szCs w:val="18"/>
              </w:rPr>
            </w:pPr>
            <w:r w:rsidRPr="00CE7A13">
              <w:rPr>
                <w:rFonts w:cs="Arial"/>
                <w:color w:val="000000"/>
                <w:sz w:val="18"/>
                <w:szCs w:val="18"/>
              </w:rPr>
              <w:t>Recognised building cost indicators and or Quantity Surveyors and examples of current costs, assessment of useful life</w:t>
            </w:r>
          </w:p>
        </w:tc>
      </w:tr>
      <w:tr w:rsidR="0097090C" w:rsidRPr="00CE7A13" w14:paraId="733DB13D" w14:textId="77777777" w:rsidTr="0097090C">
        <w:trPr>
          <w:trHeight w:val="735"/>
        </w:trPr>
        <w:tc>
          <w:tcPr>
            <w:tcW w:w="1976" w:type="dxa"/>
            <w:tcBorders>
              <w:top w:val="nil"/>
              <w:left w:val="nil"/>
              <w:bottom w:val="nil"/>
              <w:right w:val="nil"/>
            </w:tcBorders>
            <w:shd w:val="clear" w:color="auto" w:fill="auto"/>
            <w:hideMark/>
          </w:tcPr>
          <w:p w14:paraId="24FEBF50" w14:textId="77777777" w:rsidR="0097090C" w:rsidRPr="00CE7A13" w:rsidRDefault="0097090C" w:rsidP="0097090C">
            <w:pPr>
              <w:rPr>
                <w:rFonts w:cs="Arial"/>
                <w:color w:val="000000"/>
                <w:sz w:val="18"/>
                <w:szCs w:val="18"/>
              </w:rPr>
            </w:pPr>
            <w:r w:rsidRPr="00CE7A13">
              <w:rPr>
                <w:rFonts w:cs="Arial"/>
                <w:color w:val="000000"/>
                <w:sz w:val="18"/>
                <w:szCs w:val="18"/>
              </w:rPr>
              <w:t>Plant and Equipment</w:t>
            </w:r>
          </w:p>
        </w:tc>
        <w:tc>
          <w:tcPr>
            <w:tcW w:w="2457" w:type="dxa"/>
            <w:tcBorders>
              <w:top w:val="nil"/>
              <w:left w:val="nil"/>
              <w:bottom w:val="nil"/>
              <w:right w:val="nil"/>
            </w:tcBorders>
            <w:shd w:val="clear" w:color="000000" w:fill="D9D9D9"/>
            <w:hideMark/>
          </w:tcPr>
          <w:p w14:paraId="5BFE2A3D" w14:textId="77777777" w:rsidR="0097090C" w:rsidRPr="00CE7A13" w:rsidRDefault="0097090C" w:rsidP="0097090C">
            <w:pPr>
              <w:rPr>
                <w:rFonts w:cs="Arial"/>
                <w:color w:val="000000"/>
                <w:sz w:val="18"/>
                <w:szCs w:val="18"/>
              </w:rPr>
            </w:pPr>
            <w:r w:rsidRPr="00CE7A13">
              <w:rPr>
                <w:rFonts w:cs="Arial"/>
                <w:color w:val="000000"/>
                <w:sz w:val="18"/>
                <w:szCs w:val="18"/>
              </w:rPr>
              <w:t>Depreciated replacement cost approach</w:t>
            </w:r>
          </w:p>
        </w:tc>
        <w:tc>
          <w:tcPr>
            <w:tcW w:w="3095" w:type="dxa"/>
            <w:tcBorders>
              <w:top w:val="nil"/>
              <w:left w:val="nil"/>
              <w:bottom w:val="nil"/>
              <w:right w:val="nil"/>
            </w:tcBorders>
            <w:shd w:val="clear" w:color="000000" w:fill="D9D9D9"/>
            <w:hideMark/>
          </w:tcPr>
          <w:p w14:paraId="40A75F9F" w14:textId="77777777" w:rsidR="0097090C" w:rsidRPr="00CE7A13" w:rsidRDefault="0097090C" w:rsidP="0097090C">
            <w:pPr>
              <w:rPr>
                <w:rFonts w:cs="Arial"/>
                <w:color w:val="000000"/>
                <w:sz w:val="18"/>
                <w:szCs w:val="18"/>
              </w:rPr>
            </w:pPr>
            <w:r w:rsidRPr="00CE7A13">
              <w:rPr>
                <w:rFonts w:cs="Arial"/>
                <w:color w:val="000000"/>
                <w:sz w:val="18"/>
                <w:szCs w:val="18"/>
              </w:rPr>
              <w:t>Cost per unit</w:t>
            </w:r>
          </w:p>
        </w:tc>
        <w:tc>
          <w:tcPr>
            <w:tcW w:w="2457" w:type="dxa"/>
            <w:tcBorders>
              <w:top w:val="nil"/>
              <w:left w:val="nil"/>
              <w:bottom w:val="nil"/>
              <w:right w:val="nil"/>
            </w:tcBorders>
            <w:shd w:val="clear" w:color="auto" w:fill="auto"/>
            <w:hideMark/>
          </w:tcPr>
          <w:p w14:paraId="700C1B18" w14:textId="77777777" w:rsidR="0097090C" w:rsidRPr="00CE7A13" w:rsidRDefault="0097090C" w:rsidP="0097090C">
            <w:pPr>
              <w:rPr>
                <w:rFonts w:cs="Arial"/>
                <w:color w:val="000000"/>
                <w:sz w:val="18"/>
                <w:szCs w:val="18"/>
              </w:rPr>
            </w:pPr>
            <w:r w:rsidRPr="00CE7A13">
              <w:rPr>
                <w:rFonts w:cs="Arial"/>
                <w:color w:val="000000"/>
                <w:sz w:val="18"/>
                <w:szCs w:val="18"/>
              </w:rPr>
              <w:t>Depreciated replacement cost</w:t>
            </w:r>
          </w:p>
        </w:tc>
        <w:tc>
          <w:tcPr>
            <w:tcW w:w="3095" w:type="dxa"/>
            <w:tcBorders>
              <w:top w:val="nil"/>
              <w:left w:val="nil"/>
              <w:bottom w:val="nil"/>
              <w:right w:val="nil"/>
            </w:tcBorders>
            <w:shd w:val="clear" w:color="auto" w:fill="auto"/>
            <w:hideMark/>
          </w:tcPr>
          <w:p w14:paraId="1B785ABC" w14:textId="77777777" w:rsidR="0097090C" w:rsidRPr="00CE7A13" w:rsidRDefault="0097090C" w:rsidP="0097090C">
            <w:pPr>
              <w:rPr>
                <w:rFonts w:cs="Arial"/>
                <w:color w:val="000000"/>
                <w:sz w:val="18"/>
                <w:szCs w:val="18"/>
              </w:rPr>
            </w:pPr>
            <w:r w:rsidRPr="00CE7A13">
              <w:rPr>
                <w:rFonts w:cs="Arial"/>
                <w:color w:val="000000"/>
                <w:sz w:val="18"/>
                <w:szCs w:val="18"/>
              </w:rPr>
              <w:t>Cost per unit</w:t>
            </w:r>
          </w:p>
        </w:tc>
      </w:tr>
      <w:tr w:rsidR="0097090C" w:rsidRPr="00CE7A13" w14:paraId="72721430" w14:textId="77777777" w:rsidTr="0097090C">
        <w:trPr>
          <w:trHeight w:val="255"/>
        </w:trPr>
        <w:tc>
          <w:tcPr>
            <w:tcW w:w="1976" w:type="dxa"/>
            <w:tcBorders>
              <w:top w:val="nil"/>
              <w:left w:val="nil"/>
              <w:bottom w:val="nil"/>
              <w:right w:val="nil"/>
            </w:tcBorders>
            <w:shd w:val="clear" w:color="auto" w:fill="auto"/>
            <w:hideMark/>
          </w:tcPr>
          <w:p w14:paraId="20C57449" w14:textId="77777777" w:rsidR="0097090C" w:rsidRPr="00CE7A13" w:rsidRDefault="0097090C" w:rsidP="0097090C">
            <w:pPr>
              <w:rPr>
                <w:rFonts w:cs="Arial"/>
                <w:color w:val="000000"/>
                <w:sz w:val="18"/>
                <w:szCs w:val="18"/>
              </w:rPr>
            </w:pPr>
          </w:p>
        </w:tc>
        <w:tc>
          <w:tcPr>
            <w:tcW w:w="2457" w:type="dxa"/>
            <w:tcBorders>
              <w:top w:val="nil"/>
              <w:left w:val="nil"/>
              <w:bottom w:val="single" w:sz="4" w:space="0" w:color="auto"/>
              <w:right w:val="nil"/>
            </w:tcBorders>
            <w:shd w:val="clear" w:color="000000" w:fill="D9D9D9"/>
            <w:hideMark/>
          </w:tcPr>
          <w:p w14:paraId="520AE990" w14:textId="77777777" w:rsidR="0097090C" w:rsidRPr="00CE7A13" w:rsidRDefault="0097090C" w:rsidP="0097090C">
            <w:pPr>
              <w:rPr>
                <w:rFonts w:cs="Arial"/>
                <w:color w:val="000000"/>
                <w:sz w:val="18"/>
                <w:szCs w:val="18"/>
              </w:rPr>
            </w:pPr>
            <w:r w:rsidRPr="00CE7A13">
              <w:rPr>
                <w:rFonts w:cs="Arial"/>
                <w:color w:val="000000"/>
                <w:sz w:val="18"/>
                <w:szCs w:val="18"/>
              </w:rPr>
              <w:t> </w:t>
            </w:r>
          </w:p>
        </w:tc>
        <w:tc>
          <w:tcPr>
            <w:tcW w:w="3095" w:type="dxa"/>
            <w:tcBorders>
              <w:top w:val="nil"/>
              <w:left w:val="nil"/>
              <w:bottom w:val="single" w:sz="4" w:space="0" w:color="auto"/>
              <w:right w:val="nil"/>
            </w:tcBorders>
            <w:shd w:val="clear" w:color="000000" w:fill="D9D9D9"/>
            <w:hideMark/>
          </w:tcPr>
          <w:p w14:paraId="07AF1960" w14:textId="77777777" w:rsidR="0097090C" w:rsidRPr="00CE7A13" w:rsidRDefault="0097090C" w:rsidP="0097090C">
            <w:pPr>
              <w:rPr>
                <w:rFonts w:cs="Arial"/>
                <w:color w:val="000000"/>
                <w:sz w:val="18"/>
                <w:szCs w:val="18"/>
              </w:rPr>
            </w:pPr>
            <w:r w:rsidRPr="00CE7A13">
              <w:rPr>
                <w:rFonts w:cs="Arial"/>
                <w:color w:val="000000"/>
                <w:sz w:val="18"/>
                <w:szCs w:val="18"/>
              </w:rPr>
              <w:t>Useful life of plant and equipment</w:t>
            </w:r>
          </w:p>
        </w:tc>
        <w:tc>
          <w:tcPr>
            <w:tcW w:w="2457" w:type="dxa"/>
            <w:tcBorders>
              <w:top w:val="nil"/>
              <w:left w:val="nil"/>
              <w:bottom w:val="single" w:sz="4" w:space="0" w:color="auto"/>
              <w:right w:val="nil"/>
            </w:tcBorders>
            <w:shd w:val="clear" w:color="auto" w:fill="auto"/>
            <w:hideMark/>
          </w:tcPr>
          <w:p w14:paraId="636D261B" w14:textId="77777777" w:rsidR="0097090C" w:rsidRPr="00CE7A13" w:rsidRDefault="0097090C" w:rsidP="0097090C">
            <w:pPr>
              <w:rPr>
                <w:rFonts w:cs="Arial"/>
                <w:color w:val="000000"/>
                <w:sz w:val="18"/>
                <w:szCs w:val="18"/>
              </w:rPr>
            </w:pPr>
            <w:r w:rsidRPr="00CE7A13">
              <w:rPr>
                <w:rFonts w:cs="Arial"/>
                <w:color w:val="000000"/>
                <w:sz w:val="18"/>
                <w:szCs w:val="18"/>
              </w:rPr>
              <w:t> </w:t>
            </w:r>
          </w:p>
        </w:tc>
        <w:tc>
          <w:tcPr>
            <w:tcW w:w="3095" w:type="dxa"/>
            <w:tcBorders>
              <w:top w:val="nil"/>
              <w:left w:val="nil"/>
              <w:bottom w:val="single" w:sz="4" w:space="0" w:color="auto"/>
              <w:right w:val="nil"/>
            </w:tcBorders>
            <w:shd w:val="clear" w:color="auto" w:fill="auto"/>
            <w:hideMark/>
          </w:tcPr>
          <w:p w14:paraId="6D5BB66B" w14:textId="77777777" w:rsidR="0097090C" w:rsidRPr="00CE7A13" w:rsidRDefault="0097090C" w:rsidP="0097090C">
            <w:pPr>
              <w:rPr>
                <w:rFonts w:cs="Arial"/>
                <w:color w:val="000000"/>
                <w:sz w:val="18"/>
                <w:szCs w:val="18"/>
              </w:rPr>
            </w:pPr>
            <w:r w:rsidRPr="00CE7A13">
              <w:rPr>
                <w:rFonts w:cs="Arial"/>
                <w:color w:val="000000"/>
                <w:sz w:val="18"/>
                <w:szCs w:val="18"/>
              </w:rPr>
              <w:t>Useful life of plant and equipment</w:t>
            </w:r>
          </w:p>
        </w:tc>
      </w:tr>
      <w:tr w:rsidR="0097090C" w:rsidRPr="00CE7A13" w14:paraId="0CBE103D" w14:textId="77777777" w:rsidTr="0097090C">
        <w:trPr>
          <w:trHeight w:val="750"/>
        </w:trPr>
        <w:tc>
          <w:tcPr>
            <w:tcW w:w="1976" w:type="dxa"/>
            <w:tcBorders>
              <w:top w:val="single" w:sz="4" w:space="0" w:color="auto"/>
              <w:left w:val="nil"/>
              <w:bottom w:val="nil"/>
              <w:right w:val="nil"/>
            </w:tcBorders>
            <w:shd w:val="clear" w:color="auto" w:fill="auto"/>
            <w:hideMark/>
          </w:tcPr>
          <w:p w14:paraId="1D7D763E" w14:textId="77777777" w:rsidR="0097090C" w:rsidRPr="00CE7A13" w:rsidRDefault="0097090C" w:rsidP="0097090C">
            <w:pPr>
              <w:rPr>
                <w:rFonts w:cs="Arial"/>
                <w:color w:val="000000"/>
                <w:sz w:val="18"/>
                <w:szCs w:val="18"/>
              </w:rPr>
            </w:pPr>
            <w:r w:rsidRPr="00CE7A13">
              <w:rPr>
                <w:rFonts w:cs="Arial"/>
                <w:color w:val="000000"/>
                <w:sz w:val="18"/>
                <w:szCs w:val="18"/>
              </w:rPr>
              <w:t>Exhibitions</w:t>
            </w:r>
          </w:p>
        </w:tc>
        <w:tc>
          <w:tcPr>
            <w:tcW w:w="2457" w:type="dxa"/>
            <w:tcBorders>
              <w:top w:val="nil"/>
              <w:left w:val="nil"/>
              <w:bottom w:val="nil"/>
              <w:right w:val="nil"/>
            </w:tcBorders>
            <w:shd w:val="clear" w:color="000000" w:fill="D9D9D9"/>
            <w:hideMark/>
          </w:tcPr>
          <w:p w14:paraId="712DE54A" w14:textId="77777777" w:rsidR="0097090C" w:rsidRPr="00CE7A13" w:rsidRDefault="0097090C" w:rsidP="0097090C">
            <w:pPr>
              <w:rPr>
                <w:rFonts w:cs="Arial"/>
                <w:color w:val="000000"/>
                <w:sz w:val="18"/>
                <w:szCs w:val="18"/>
              </w:rPr>
            </w:pPr>
            <w:r w:rsidRPr="00CE7A13">
              <w:rPr>
                <w:rFonts w:cs="Arial"/>
                <w:color w:val="000000"/>
                <w:sz w:val="18"/>
                <w:szCs w:val="18"/>
              </w:rPr>
              <w:t>Depreciated replacement cost</w:t>
            </w:r>
          </w:p>
        </w:tc>
        <w:tc>
          <w:tcPr>
            <w:tcW w:w="3095" w:type="dxa"/>
            <w:tcBorders>
              <w:top w:val="nil"/>
              <w:left w:val="nil"/>
              <w:bottom w:val="nil"/>
              <w:right w:val="nil"/>
            </w:tcBorders>
            <w:shd w:val="clear" w:color="000000" w:fill="D9D9D9"/>
            <w:hideMark/>
          </w:tcPr>
          <w:p w14:paraId="08C22DA4" w14:textId="77777777" w:rsidR="0097090C" w:rsidRPr="00CE7A13" w:rsidRDefault="0097090C" w:rsidP="0097090C">
            <w:pPr>
              <w:rPr>
                <w:rFonts w:cs="Arial"/>
                <w:color w:val="000000"/>
                <w:sz w:val="18"/>
                <w:szCs w:val="18"/>
              </w:rPr>
            </w:pPr>
            <w:r w:rsidRPr="00CE7A13">
              <w:rPr>
                <w:rFonts w:cs="Arial"/>
                <w:color w:val="000000"/>
                <w:sz w:val="18"/>
                <w:szCs w:val="18"/>
              </w:rPr>
              <w:t>Cost per unit</w:t>
            </w:r>
          </w:p>
        </w:tc>
        <w:tc>
          <w:tcPr>
            <w:tcW w:w="2457" w:type="dxa"/>
            <w:tcBorders>
              <w:top w:val="nil"/>
              <w:left w:val="nil"/>
              <w:bottom w:val="nil"/>
              <w:right w:val="nil"/>
            </w:tcBorders>
            <w:shd w:val="clear" w:color="auto" w:fill="auto"/>
            <w:hideMark/>
          </w:tcPr>
          <w:p w14:paraId="1C5D9378" w14:textId="77777777" w:rsidR="0097090C" w:rsidRPr="00CE7A13" w:rsidRDefault="0097090C" w:rsidP="0097090C">
            <w:pPr>
              <w:rPr>
                <w:rFonts w:cs="Arial"/>
                <w:color w:val="000000"/>
                <w:sz w:val="18"/>
                <w:szCs w:val="18"/>
              </w:rPr>
            </w:pPr>
            <w:r w:rsidRPr="00CE7A13">
              <w:rPr>
                <w:rFonts w:cs="Arial"/>
                <w:color w:val="000000"/>
                <w:sz w:val="18"/>
                <w:szCs w:val="18"/>
              </w:rPr>
              <w:t>Depreciated replacement cost</w:t>
            </w:r>
          </w:p>
        </w:tc>
        <w:tc>
          <w:tcPr>
            <w:tcW w:w="3095" w:type="dxa"/>
            <w:tcBorders>
              <w:top w:val="nil"/>
              <w:left w:val="nil"/>
              <w:bottom w:val="nil"/>
              <w:right w:val="nil"/>
            </w:tcBorders>
            <w:shd w:val="clear" w:color="auto" w:fill="auto"/>
            <w:hideMark/>
          </w:tcPr>
          <w:p w14:paraId="4CEF207C" w14:textId="77777777" w:rsidR="0097090C" w:rsidRPr="00CE7A13" w:rsidRDefault="0097090C" w:rsidP="0097090C">
            <w:pPr>
              <w:rPr>
                <w:rFonts w:cs="Arial"/>
                <w:color w:val="000000"/>
                <w:sz w:val="18"/>
                <w:szCs w:val="18"/>
              </w:rPr>
            </w:pPr>
            <w:r w:rsidRPr="00CE7A13">
              <w:rPr>
                <w:rFonts w:cs="Arial"/>
                <w:color w:val="000000"/>
                <w:sz w:val="18"/>
                <w:szCs w:val="18"/>
              </w:rPr>
              <w:t>Cost per unit</w:t>
            </w:r>
          </w:p>
        </w:tc>
      </w:tr>
      <w:tr w:rsidR="0097090C" w:rsidRPr="00CE7A13" w14:paraId="0F72294A" w14:textId="77777777" w:rsidTr="0097090C">
        <w:trPr>
          <w:trHeight w:val="255"/>
        </w:trPr>
        <w:tc>
          <w:tcPr>
            <w:tcW w:w="1976" w:type="dxa"/>
            <w:tcBorders>
              <w:top w:val="nil"/>
              <w:left w:val="nil"/>
              <w:bottom w:val="single" w:sz="4" w:space="0" w:color="auto"/>
              <w:right w:val="nil"/>
            </w:tcBorders>
            <w:shd w:val="clear" w:color="auto" w:fill="auto"/>
            <w:hideMark/>
          </w:tcPr>
          <w:p w14:paraId="7281A9CE" w14:textId="77777777" w:rsidR="0097090C" w:rsidRPr="00CE7A13" w:rsidRDefault="0097090C" w:rsidP="0097090C">
            <w:pPr>
              <w:rPr>
                <w:rFonts w:cs="Arial"/>
                <w:color w:val="000000"/>
                <w:sz w:val="18"/>
                <w:szCs w:val="18"/>
              </w:rPr>
            </w:pPr>
            <w:r w:rsidRPr="00CE7A13">
              <w:rPr>
                <w:rFonts w:cs="Arial"/>
                <w:color w:val="000000"/>
                <w:sz w:val="18"/>
                <w:szCs w:val="18"/>
              </w:rPr>
              <w:t> </w:t>
            </w:r>
          </w:p>
        </w:tc>
        <w:tc>
          <w:tcPr>
            <w:tcW w:w="2457" w:type="dxa"/>
            <w:tcBorders>
              <w:top w:val="nil"/>
              <w:left w:val="nil"/>
              <w:bottom w:val="single" w:sz="4" w:space="0" w:color="auto"/>
              <w:right w:val="nil"/>
            </w:tcBorders>
            <w:shd w:val="clear" w:color="000000" w:fill="D9D9D9"/>
            <w:hideMark/>
          </w:tcPr>
          <w:p w14:paraId="735C4622" w14:textId="77777777" w:rsidR="0097090C" w:rsidRPr="00CE7A13" w:rsidRDefault="0097090C" w:rsidP="0097090C">
            <w:pPr>
              <w:rPr>
                <w:rFonts w:cs="Arial"/>
                <w:color w:val="000000"/>
                <w:sz w:val="18"/>
                <w:szCs w:val="18"/>
              </w:rPr>
            </w:pPr>
            <w:r w:rsidRPr="00CE7A13">
              <w:rPr>
                <w:rFonts w:cs="Arial"/>
                <w:color w:val="000000"/>
                <w:sz w:val="18"/>
                <w:szCs w:val="18"/>
              </w:rPr>
              <w:t> </w:t>
            </w:r>
          </w:p>
        </w:tc>
        <w:tc>
          <w:tcPr>
            <w:tcW w:w="3095" w:type="dxa"/>
            <w:tcBorders>
              <w:top w:val="nil"/>
              <w:left w:val="nil"/>
              <w:bottom w:val="single" w:sz="4" w:space="0" w:color="auto"/>
              <w:right w:val="nil"/>
            </w:tcBorders>
            <w:shd w:val="clear" w:color="000000" w:fill="D9D9D9"/>
            <w:hideMark/>
          </w:tcPr>
          <w:p w14:paraId="35FB81C2" w14:textId="77777777" w:rsidR="0097090C" w:rsidRPr="00CE7A13" w:rsidRDefault="0097090C" w:rsidP="0097090C">
            <w:pPr>
              <w:rPr>
                <w:rFonts w:cs="Arial"/>
                <w:color w:val="000000"/>
                <w:sz w:val="18"/>
                <w:szCs w:val="18"/>
              </w:rPr>
            </w:pPr>
            <w:r w:rsidRPr="00CE7A13">
              <w:rPr>
                <w:rFonts w:cs="Arial"/>
                <w:color w:val="000000"/>
                <w:sz w:val="18"/>
                <w:szCs w:val="18"/>
              </w:rPr>
              <w:t>Useful life of exhibition</w:t>
            </w:r>
          </w:p>
        </w:tc>
        <w:tc>
          <w:tcPr>
            <w:tcW w:w="2457" w:type="dxa"/>
            <w:tcBorders>
              <w:top w:val="nil"/>
              <w:left w:val="nil"/>
              <w:bottom w:val="single" w:sz="4" w:space="0" w:color="auto"/>
              <w:right w:val="nil"/>
            </w:tcBorders>
            <w:shd w:val="clear" w:color="auto" w:fill="auto"/>
            <w:hideMark/>
          </w:tcPr>
          <w:p w14:paraId="0CADCF9D" w14:textId="77777777" w:rsidR="0097090C" w:rsidRPr="00CE7A13" w:rsidRDefault="0097090C" w:rsidP="0097090C">
            <w:pPr>
              <w:rPr>
                <w:rFonts w:cs="Arial"/>
                <w:color w:val="000000"/>
                <w:sz w:val="18"/>
                <w:szCs w:val="18"/>
              </w:rPr>
            </w:pPr>
            <w:r w:rsidRPr="00CE7A13">
              <w:rPr>
                <w:rFonts w:cs="Arial"/>
                <w:color w:val="000000"/>
                <w:sz w:val="18"/>
                <w:szCs w:val="18"/>
              </w:rPr>
              <w:t> </w:t>
            </w:r>
          </w:p>
        </w:tc>
        <w:tc>
          <w:tcPr>
            <w:tcW w:w="3095" w:type="dxa"/>
            <w:tcBorders>
              <w:top w:val="nil"/>
              <w:left w:val="nil"/>
              <w:bottom w:val="single" w:sz="4" w:space="0" w:color="auto"/>
              <w:right w:val="nil"/>
            </w:tcBorders>
            <w:shd w:val="clear" w:color="auto" w:fill="auto"/>
            <w:hideMark/>
          </w:tcPr>
          <w:p w14:paraId="03026F3D" w14:textId="77777777" w:rsidR="0097090C" w:rsidRPr="00CE7A13" w:rsidRDefault="0097090C" w:rsidP="0097090C">
            <w:pPr>
              <w:rPr>
                <w:rFonts w:cs="Arial"/>
                <w:color w:val="000000"/>
                <w:sz w:val="18"/>
                <w:szCs w:val="18"/>
              </w:rPr>
            </w:pPr>
            <w:r w:rsidRPr="00CE7A13">
              <w:rPr>
                <w:rFonts w:cs="Arial"/>
                <w:color w:val="000000"/>
                <w:sz w:val="18"/>
                <w:szCs w:val="18"/>
              </w:rPr>
              <w:t>Useful life of exhibition</w:t>
            </w:r>
          </w:p>
        </w:tc>
      </w:tr>
    </w:tbl>
    <w:p w14:paraId="29A6C338" w14:textId="77777777" w:rsidR="0097090C" w:rsidRPr="00B45377" w:rsidRDefault="0097090C" w:rsidP="0097090C">
      <w:pPr>
        <w:rPr>
          <w:rFonts w:cs="Arial"/>
        </w:rPr>
        <w:sectPr w:rsidR="0097090C" w:rsidRPr="00B45377" w:rsidSect="0097090C">
          <w:pgSz w:w="16838" w:h="11906" w:orient="landscape"/>
          <w:pgMar w:top="1440" w:right="1387" w:bottom="1440" w:left="1440" w:header="709" w:footer="709" w:gutter="0"/>
          <w:cols w:space="708"/>
          <w:docGrid w:linePitch="360"/>
        </w:sectPr>
      </w:pPr>
    </w:p>
    <w:tbl>
      <w:tblPr>
        <w:tblW w:w="9419" w:type="dxa"/>
        <w:tblLook w:val="04A0" w:firstRow="1" w:lastRow="0" w:firstColumn="1" w:lastColumn="0" w:noHBand="0" w:noVBand="1"/>
      </w:tblPr>
      <w:tblGrid>
        <w:gridCol w:w="6160"/>
        <w:gridCol w:w="828"/>
        <w:gridCol w:w="1260"/>
        <w:gridCol w:w="1260"/>
      </w:tblGrid>
      <w:tr w:rsidR="0097090C" w:rsidRPr="000C0250" w14:paraId="34FFCF8E" w14:textId="77777777" w:rsidTr="0097090C">
        <w:trPr>
          <w:trHeight w:val="255"/>
        </w:trPr>
        <w:tc>
          <w:tcPr>
            <w:tcW w:w="6160" w:type="dxa"/>
            <w:tcBorders>
              <w:top w:val="single" w:sz="4" w:space="0" w:color="auto"/>
              <w:left w:val="nil"/>
              <w:bottom w:val="single" w:sz="4" w:space="0" w:color="auto"/>
              <w:right w:val="nil"/>
            </w:tcBorders>
            <w:shd w:val="clear" w:color="auto" w:fill="auto"/>
            <w:noWrap/>
            <w:vAlign w:val="center"/>
            <w:hideMark/>
          </w:tcPr>
          <w:p w14:paraId="7D9C02D2" w14:textId="77777777" w:rsidR="0097090C" w:rsidRPr="000C0250" w:rsidRDefault="0097090C" w:rsidP="0097090C">
            <w:pPr>
              <w:rPr>
                <w:rFonts w:cs="Arial"/>
                <w:color w:val="000000"/>
              </w:rPr>
            </w:pPr>
            <w:r w:rsidRPr="000C0250">
              <w:rPr>
                <w:rFonts w:cs="Arial"/>
                <w:color w:val="000000"/>
              </w:rPr>
              <w:t> </w:t>
            </w:r>
          </w:p>
        </w:tc>
        <w:tc>
          <w:tcPr>
            <w:tcW w:w="739" w:type="dxa"/>
            <w:tcBorders>
              <w:top w:val="single" w:sz="4" w:space="0" w:color="auto"/>
              <w:left w:val="nil"/>
              <w:bottom w:val="single" w:sz="4" w:space="0" w:color="auto"/>
              <w:right w:val="nil"/>
            </w:tcBorders>
            <w:shd w:val="clear" w:color="auto" w:fill="auto"/>
            <w:noWrap/>
            <w:vAlign w:val="center"/>
            <w:hideMark/>
          </w:tcPr>
          <w:p w14:paraId="65253D6E" w14:textId="77777777" w:rsidR="0097090C" w:rsidRPr="00923A58" w:rsidRDefault="0097090C" w:rsidP="0097090C">
            <w:pPr>
              <w:jc w:val="center"/>
              <w:rPr>
                <w:rFonts w:cs="Arial"/>
                <w:b/>
                <w:color w:val="000000"/>
              </w:rPr>
            </w:pPr>
            <w:r w:rsidRPr="00923A58">
              <w:rPr>
                <w:rFonts w:cs="Arial"/>
                <w:b/>
                <w:color w:val="000000"/>
              </w:rPr>
              <w:t>Notes</w:t>
            </w:r>
          </w:p>
        </w:tc>
        <w:tc>
          <w:tcPr>
            <w:tcW w:w="1260" w:type="dxa"/>
            <w:tcBorders>
              <w:top w:val="single" w:sz="4" w:space="0" w:color="auto"/>
              <w:left w:val="nil"/>
              <w:bottom w:val="single" w:sz="4" w:space="0" w:color="auto"/>
              <w:right w:val="nil"/>
            </w:tcBorders>
            <w:shd w:val="clear" w:color="000000" w:fill="D9D9D9"/>
            <w:noWrap/>
            <w:vAlign w:val="center"/>
            <w:hideMark/>
          </w:tcPr>
          <w:p w14:paraId="60B28AA3" w14:textId="77777777" w:rsidR="0097090C" w:rsidRPr="00923A58" w:rsidRDefault="0097090C" w:rsidP="0097090C">
            <w:pPr>
              <w:jc w:val="right"/>
              <w:rPr>
                <w:rFonts w:cs="Arial"/>
                <w:b/>
                <w:color w:val="000000"/>
              </w:rPr>
            </w:pPr>
            <w:r w:rsidRPr="00923A58">
              <w:rPr>
                <w:rFonts w:cs="Arial"/>
                <w:b/>
                <w:color w:val="000000"/>
              </w:rPr>
              <w:t>2016</w:t>
            </w:r>
          </w:p>
        </w:tc>
        <w:tc>
          <w:tcPr>
            <w:tcW w:w="1260" w:type="dxa"/>
            <w:tcBorders>
              <w:top w:val="single" w:sz="4" w:space="0" w:color="auto"/>
              <w:left w:val="nil"/>
              <w:bottom w:val="single" w:sz="4" w:space="0" w:color="auto"/>
              <w:right w:val="nil"/>
            </w:tcBorders>
            <w:shd w:val="clear" w:color="auto" w:fill="auto"/>
            <w:noWrap/>
            <w:vAlign w:val="center"/>
            <w:hideMark/>
          </w:tcPr>
          <w:p w14:paraId="3C7D7BB6" w14:textId="77777777" w:rsidR="0097090C" w:rsidRPr="00923A58" w:rsidRDefault="0097090C" w:rsidP="0097090C">
            <w:pPr>
              <w:jc w:val="right"/>
              <w:rPr>
                <w:rFonts w:cs="Arial"/>
                <w:b/>
                <w:color w:val="000000"/>
              </w:rPr>
            </w:pPr>
            <w:r w:rsidRPr="00923A58">
              <w:rPr>
                <w:rFonts w:cs="Arial"/>
                <w:b/>
                <w:color w:val="000000"/>
              </w:rPr>
              <w:t>2015</w:t>
            </w:r>
          </w:p>
        </w:tc>
      </w:tr>
      <w:tr w:rsidR="0097090C" w:rsidRPr="000C0250" w14:paraId="6CE29112" w14:textId="77777777" w:rsidTr="0097090C">
        <w:trPr>
          <w:trHeight w:val="255"/>
        </w:trPr>
        <w:tc>
          <w:tcPr>
            <w:tcW w:w="6160" w:type="dxa"/>
            <w:tcBorders>
              <w:top w:val="nil"/>
              <w:left w:val="nil"/>
              <w:bottom w:val="single" w:sz="4" w:space="0" w:color="auto"/>
              <w:right w:val="nil"/>
            </w:tcBorders>
            <w:shd w:val="clear" w:color="auto" w:fill="auto"/>
            <w:noWrap/>
            <w:vAlign w:val="center"/>
            <w:hideMark/>
          </w:tcPr>
          <w:p w14:paraId="54CA5DA4" w14:textId="77777777" w:rsidR="0097090C" w:rsidRPr="000C0250" w:rsidRDefault="0097090C" w:rsidP="0097090C">
            <w:pPr>
              <w:rPr>
                <w:rFonts w:cs="Arial"/>
                <w:color w:val="000000"/>
              </w:rPr>
            </w:pPr>
            <w:r w:rsidRPr="000C0250">
              <w:rPr>
                <w:rFonts w:cs="Arial"/>
                <w:color w:val="000000"/>
              </w:rPr>
              <w:t> </w:t>
            </w:r>
          </w:p>
        </w:tc>
        <w:tc>
          <w:tcPr>
            <w:tcW w:w="739" w:type="dxa"/>
            <w:tcBorders>
              <w:top w:val="nil"/>
              <w:left w:val="nil"/>
              <w:bottom w:val="single" w:sz="4" w:space="0" w:color="auto"/>
              <w:right w:val="nil"/>
            </w:tcBorders>
            <w:shd w:val="clear" w:color="auto" w:fill="auto"/>
            <w:noWrap/>
            <w:vAlign w:val="center"/>
            <w:hideMark/>
          </w:tcPr>
          <w:p w14:paraId="72773B5C" w14:textId="77777777" w:rsidR="0097090C" w:rsidRPr="00923A58" w:rsidRDefault="0097090C" w:rsidP="0097090C">
            <w:pPr>
              <w:rPr>
                <w:rFonts w:cs="Arial"/>
                <w:b/>
                <w:color w:val="000000"/>
              </w:rPr>
            </w:pPr>
            <w:r w:rsidRPr="00923A58">
              <w:rPr>
                <w:rFonts w:cs="Arial"/>
                <w:b/>
                <w:color w:val="000000"/>
              </w:rPr>
              <w:t> </w:t>
            </w:r>
          </w:p>
        </w:tc>
        <w:tc>
          <w:tcPr>
            <w:tcW w:w="1260" w:type="dxa"/>
            <w:tcBorders>
              <w:top w:val="nil"/>
              <w:left w:val="nil"/>
              <w:bottom w:val="single" w:sz="4" w:space="0" w:color="auto"/>
              <w:right w:val="nil"/>
            </w:tcBorders>
            <w:shd w:val="clear" w:color="000000" w:fill="D9D9D9"/>
            <w:noWrap/>
            <w:vAlign w:val="center"/>
            <w:hideMark/>
          </w:tcPr>
          <w:p w14:paraId="632D3001" w14:textId="77777777" w:rsidR="0097090C" w:rsidRPr="00923A58" w:rsidRDefault="0097090C" w:rsidP="0097090C">
            <w:pPr>
              <w:jc w:val="right"/>
              <w:rPr>
                <w:rFonts w:cs="Arial"/>
                <w:b/>
                <w:color w:val="000000"/>
              </w:rPr>
            </w:pPr>
            <w:r w:rsidRPr="00923A58">
              <w:rPr>
                <w:rFonts w:cs="Arial"/>
                <w:b/>
                <w:color w:val="000000"/>
              </w:rPr>
              <w:t>$'000</w:t>
            </w:r>
          </w:p>
        </w:tc>
        <w:tc>
          <w:tcPr>
            <w:tcW w:w="1260" w:type="dxa"/>
            <w:tcBorders>
              <w:top w:val="nil"/>
              <w:left w:val="nil"/>
              <w:bottom w:val="single" w:sz="4" w:space="0" w:color="auto"/>
              <w:right w:val="nil"/>
            </w:tcBorders>
            <w:shd w:val="clear" w:color="auto" w:fill="auto"/>
            <w:noWrap/>
            <w:vAlign w:val="center"/>
            <w:hideMark/>
          </w:tcPr>
          <w:p w14:paraId="579792AB" w14:textId="77777777" w:rsidR="0097090C" w:rsidRPr="00923A58" w:rsidRDefault="0097090C" w:rsidP="0097090C">
            <w:pPr>
              <w:jc w:val="right"/>
              <w:rPr>
                <w:rFonts w:cs="Arial"/>
                <w:b/>
                <w:color w:val="000000"/>
              </w:rPr>
            </w:pPr>
            <w:r w:rsidRPr="00923A58">
              <w:rPr>
                <w:rFonts w:cs="Arial"/>
                <w:b/>
                <w:color w:val="000000"/>
              </w:rPr>
              <w:t>$'000</w:t>
            </w:r>
          </w:p>
        </w:tc>
      </w:tr>
    </w:tbl>
    <w:p w14:paraId="4AE44F68" w14:textId="77777777" w:rsidR="0097090C" w:rsidRPr="00E66460" w:rsidRDefault="0097090C" w:rsidP="0097090C">
      <w:pPr>
        <w:spacing w:before="60" w:after="60"/>
        <w:rPr>
          <w:rFonts w:cs="Arial"/>
          <w:b/>
          <w:sz w:val="16"/>
          <w:szCs w:val="16"/>
        </w:rPr>
      </w:pPr>
    </w:p>
    <w:p w14:paraId="33C729F7" w14:textId="77777777" w:rsidR="0097090C" w:rsidRDefault="0097090C" w:rsidP="0097090C">
      <w:pPr>
        <w:pStyle w:val="Heading4"/>
      </w:pPr>
      <w:r w:rsidRPr="00251211">
        <w:t>10. Payables</w:t>
      </w:r>
    </w:p>
    <w:tbl>
      <w:tblPr>
        <w:tblW w:w="9360" w:type="dxa"/>
        <w:tblInd w:w="108" w:type="dxa"/>
        <w:tblLook w:val="04A0" w:firstRow="1" w:lastRow="0" w:firstColumn="1" w:lastColumn="0" w:noHBand="0" w:noVBand="1"/>
      </w:tblPr>
      <w:tblGrid>
        <w:gridCol w:w="6120"/>
        <w:gridCol w:w="720"/>
        <w:gridCol w:w="1260"/>
        <w:gridCol w:w="1260"/>
      </w:tblGrid>
      <w:tr w:rsidR="0097090C" w:rsidRPr="00FA16C7" w14:paraId="16A1CCEE"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7AA1B2C2" w14:textId="77777777" w:rsidR="0097090C" w:rsidRPr="00FA16C7" w:rsidRDefault="0097090C" w:rsidP="0097090C">
            <w:pPr>
              <w:rPr>
                <w:rFonts w:cs="Arial"/>
                <w:b/>
                <w:bCs/>
                <w:color w:val="000000"/>
              </w:rPr>
            </w:pPr>
            <w:r w:rsidRPr="00FA16C7">
              <w:rPr>
                <w:rFonts w:cs="Arial"/>
                <w:b/>
                <w:bCs/>
                <w:color w:val="000000"/>
              </w:rPr>
              <w:t>Current Payables</w:t>
            </w:r>
          </w:p>
        </w:tc>
        <w:tc>
          <w:tcPr>
            <w:tcW w:w="720" w:type="dxa"/>
            <w:tcBorders>
              <w:top w:val="single" w:sz="4" w:space="0" w:color="auto"/>
              <w:left w:val="nil"/>
              <w:bottom w:val="nil"/>
              <w:right w:val="nil"/>
            </w:tcBorders>
            <w:shd w:val="clear" w:color="auto" w:fill="auto"/>
            <w:vAlign w:val="center"/>
            <w:hideMark/>
          </w:tcPr>
          <w:p w14:paraId="2853A800" w14:textId="77777777" w:rsidR="0097090C" w:rsidRPr="00FA16C7" w:rsidRDefault="0097090C" w:rsidP="0097090C">
            <w:pPr>
              <w:jc w:val="center"/>
              <w:rPr>
                <w:rFonts w:cs="Arial"/>
                <w:color w:val="000000"/>
              </w:rPr>
            </w:pPr>
            <w:r w:rsidRPr="00FA16C7">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2C60D4A7" w14:textId="77777777" w:rsidR="0097090C" w:rsidRPr="00FA16C7" w:rsidRDefault="0097090C" w:rsidP="0097090C">
            <w:pPr>
              <w:jc w:val="right"/>
              <w:rPr>
                <w:rFonts w:cs="Arial"/>
                <w:color w:val="000000"/>
              </w:rPr>
            </w:pPr>
            <w:r w:rsidRPr="00FA16C7">
              <w:rPr>
                <w:rFonts w:cs="Arial"/>
                <w:color w:val="000000"/>
              </w:rPr>
              <w:t> </w:t>
            </w:r>
          </w:p>
        </w:tc>
        <w:tc>
          <w:tcPr>
            <w:tcW w:w="1260" w:type="dxa"/>
            <w:tcBorders>
              <w:top w:val="single" w:sz="4" w:space="0" w:color="auto"/>
              <w:left w:val="nil"/>
              <w:bottom w:val="nil"/>
              <w:right w:val="nil"/>
            </w:tcBorders>
            <w:shd w:val="clear" w:color="auto" w:fill="auto"/>
            <w:vAlign w:val="center"/>
            <w:hideMark/>
          </w:tcPr>
          <w:p w14:paraId="19CADD8B" w14:textId="77777777" w:rsidR="0097090C" w:rsidRPr="00FA16C7" w:rsidRDefault="0097090C" w:rsidP="0097090C">
            <w:pPr>
              <w:jc w:val="right"/>
              <w:rPr>
                <w:rFonts w:cs="Arial"/>
                <w:color w:val="000000"/>
              </w:rPr>
            </w:pPr>
            <w:r w:rsidRPr="00FA16C7">
              <w:rPr>
                <w:rFonts w:cs="Arial"/>
                <w:color w:val="000000"/>
              </w:rPr>
              <w:t> </w:t>
            </w:r>
          </w:p>
        </w:tc>
      </w:tr>
      <w:tr w:rsidR="0097090C" w:rsidRPr="00FA16C7" w14:paraId="234D2A94" w14:textId="77777777" w:rsidTr="0097090C">
        <w:trPr>
          <w:trHeight w:val="255"/>
        </w:trPr>
        <w:tc>
          <w:tcPr>
            <w:tcW w:w="6120" w:type="dxa"/>
            <w:tcBorders>
              <w:top w:val="nil"/>
              <w:left w:val="nil"/>
              <w:bottom w:val="nil"/>
              <w:right w:val="nil"/>
            </w:tcBorders>
            <w:shd w:val="clear" w:color="auto" w:fill="auto"/>
            <w:vAlign w:val="center"/>
            <w:hideMark/>
          </w:tcPr>
          <w:p w14:paraId="583F791C" w14:textId="77777777" w:rsidR="0097090C" w:rsidRPr="00FA16C7" w:rsidRDefault="0097090C" w:rsidP="0097090C">
            <w:pPr>
              <w:rPr>
                <w:rFonts w:cs="Arial"/>
                <w:color w:val="000000"/>
              </w:rPr>
            </w:pPr>
            <w:r w:rsidRPr="00FA16C7">
              <w:rPr>
                <w:rFonts w:cs="Arial"/>
                <w:color w:val="000000"/>
              </w:rPr>
              <w:t>Trade Creditors</w:t>
            </w:r>
          </w:p>
        </w:tc>
        <w:tc>
          <w:tcPr>
            <w:tcW w:w="720" w:type="dxa"/>
            <w:tcBorders>
              <w:top w:val="nil"/>
              <w:left w:val="nil"/>
              <w:bottom w:val="nil"/>
              <w:right w:val="nil"/>
            </w:tcBorders>
            <w:shd w:val="clear" w:color="auto" w:fill="auto"/>
            <w:vAlign w:val="center"/>
            <w:hideMark/>
          </w:tcPr>
          <w:p w14:paraId="16161F49" w14:textId="77777777" w:rsidR="0097090C" w:rsidRPr="00FA16C7"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9BAED83" w14:textId="77777777" w:rsidR="0097090C" w:rsidRPr="00FA16C7" w:rsidRDefault="0097090C" w:rsidP="0097090C">
            <w:pPr>
              <w:jc w:val="right"/>
              <w:rPr>
                <w:rFonts w:cs="Arial"/>
                <w:color w:val="000000"/>
              </w:rPr>
            </w:pPr>
            <w:r w:rsidRPr="00FA16C7">
              <w:rPr>
                <w:rFonts w:cs="Arial"/>
                <w:color w:val="000000"/>
              </w:rPr>
              <w:t>2,224</w:t>
            </w:r>
          </w:p>
        </w:tc>
        <w:tc>
          <w:tcPr>
            <w:tcW w:w="1260" w:type="dxa"/>
            <w:tcBorders>
              <w:top w:val="nil"/>
              <w:left w:val="nil"/>
              <w:bottom w:val="nil"/>
              <w:right w:val="nil"/>
            </w:tcBorders>
            <w:shd w:val="clear" w:color="auto" w:fill="auto"/>
            <w:vAlign w:val="center"/>
            <w:hideMark/>
          </w:tcPr>
          <w:p w14:paraId="4336AB0F" w14:textId="77777777" w:rsidR="0097090C" w:rsidRPr="00FA16C7" w:rsidRDefault="0097090C" w:rsidP="0097090C">
            <w:pPr>
              <w:jc w:val="right"/>
              <w:rPr>
                <w:rFonts w:cs="Arial"/>
                <w:color w:val="000000"/>
              </w:rPr>
            </w:pPr>
            <w:r w:rsidRPr="00FA16C7">
              <w:rPr>
                <w:rFonts w:cs="Arial"/>
                <w:color w:val="000000"/>
              </w:rPr>
              <w:t>1,045</w:t>
            </w:r>
          </w:p>
        </w:tc>
      </w:tr>
      <w:tr w:rsidR="0097090C" w:rsidRPr="00FA16C7" w14:paraId="0C6195A3" w14:textId="77777777" w:rsidTr="0097090C">
        <w:trPr>
          <w:trHeight w:val="255"/>
        </w:trPr>
        <w:tc>
          <w:tcPr>
            <w:tcW w:w="6120" w:type="dxa"/>
            <w:tcBorders>
              <w:top w:val="nil"/>
              <w:left w:val="nil"/>
              <w:bottom w:val="nil"/>
              <w:right w:val="nil"/>
            </w:tcBorders>
            <w:shd w:val="clear" w:color="auto" w:fill="auto"/>
            <w:vAlign w:val="center"/>
            <w:hideMark/>
          </w:tcPr>
          <w:p w14:paraId="62673838" w14:textId="77777777" w:rsidR="0097090C" w:rsidRPr="00FA16C7" w:rsidRDefault="0097090C" w:rsidP="0097090C">
            <w:pPr>
              <w:rPr>
                <w:rFonts w:cs="Arial"/>
                <w:color w:val="000000"/>
              </w:rPr>
            </w:pPr>
            <w:r w:rsidRPr="00FA16C7">
              <w:rPr>
                <w:rFonts w:cs="Arial"/>
                <w:color w:val="000000"/>
              </w:rPr>
              <w:t>Other Payables</w:t>
            </w:r>
          </w:p>
        </w:tc>
        <w:tc>
          <w:tcPr>
            <w:tcW w:w="720" w:type="dxa"/>
            <w:tcBorders>
              <w:top w:val="nil"/>
              <w:left w:val="nil"/>
              <w:bottom w:val="nil"/>
              <w:right w:val="nil"/>
            </w:tcBorders>
            <w:shd w:val="clear" w:color="auto" w:fill="auto"/>
            <w:vAlign w:val="center"/>
            <w:hideMark/>
          </w:tcPr>
          <w:p w14:paraId="2CE4AEFC" w14:textId="77777777" w:rsidR="0097090C" w:rsidRPr="00FA16C7"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C19CFF0" w14:textId="77777777" w:rsidR="0097090C" w:rsidRPr="00FA16C7" w:rsidRDefault="0097090C" w:rsidP="0097090C">
            <w:pPr>
              <w:jc w:val="right"/>
              <w:rPr>
                <w:rFonts w:cs="Arial"/>
                <w:color w:val="000000"/>
              </w:rPr>
            </w:pPr>
            <w:r w:rsidRPr="00FA16C7">
              <w:rPr>
                <w:rFonts w:cs="Arial"/>
                <w:color w:val="000000"/>
              </w:rPr>
              <w:t>11,267</w:t>
            </w:r>
          </w:p>
        </w:tc>
        <w:tc>
          <w:tcPr>
            <w:tcW w:w="1260" w:type="dxa"/>
            <w:tcBorders>
              <w:top w:val="nil"/>
              <w:left w:val="nil"/>
              <w:bottom w:val="nil"/>
              <w:right w:val="nil"/>
            </w:tcBorders>
            <w:shd w:val="clear" w:color="auto" w:fill="auto"/>
            <w:vAlign w:val="center"/>
            <w:hideMark/>
          </w:tcPr>
          <w:p w14:paraId="654B1495" w14:textId="77777777" w:rsidR="0097090C" w:rsidRPr="00FA16C7" w:rsidRDefault="0097090C" w:rsidP="0097090C">
            <w:pPr>
              <w:jc w:val="right"/>
              <w:rPr>
                <w:rFonts w:cs="Arial"/>
                <w:color w:val="000000"/>
              </w:rPr>
            </w:pPr>
            <w:r w:rsidRPr="00FA16C7">
              <w:rPr>
                <w:rFonts w:cs="Arial"/>
                <w:color w:val="000000"/>
              </w:rPr>
              <w:t>4,117</w:t>
            </w:r>
          </w:p>
        </w:tc>
      </w:tr>
      <w:tr w:rsidR="0097090C" w:rsidRPr="00FA16C7" w14:paraId="6FF8FF10" w14:textId="77777777" w:rsidTr="0097090C">
        <w:trPr>
          <w:trHeight w:val="255"/>
        </w:trPr>
        <w:tc>
          <w:tcPr>
            <w:tcW w:w="6120" w:type="dxa"/>
            <w:tcBorders>
              <w:top w:val="nil"/>
              <w:left w:val="nil"/>
              <w:bottom w:val="nil"/>
              <w:right w:val="nil"/>
            </w:tcBorders>
            <w:shd w:val="clear" w:color="auto" w:fill="auto"/>
            <w:vAlign w:val="center"/>
            <w:hideMark/>
          </w:tcPr>
          <w:p w14:paraId="16B64B36" w14:textId="77777777" w:rsidR="0097090C" w:rsidRPr="00FA16C7" w:rsidRDefault="0097090C" w:rsidP="0097090C">
            <w:pPr>
              <w:rPr>
                <w:rFonts w:cs="Arial"/>
                <w:color w:val="000000"/>
              </w:rPr>
            </w:pPr>
            <w:r w:rsidRPr="00FA16C7">
              <w:rPr>
                <w:rFonts w:cs="Arial"/>
                <w:color w:val="000000"/>
              </w:rPr>
              <w:t>Advance Billings</w:t>
            </w:r>
          </w:p>
        </w:tc>
        <w:tc>
          <w:tcPr>
            <w:tcW w:w="720" w:type="dxa"/>
            <w:tcBorders>
              <w:top w:val="nil"/>
              <w:left w:val="nil"/>
              <w:bottom w:val="nil"/>
              <w:right w:val="nil"/>
            </w:tcBorders>
            <w:shd w:val="clear" w:color="auto" w:fill="auto"/>
            <w:vAlign w:val="center"/>
            <w:hideMark/>
          </w:tcPr>
          <w:p w14:paraId="6A70048C" w14:textId="77777777" w:rsidR="0097090C" w:rsidRPr="00FA16C7"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66B55F5" w14:textId="77777777" w:rsidR="0097090C" w:rsidRPr="00FA16C7" w:rsidRDefault="0097090C" w:rsidP="0097090C">
            <w:pPr>
              <w:jc w:val="right"/>
              <w:rPr>
                <w:rFonts w:cs="Arial"/>
                <w:color w:val="000000"/>
              </w:rPr>
            </w:pPr>
            <w:r w:rsidRPr="00FA16C7">
              <w:rPr>
                <w:rFonts w:cs="Arial"/>
                <w:color w:val="000000"/>
              </w:rPr>
              <w:t>288</w:t>
            </w:r>
          </w:p>
        </w:tc>
        <w:tc>
          <w:tcPr>
            <w:tcW w:w="1260" w:type="dxa"/>
            <w:tcBorders>
              <w:top w:val="nil"/>
              <w:left w:val="nil"/>
              <w:bottom w:val="nil"/>
              <w:right w:val="nil"/>
            </w:tcBorders>
            <w:shd w:val="clear" w:color="auto" w:fill="auto"/>
            <w:vAlign w:val="center"/>
            <w:hideMark/>
          </w:tcPr>
          <w:p w14:paraId="3ECD95CF" w14:textId="77777777" w:rsidR="0097090C" w:rsidRPr="00FA16C7" w:rsidRDefault="0097090C" w:rsidP="0097090C">
            <w:pPr>
              <w:jc w:val="right"/>
              <w:rPr>
                <w:rFonts w:cs="Arial"/>
                <w:color w:val="000000"/>
              </w:rPr>
            </w:pPr>
            <w:r w:rsidRPr="00FA16C7">
              <w:rPr>
                <w:rFonts w:cs="Arial"/>
                <w:color w:val="000000"/>
              </w:rPr>
              <w:t>1,141</w:t>
            </w:r>
          </w:p>
        </w:tc>
      </w:tr>
      <w:tr w:rsidR="0097090C" w:rsidRPr="00FA16C7" w14:paraId="49CF40AE"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3E5DF2FC" w14:textId="77777777" w:rsidR="0097090C" w:rsidRPr="00FA16C7" w:rsidRDefault="0097090C" w:rsidP="0097090C">
            <w:pPr>
              <w:rPr>
                <w:rFonts w:cs="Arial"/>
                <w:color w:val="000000"/>
              </w:rPr>
            </w:pPr>
            <w:r w:rsidRPr="00FA16C7">
              <w:rPr>
                <w:rFonts w:cs="Arial"/>
                <w:color w:val="000000"/>
              </w:rPr>
              <w:t>Accrued Salaries</w:t>
            </w:r>
          </w:p>
        </w:tc>
        <w:tc>
          <w:tcPr>
            <w:tcW w:w="720" w:type="dxa"/>
            <w:tcBorders>
              <w:top w:val="nil"/>
              <w:left w:val="nil"/>
              <w:bottom w:val="single" w:sz="4" w:space="0" w:color="auto"/>
              <w:right w:val="nil"/>
            </w:tcBorders>
            <w:shd w:val="clear" w:color="auto" w:fill="auto"/>
            <w:vAlign w:val="center"/>
            <w:hideMark/>
          </w:tcPr>
          <w:p w14:paraId="353F9639" w14:textId="77777777" w:rsidR="0097090C" w:rsidRPr="00FA16C7" w:rsidRDefault="0097090C" w:rsidP="0097090C">
            <w:pPr>
              <w:jc w:val="center"/>
              <w:rPr>
                <w:rFonts w:cs="Arial"/>
                <w:color w:val="000000"/>
              </w:rPr>
            </w:pPr>
            <w:r w:rsidRPr="00FA16C7">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6372D907" w14:textId="77777777" w:rsidR="0097090C" w:rsidRPr="00FA16C7" w:rsidRDefault="0097090C" w:rsidP="0097090C">
            <w:pPr>
              <w:jc w:val="right"/>
              <w:rPr>
                <w:rFonts w:cs="Arial"/>
                <w:color w:val="000000"/>
              </w:rPr>
            </w:pPr>
            <w:r w:rsidRPr="00FA16C7">
              <w:rPr>
                <w:rFonts w:cs="Arial"/>
                <w:color w:val="000000"/>
              </w:rPr>
              <w:t>800</w:t>
            </w:r>
          </w:p>
        </w:tc>
        <w:tc>
          <w:tcPr>
            <w:tcW w:w="1260" w:type="dxa"/>
            <w:tcBorders>
              <w:top w:val="nil"/>
              <w:left w:val="nil"/>
              <w:bottom w:val="single" w:sz="4" w:space="0" w:color="auto"/>
              <w:right w:val="nil"/>
            </w:tcBorders>
            <w:shd w:val="clear" w:color="auto" w:fill="auto"/>
            <w:vAlign w:val="center"/>
            <w:hideMark/>
          </w:tcPr>
          <w:p w14:paraId="47FCD6F5" w14:textId="77777777" w:rsidR="0097090C" w:rsidRPr="00FA16C7" w:rsidRDefault="0097090C" w:rsidP="0097090C">
            <w:pPr>
              <w:jc w:val="right"/>
              <w:rPr>
                <w:rFonts w:cs="Arial"/>
                <w:color w:val="000000"/>
              </w:rPr>
            </w:pPr>
            <w:r w:rsidRPr="00FA16C7">
              <w:rPr>
                <w:rFonts w:cs="Arial"/>
                <w:color w:val="000000"/>
              </w:rPr>
              <w:t>676</w:t>
            </w:r>
          </w:p>
        </w:tc>
      </w:tr>
      <w:tr w:rsidR="0097090C" w:rsidRPr="00FA16C7" w14:paraId="6B820D86" w14:textId="77777777" w:rsidTr="0097090C">
        <w:trPr>
          <w:trHeight w:val="300"/>
        </w:trPr>
        <w:tc>
          <w:tcPr>
            <w:tcW w:w="6120" w:type="dxa"/>
            <w:tcBorders>
              <w:top w:val="nil"/>
              <w:left w:val="nil"/>
              <w:bottom w:val="single" w:sz="4" w:space="0" w:color="auto"/>
              <w:right w:val="nil"/>
            </w:tcBorders>
            <w:shd w:val="clear" w:color="auto" w:fill="auto"/>
            <w:vAlign w:val="center"/>
            <w:hideMark/>
          </w:tcPr>
          <w:p w14:paraId="2EF13E96" w14:textId="77777777" w:rsidR="0097090C" w:rsidRPr="00FA16C7" w:rsidRDefault="0097090C" w:rsidP="0097090C">
            <w:pPr>
              <w:rPr>
                <w:rFonts w:cs="Arial"/>
                <w:b/>
                <w:bCs/>
                <w:color w:val="000000"/>
              </w:rPr>
            </w:pPr>
            <w:r w:rsidRPr="00FA16C7">
              <w:rPr>
                <w:rFonts w:cs="Arial"/>
                <w:b/>
                <w:bCs/>
                <w:color w:val="000000"/>
              </w:rPr>
              <w:t>TOTAL</w:t>
            </w:r>
          </w:p>
        </w:tc>
        <w:tc>
          <w:tcPr>
            <w:tcW w:w="720" w:type="dxa"/>
            <w:tcBorders>
              <w:top w:val="nil"/>
              <w:left w:val="nil"/>
              <w:bottom w:val="single" w:sz="4" w:space="0" w:color="auto"/>
              <w:right w:val="nil"/>
            </w:tcBorders>
            <w:shd w:val="clear" w:color="auto" w:fill="auto"/>
            <w:vAlign w:val="center"/>
            <w:hideMark/>
          </w:tcPr>
          <w:p w14:paraId="77FABF21" w14:textId="77777777" w:rsidR="0097090C" w:rsidRPr="00FA16C7" w:rsidRDefault="0097090C" w:rsidP="0097090C">
            <w:pPr>
              <w:jc w:val="center"/>
              <w:rPr>
                <w:rFonts w:cs="Arial"/>
                <w:b/>
                <w:bCs/>
                <w:color w:val="000000"/>
              </w:rPr>
            </w:pPr>
            <w:r w:rsidRPr="00FA16C7">
              <w:rPr>
                <w:rFonts w:cs="Arial"/>
                <w:b/>
                <w:bCs/>
                <w:color w:val="000000"/>
              </w:rPr>
              <w:t> </w:t>
            </w:r>
          </w:p>
        </w:tc>
        <w:tc>
          <w:tcPr>
            <w:tcW w:w="1260" w:type="dxa"/>
            <w:tcBorders>
              <w:top w:val="nil"/>
              <w:left w:val="nil"/>
              <w:bottom w:val="single" w:sz="4" w:space="0" w:color="auto"/>
              <w:right w:val="nil"/>
            </w:tcBorders>
            <w:shd w:val="clear" w:color="000000" w:fill="D9D9D9"/>
            <w:vAlign w:val="center"/>
            <w:hideMark/>
          </w:tcPr>
          <w:p w14:paraId="69834F7E" w14:textId="77777777" w:rsidR="0097090C" w:rsidRPr="00FA16C7" w:rsidRDefault="0097090C" w:rsidP="0097090C">
            <w:pPr>
              <w:jc w:val="right"/>
              <w:rPr>
                <w:rFonts w:cs="Arial"/>
                <w:b/>
                <w:bCs/>
                <w:color w:val="000000"/>
              </w:rPr>
            </w:pPr>
            <w:r w:rsidRPr="00FA16C7">
              <w:rPr>
                <w:rFonts w:cs="Arial"/>
                <w:b/>
                <w:bCs/>
                <w:color w:val="000000"/>
              </w:rPr>
              <w:t>14,579</w:t>
            </w:r>
          </w:p>
        </w:tc>
        <w:tc>
          <w:tcPr>
            <w:tcW w:w="1260" w:type="dxa"/>
            <w:tcBorders>
              <w:top w:val="nil"/>
              <w:left w:val="nil"/>
              <w:bottom w:val="single" w:sz="4" w:space="0" w:color="auto"/>
              <w:right w:val="nil"/>
            </w:tcBorders>
            <w:shd w:val="clear" w:color="auto" w:fill="auto"/>
            <w:vAlign w:val="center"/>
            <w:hideMark/>
          </w:tcPr>
          <w:p w14:paraId="6D8D9460" w14:textId="77777777" w:rsidR="0097090C" w:rsidRPr="00FA16C7" w:rsidRDefault="0097090C" w:rsidP="0097090C">
            <w:pPr>
              <w:jc w:val="right"/>
              <w:rPr>
                <w:rFonts w:cs="Arial"/>
                <w:b/>
                <w:bCs/>
                <w:color w:val="000000"/>
              </w:rPr>
            </w:pPr>
            <w:r w:rsidRPr="00FA16C7">
              <w:rPr>
                <w:rFonts w:cs="Arial"/>
                <w:b/>
                <w:bCs/>
                <w:color w:val="000000"/>
              </w:rPr>
              <w:t>6,979</w:t>
            </w:r>
          </w:p>
        </w:tc>
      </w:tr>
    </w:tbl>
    <w:p w14:paraId="774DC82F" w14:textId="77777777" w:rsidR="0097090C" w:rsidRPr="00A8449D" w:rsidRDefault="0097090C" w:rsidP="0097090C">
      <w:pPr>
        <w:rPr>
          <w:rFonts w:cs="Arial"/>
          <w:sz w:val="18"/>
          <w:szCs w:val="18"/>
        </w:rPr>
      </w:pPr>
    </w:p>
    <w:p w14:paraId="7E05B2AC" w14:textId="77777777" w:rsidR="0097090C" w:rsidRPr="00251211" w:rsidRDefault="0097090C" w:rsidP="0097090C">
      <w:pPr>
        <w:pStyle w:val="Heading4"/>
      </w:pPr>
      <w:r>
        <w:t xml:space="preserve">11. </w:t>
      </w:r>
      <w:r w:rsidRPr="00251211">
        <w:t>Interest Bearing Liabilities</w:t>
      </w:r>
    </w:p>
    <w:tbl>
      <w:tblPr>
        <w:tblW w:w="9360" w:type="dxa"/>
        <w:tblInd w:w="108" w:type="dxa"/>
        <w:tblLook w:val="04A0" w:firstRow="1" w:lastRow="0" w:firstColumn="1" w:lastColumn="0" w:noHBand="0" w:noVBand="1"/>
      </w:tblPr>
      <w:tblGrid>
        <w:gridCol w:w="6095"/>
        <w:gridCol w:w="731"/>
        <w:gridCol w:w="1267"/>
        <w:gridCol w:w="1267"/>
      </w:tblGrid>
      <w:tr w:rsidR="0097090C" w:rsidRPr="006565B5" w14:paraId="6048220E" w14:textId="77777777" w:rsidTr="0097090C">
        <w:trPr>
          <w:trHeight w:val="255"/>
        </w:trPr>
        <w:tc>
          <w:tcPr>
            <w:tcW w:w="6095" w:type="dxa"/>
            <w:tcBorders>
              <w:top w:val="single" w:sz="4" w:space="0" w:color="auto"/>
              <w:left w:val="nil"/>
              <w:bottom w:val="nil"/>
              <w:right w:val="nil"/>
            </w:tcBorders>
            <w:shd w:val="clear" w:color="auto" w:fill="auto"/>
            <w:noWrap/>
            <w:vAlign w:val="center"/>
            <w:hideMark/>
          </w:tcPr>
          <w:p w14:paraId="3BA47D93" w14:textId="4F5790F5" w:rsidR="0097090C" w:rsidRPr="006565B5" w:rsidRDefault="008B097D" w:rsidP="0097090C">
            <w:pPr>
              <w:pStyle w:val="Heading5"/>
            </w:pPr>
            <w:r>
              <w:t xml:space="preserve">11(a) </w:t>
            </w:r>
            <w:r w:rsidR="0097090C" w:rsidRPr="006565B5">
              <w:t xml:space="preserve">Current </w:t>
            </w:r>
          </w:p>
        </w:tc>
        <w:tc>
          <w:tcPr>
            <w:tcW w:w="731" w:type="dxa"/>
            <w:tcBorders>
              <w:top w:val="single" w:sz="4" w:space="0" w:color="auto"/>
              <w:left w:val="nil"/>
              <w:bottom w:val="nil"/>
              <w:right w:val="nil"/>
            </w:tcBorders>
            <w:shd w:val="clear" w:color="auto" w:fill="auto"/>
            <w:noWrap/>
            <w:vAlign w:val="center"/>
            <w:hideMark/>
          </w:tcPr>
          <w:p w14:paraId="30724B71" w14:textId="77777777" w:rsidR="0097090C" w:rsidRPr="006565B5" w:rsidRDefault="0097090C" w:rsidP="0097090C">
            <w:pPr>
              <w:rPr>
                <w:rFonts w:cs="Arial"/>
                <w:color w:val="000000"/>
              </w:rPr>
            </w:pPr>
            <w:r w:rsidRPr="006565B5">
              <w:rPr>
                <w:rFonts w:cs="Arial"/>
                <w:color w:val="000000"/>
              </w:rPr>
              <w:t> </w:t>
            </w:r>
          </w:p>
        </w:tc>
        <w:tc>
          <w:tcPr>
            <w:tcW w:w="1267" w:type="dxa"/>
            <w:tcBorders>
              <w:top w:val="single" w:sz="4" w:space="0" w:color="auto"/>
              <w:left w:val="nil"/>
              <w:bottom w:val="nil"/>
              <w:right w:val="nil"/>
            </w:tcBorders>
            <w:shd w:val="clear" w:color="000000" w:fill="D9D9D9"/>
            <w:noWrap/>
            <w:vAlign w:val="center"/>
            <w:hideMark/>
          </w:tcPr>
          <w:p w14:paraId="2BC4FC21" w14:textId="77777777" w:rsidR="0097090C" w:rsidRPr="006565B5" w:rsidRDefault="0097090C" w:rsidP="0097090C">
            <w:pPr>
              <w:rPr>
                <w:rFonts w:cs="Arial"/>
                <w:color w:val="000000"/>
              </w:rPr>
            </w:pPr>
            <w:r w:rsidRPr="006565B5">
              <w:rPr>
                <w:rFonts w:cs="Arial"/>
                <w:color w:val="000000"/>
              </w:rPr>
              <w:t> </w:t>
            </w:r>
          </w:p>
        </w:tc>
        <w:tc>
          <w:tcPr>
            <w:tcW w:w="1267" w:type="dxa"/>
            <w:tcBorders>
              <w:top w:val="single" w:sz="4" w:space="0" w:color="auto"/>
              <w:left w:val="nil"/>
              <w:bottom w:val="nil"/>
              <w:right w:val="nil"/>
            </w:tcBorders>
            <w:shd w:val="clear" w:color="auto" w:fill="auto"/>
            <w:noWrap/>
            <w:vAlign w:val="center"/>
            <w:hideMark/>
          </w:tcPr>
          <w:p w14:paraId="3F093BCE" w14:textId="77777777" w:rsidR="0097090C" w:rsidRPr="006565B5" w:rsidRDefault="0097090C" w:rsidP="0097090C">
            <w:pPr>
              <w:rPr>
                <w:rFonts w:cs="Arial"/>
                <w:color w:val="000000"/>
              </w:rPr>
            </w:pPr>
            <w:r w:rsidRPr="006565B5">
              <w:rPr>
                <w:rFonts w:cs="Arial"/>
                <w:color w:val="000000"/>
              </w:rPr>
              <w:t> </w:t>
            </w:r>
          </w:p>
        </w:tc>
      </w:tr>
      <w:tr w:rsidR="0097090C" w:rsidRPr="006565B5" w14:paraId="2BEC222F" w14:textId="77777777" w:rsidTr="0097090C">
        <w:trPr>
          <w:trHeight w:val="255"/>
        </w:trPr>
        <w:tc>
          <w:tcPr>
            <w:tcW w:w="6095" w:type="dxa"/>
            <w:tcBorders>
              <w:top w:val="nil"/>
              <w:left w:val="nil"/>
              <w:bottom w:val="nil"/>
              <w:right w:val="nil"/>
            </w:tcBorders>
            <w:shd w:val="clear" w:color="auto" w:fill="auto"/>
            <w:noWrap/>
            <w:vAlign w:val="center"/>
            <w:hideMark/>
          </w:tcPr>
          <w:p w14:paraId="4A4F5338" w14:textId="77777777" w:rsidR="0097090C" w:rsidRPr="006565B5" w:rsidRDefault="0097090C" w:rsidP="0097090C">
            <w:pPr>
              <w:rPr>
                <w:rFonts w:cs="Arial"/>
                <w:b/>
                <w:bCs/>
                <w:color w:val="000000"/>
              </w:rPr>
            </w:pPr>
            <w:r w:rsidRPr="006565B5">
              <w:rPr>
                <w:rFonts w:cs="Arial"/>
                <w:b/>
                <w:bCs/>
                <w:color w:val="000000"/>
              </w:rPr>
              <w:t>Secured</w:t>
            </w:r>
          </w:p>
        </w:tc>
        <w:tc>
          <w:tcPr>
            <w:tcW w:w="731" w:type="dxa"/>
            <w:tcBorders>
              <w:top w:val="nil"/>
              <w:left w:val="nil"/>
              <w:bottom w:val="nil"/>
              <w:right w:val="nil"/>
            </w:tcBorders>
            <w:shd w:val="clear" w:color="auto" w:fill="auto"/>
            <w:noWrap/>
            <w:vAlign w:val="center"/>
            <w:hideMark/>
          </w:tcPr>
          <w:p w14:paraId="603866E8" w14:textId="77777777" w:rsidR="0097090C" w:rsidRPr="006565B5"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6ED0AAC5" w14:textId="77777777" w:rsidR="0097090C" w:rsidRPr="006565B5" w:rsidRDefault="0097090C" w:rsidP="0097090C">
            <w:pPr>
              <w:rPr>
                <w:rFonts w:cs="Arial"/>
                <w:color w:val="000000"/>
              </w:rPr>
            </w:pPr>
            <w:r w:rsidRPr="006565B5">
              <w:rPr>
                <w:rFonts w:cs="Arial"/>
                <w:color w:val="000000"/>
              </w:rPr>
              <w:t> </w:t>
            </w:r>
          </w:p>
        </w:tc>
        <w:tc>
          <w:tcPr>
            <w:tcW w:w="1267" w:type="dxa"/>
            <w:tcBorders>
              <w:top w:val="nil"/>
              <w:left w:val="nil"/>
              <w:bottom w:val="nil"/>
              <w:right w:val="nil"/>
            </w:tcBorders>
            <w:shd w:val="clear" w:color="auto" w:fill="auto"/>
            <w:noWrap/>
            <w:vAlign w:val="center"/>
            <w:hideMark/>
          </w:tcPr>
          <w:p w14:paraId="56343543" w14:textId="77777777" w:rsidR="0097090C" w:rsidRPr="006565B5" w:rsidRDefault="0097090C" w:rsidP="0097090C">
            <w:pPr>
              <w:rPr>
                <w:rFonts w:cs="Arial"/>
                <w:color w:val="000000"/>
              </w:rPr>
            </w:pPr>
          </w:p>
        </w:tc>
      </w:tr>
      <w:tr w:rsidR="0097090C" w:rsidRPr="006565B5" w14:paraId="1591B469"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1CE82C8F" w14:textId="77777777" w:rsidR="0097090C" w:rsidRPr="006565B5" w:rsidRDefault="0097090C" w:rsidP="0097090C">
            <w:pPr>
              <w:rPr>
                <w:rFonts w:cs="Arial"/>
                <w:color w:val="000000"/>
              </w:rPr>
            </w:pPr>
            <w:r w:rsidRPr="006565B5">
              <w:rPr>
                <w:rFonts w:cs="Arial"/>
                <w:color w:val="000000"/>
              </w:rPr>
              <w:t>Lease liabilities (Note 18)</w:t>
            </w:r>
          </w:p>
        </w:tc>
        <w:tc>
          <w:tcPr>
            <w:tcW w:w="731" w:type="dxa"/>
            <w:tcBorders>
              <w:top w:val="nil"/>
              <w:left w:val="nil"/>
              <w:bottom w:val="single" w:sz="4" w:space="0" w:color="auto"/>
              <w:right w:val="nil"/>
            </w:tcBorders>
            <w:shd w:val="clear" w:color="auto" w:fill="auto"/>
            <w:vAlign w:val="center"/>
            <w:hideMark/>
          </w:tcPr>
          <w:p w14:paraId="1202285E" w14:textId="77777777" w:rsidR="0097090C" w:rsidRPr="006565B5" w:rsidRDefault="0097090C" w:rsidP="0097090C">
            <w:pPr>
              <w:jc w:val="center"/>
              <w:rPr>
                <w:rFonts w:cs="Arial"/>
                <w:color w:val="000000"/>
              </w:rPr>
            </w:pPr>
            <w:r w:rsidRPr="006565B5">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77D35D63" w14:textId="77777777" w:rsidR="0097090C" w:rsidRPr="006565B5" w:rsidRDefault="0097090C" w:rsidP="0097090C">
            <w:pPr>
              <w:jc w:val="right"/>
              <w:rPr>
                <w:rFonts w:cs="Arial"/>
                <w:color w:val="000000"/>
              </w:rPr>
            </w:pPr>
            <w:r w:rsidRPr="006565B5">
              <w:rPr>
                <w:rFonts w:cs="Arial"/>
                <w:color w:val="000000"/>
              </w:rPr>
              <w:t>185</w:t>
            </w:r>
          </w:p>
        </w:tc>
        <w:tc>
          <w:tcPr>
            <w:tcW w:w="1267" w:type="dxa"/>
            <w:tcBorders>
              <w:top w:val="nil"/>
              <w:left w:val="nil"/>
              <w:bottom w:val="single" w:sz="4" w:space="0" w:color="auto"/>
              <w:right w:val="nil"/>
            </w:tcBorders>
            <w:shd w:val="clear" w:color="auto" w:fill="auto"/>
            <w:vAlign w:val="center"/>
            <w:hideMark/>
          </w:tcPr>
          <w:p w14:paraId="02B2847F" w14:textId="77777777" w:rsidR="0097090C" w:rsidRPr="006565B5" w:rsidRDefault="0097090C" w:rsidP="0097090C">
            <w:pPr>
              <w:jc w:val="right"/>
              <w:rPr>
                <w:rFonts w:cs="Arial"/>
                <w:color w:val="000000"/>
              </w:rPr>
            </w:pPr>
            <w:r w:rsidRPr="006565B5">
              <w:rPr>
                <w:rFonts w:cs="Arial"/>
                <w:color w:val="000000"/>
              </w:rPr>
              <w:t>130</w:t>
            </w:r>
          </w:p>
        </w:tc>
      </w:tr>
      <w:tr w:rsidR="0097090C" w:rsidRPr="006565B5" w14:paraId="1A009D7D" w14:textId="77777777" w:rsidTr="0097090C">
        <w:trPr>
          <w:trHeight w:val="255"/>
        </w:trPr>
        <w:tc>
          <w:tcPr>
            <w:tcW w:w="6095" w:type="dxa"/>
            <w:tcBorders>
              <w:top w:val="nil"/>
              <w:left w:val="nil"/>
              <w:bottom w:val="nil"/>
              <w:right w:val="nil"/>
            </w:tcBorders>
            <w:shd w:val="clear" w:color="auto" w:fill="auto"/>
            <w:vAlign w:val="center"/>
            <w:hideMark/>
          </w:tcPr>
          <w:p w14:paraId="11C2E370" w14:textId="77777777" w:rsidR="0097090C" w:rsidRPr="006565B5"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7C9BE825" w14:textId="77777777" w:rsidR="0097090C" w:rsidRPr="006565B5"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425D6F2" w14:textId="77777777" w:rsidR="0097090C" w:rsidRPr="006565B5" w:rsidRDefault="0097090C" w:rsidP="0097090C">
            <w:pPr>
              <w:jc w:val="right"/>
              <w:rPr>
                <w:rFonts w:cs="Arial"/>
                <w:color w:val="000000"/>
              </w:rPr>
            </w:pPr>
            <w:r w:rsidRPr="006565B5">
              <w:rPr>
                <w:rFonts w:cs="Arial"/>
                <w:color w:val="000000"/>
              </w:rPr>
              <w:t>185</w:t>
            </w:r>
          </w:p>
        </w:tc>
        <w:tc>
          <w:tcPr>
            <w:tcW w:w="1267" w:type="dxa"/>
            <w:tcBorders>
              <w:top w:val="nil"/>
              <w:left w:val="nil"/>
              <w:bottom w:val="nil"/>
              <w:right w:val="nil"/>
            </w:tcBorders>
            <w:shd w:val="clear" w:color="auto" w:fill="auto"/>
            <w:vAlign w:val="center"/>
            <w:hideMark/>
          </w:tcPr>
          <w:p w14:paraId="3AB3AD00" w14:textId="77777777" w:rsidR="0097090C" w:rsidRPr="006565B5" w:rsidRDefault="0097090C" w:rsidP="0097090C">
            <w:pPr>
              <w:jc w:val="right"/>
              <w:rPr>
                <w:rFonts w:cs="Arial"/>
                <w:color w:val="000000"/>
              </w:rPr>
            </w:pPr>
            <w:r w:rsidRPr="006565B5">
              <w:rPr>
                <w:rFonts w:cs="Arial"/>
                <w:color w:val="000000"/>
              </w:rPr>
              <w:t>130</w:t>
            </w:r>
          </w:p>
        </w:tc>
      </w:tr>
      <w:tr w:rsidR="0097090C" w:rsidRPr="006565B5" w14:paraId="7EA0EDB5" w14:textId="77777777" w:rsidTr="0097090C">
        <w:trPr>
          <w:trHeight w:val="255"/>
        </w:trPr>
        <w:tc>
          <w:tcPr>
            <w:tcW w:w="6095" w:type="dxa"/>
            <w:tcBorders>
              <w:top w:val="nil"/>
              <w:left w:val="nil"/>
              <w:bottom w:val="nil"/>
              <w:right w:val="nil"/>
            </w:tcBorders>
            <w:shd w:val="clear" w:color="auto" w:fill="auto"/>
            <w:vAlign w:val="center"/>
            <w:hideMark/>
          </w:tcPr>
          <w:p w14:paraId="24A678A3" w14:textId="61D22E8D" w:rsidR="0097090C" w:rsidRPr="006565B5" w:rsidRDefault="008B097D" w:rsidP="0097090C">
            <w:pPr>
              <w:pStyle w:val="Heading5"/>
            </w:pPr>
            <w:r>
              <w:t xml:space="preserve">11(b) </w:t>
            </w:r>
            <w:r w:rsidR="0097090C" w:rsidRPr="006565B5">
              <w:t xml:space="preserve">Non-current </w:t>
            </w:r>
          </w:p>
        </w:tc>
        <w:tc>
          <w:tcPr>
            <w:tcW w:w="731" w:type="dxa"/>
            <w:tcBorders>
              <w:top w:val="nil"/>
              <w:left w:val="nil"/>
              <w:bottom w:val="nil"/>
              <w:right w:val="nil"/>
            </w:tcBorders>
            <w:shd w:val="clear" w:color="auto" w:fill="auto"/>
            <w:vAlign w:val="center"/>
            <w:hideMark/>
          </w:tcPr>
          <w:p w14:paraId="216ECFD8" w14:textId="77777777" w:rsidR="0097090C" w:rsidRPr="006565B5"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3286803" w14:textId="77777777" w:rsidR="0097090C" w:rsidRPr="006565B5" w:rsidRDefault="0097090C" w:rsidP="0097090C">
            <w:pPr>
              <w:jc w:val="right"/>
              <w:rPr>
                <w:rFonts w:cs="Arial"/>
                <w:color w:val="000000"/>
              </w:rPr>
            </w:pPr>
            <w:r w:rsidRPr="006565B5">
              <w:rPr>
                <w:rFonts w:cs="Arial"/>
                <w:color w:val="000000"/>
              </w:rPr>
              <w:t> </w:t>
            </w:r>
          </w:p>
        </w:tc>
        <w:tc>
          <w:tcPr>
            <w:tcW w:w="1267" w:type="dxa"/>
            <w:tcBorders>
              <w:top w:val="nil"/>
              <w:left w:val="nil"/>
              <w:bottom w:val="nil"/>
              <w:right w:val="nil"/>
            </w:tcBorders>
            <w:shd w:val="clear" w:color="auto" w:fill="auto"/>
            <w:vAlign w:val="center"/>
            <w:hideMark/>
          </w:tcPr>
          <w:p w14:paraId="302B0D10" w14:textId="77777777" w:rsidR="0097090C" w:rsidRPr="006565B5" w:rsidRDefault="0097090C" w:rsidP="0097090C">
            <w:pPr>
              <w:jc w:val="right"/>
              <w:rPr>
                <w:rFonts w:cs="Arial"/>
                <w:color w:val="000000"/>
              </w:rPr>
            </w:pPr>
          </w:p>
        </w:tc>
      </w:tr>
      <w:tr w:rsidR="0097090C" w:rsidRPr="006565B5" w14:paraId="5B75ED1B" w14:textId="77777777" w:rsidTr="0097090C">
        <w:trPr>
          <w:trHeight w:val="255"/>
        </w:trPr>
        <w:tc>
          <w:tcPr>
            <w:tcW w:w="6095" w:type="dxa"/>
            <w:tcBorders>
              <w:top w:val="nil"/>
              <w:left w:val="nil"/>
              <w:bottom w:val="nil"/>
              <w:right w:val="nil"/>
            </w:tcBorders>
            <w:shd w:val="clear" w:color="auto" w:fill="auto"/>
            <w:vAlign w:val="center"/>
            <w:hideMark/>
          </w:tcPr>
          <w:p w14:paraId="7ECC4338" w14:textId="77777777" w:rsidR="0097090C" w:rsidRPr="006565B5" w:rsidRDefault="0097090C" w:rsidP="0097090C">
            <w:pPr>
              <w:rPr>
                <w:rFonts w:cs="Arial"/>
                <w:b/>
                <w:bCs/>
                <w:color w:val="000000"/>
              </w:rPr>
            </w:pPr>
            <w:r w:rsidRPr="006565B5">
              <w:rPr>
                <w:rFonts w:cs="Arial"/>
                <w:b/>
                <w:bCs/>
                <w:color w:val="000000"/>
              </w:rPr>
              <w:t>Secured</w:t>
            </w:r>
          </w:p>
        </w:tc>
        <w:tc>
          <w:tcPr>
            <w:tcW w:w="731" w:type="dxa"/>
            <w:tcBorders>
              <w:top w:val="nil"/>
              <w:left w:val="nil"/>
              <w:bottom w:val="nil"/>
              <w:right w:val="nil"/>
            </w:tcBorders>
            <w:shd w:val="clear" w:color="auto" w:fill="auto"/>
            <w:vAlign w:val="center"/>
            <w:hideMark/>
          </w:tcPr>
          <w:p w14:paraId="7D3BAEF4" w14:textId="77777777" w:rsidR="0097090C" w:rsidRPr="006565B5"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5B3D154" w14:textId="77777777" w:rsidR="0097090C" w:rsidRPr="006565B5" w:rsidRDefault="0097090C" w:rsidP="0097090C">
            <w:pPr>
              <w:jc w:val="right"/>
              <w:rPr>
                <w:rFonts w:cs="Arial"/>
                <w:color w:val="000000"/>
              </w:rPr>
            </w:pPr>
            <w:r w:rsidRPr="006565B5">
              <w:rPr>
                <w:rFonts w:cs="Arial"/>
                <w:color w:val="000000"/>
              </w:rPr>
              <w:t> </w:t>
            </w:r>
          </w:p>
        </w:tc>
        <w:tc>
          <w:tcPr>
            <w:tcW w:w="1267" w:type="dxa"/>
            <w:tcBorders>
              <w:top w:val="nil"/>
              <w:left w:val="nil"/>
              <w:bottom w:val="nil"/>
              <w:right w:val="nil"/>
            </w:tcBorders>
            <w:shd w:val="clear" w:color="auto" w:fill="auto"/>
            <w:vAlign w:val="center"/>
            <w:hideMark/>
          </w:tcPr>
          <w:p w14:paraId="0E728C1D" w14:textId="77777777" w:rsidR="0097090C" w:rsidRPr="006565B5" w:rsidRDefault="0097090C" w:rsidP="0097090C">
            <w:pPr>
              <w:jc w:val="right"/>
              <w:rPr>
                <w:rFonts w:cs="Arial"/>
                <w:color w:val="000000"/>
              </w:rPr>
            </w:pPr>
          </w:p>
        </w:tc>
      </w:tr>
      <w:tr w:rsidR="0097090C" w:rsidRPr="006565B5" w14:paraId="5019B97F"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561603F7" w14:textId="77777777" w:rsidR="0097090C" w:rsidRPr="006565B5" w:rsidRDefault="0097090C" w:rsidP="0097090C">
            <w:pPr>
              <w:rPr>
                <w:rFonts w:cs="Arial"/>
                <w:color w:val="000000"/>
              </w:rPr>
            </w:pPr>
            <w:r w:rsidRPr="006565B5">
              <w:rPr>
                <w:rFonts w:cs="Arial"/>
                <w:color w:val="000000"/>
              </w:rPr>
              <w:t>Lease liabilities (Note 18)</w:t>
            </w:r>
          </w:p>
        </w:tc>
        <w:tc>
          <w:tcPr>
            <w:tcW w:w="731" w:type="dxa"/>
            <w:tcBorders>
              <w:top w:val="nil"/>
              <w:left w:val="nil"/>
              <w:bottom w:val="single" w:sz="4" w:space="0" w:color="auto"/>
              <w:right w:val="nil"/>
            </w:tcBorders>
            <w:shd w:val="clear" w:color="auto" w:fill="auto"/>
            <w:vAlign w:val="center"/>
            <w:hideMark/>
          </w:tcPr>
          <w:p w14:paraId="25A30ECC" w14:textId="77777777" w:rsidR="0097090C" w:rsidRPr="006565B5" w:rsidRDefault="0097090C" w:rsidP="0097090C">
            <w:pPr>
              <w:jc w:val="center"/>
              <w:rPr>
                <w:rFonts w:cs="Arial"/>
                <w:color w:val="000000"/>
              </w:rPr>
            </w:pPr>
            <w:r w:rsidRPr="006565B5">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7B7B6972" w14:textId="77777777" w:rsidR="0097090C" w:rsidRPr="006565B5" w:rsidRDefault="0097090C" w:rsidP="0097090C">
            <w:pPr>
              <w:jc w:val="right"/>
              <w:rPr>
                <w:rFonts w:cs="Arial"/>
                <w:color w:val="000000"/>
              </w:rPr>
            </w:pPr>
            <w:r w:rsidRPr="006565B5">
              <w:rPr>
                <w:rFonts w:cs="Arial"/>
                <w:color w:val="000000"/>
              </w:rPr>
              <w:t>272</w:t>
            </w:r>
          </w:p>
        </w:tc>
        <w:tc>
          <w:tcPr>
            <w:tcW w:w="1267" w:type="dxa"/>
            <w:tcBorders>
              <w:top w:val="nil"/>
              <w:left w:val="nil"/>
              <w:bottom w:val="single" w:sz="4" w:space="0" w:color="auto"/>
              <w:right w:val="nil"/>
            </w:tcBorders>
            <w:shd w:val="clear" w:color="auto" w:fill="auto"/>
            <w:vAlign w:val="center"/>
            <w:hideMark/>
          </w:tcPr>
          <w:p w14:paraId="4889233D" w14:textId="77777777" w:rsidR="0097090C" w:rsidRPr="006565B5" w:rsidRDefault="0097090C" w:rsidP="0097090C">
            <w:pPr>
              <w:jc w:val="right"/>
              <w:rPr>
                <w:rFonts w:cs="Arial"/>
                <w:color w:val="000000"/>
              </w:rPr>
            </w:pPr>
            <w:r w:rsidRPr="006565B5">
              <w:rPr>
                <w:rFonts w:cs="Arial"/>
                <w:color w:val="000000"/>
              </w:rPr>
              <w:t>144</w:t>
            </w:r>
          </w:p>
        </w:tc>
      </w:tr>
      <w:tr w:rsidR="0097090C" w:rsidRPr="006565B5" w14:paraId="640C3477" w14:textId="77777777" w:rsidTr="0097090C">
        <w:trPr>
          <w:trHeight w:val="255"/>
        </w:trPr>
        <w:tc>
          <w:tcPr>
            <w:tcW w:w="6095" w:type="dxa"/>
            <w:tcBorders>
              <w:top w:val="nil"/>
              <w:left w:val="nil"/>
              <w:bottom w:val="nil"/>
              <w:right w:val="nil"/>
            </w:tcBorders>
            <w:shd w:val="clear" w:color="auto" w:fill="auto"/>
            <w:vAlign w:val="center"/>
            <w:hideMark/>
          </w:tcPr>
          <w:p w14:paraId="05EE0AEB" w14:textId="77777777" w:rsidR="0097090C" w:rsidRPr="006565B5"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18257B51" w14:textId="77777777" w:rsidR="0097090C" w:rsidRPr="006565B5"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70F890C3" w14:textId="77777777" w:rsidR="0097090C" w:rsidRPr="006565B5" w:rsidRDefault="0097090C" w:rsidP="0097090C">
            <w:pPr>
              <w:jc w:val="right"/>
              <w:rPr>
                <w:rFonts w:cs="Arial"/>
                <w:color w:val="000000"/>
              </w:rPr>
            </w:pPr>
            <w:r w:rsidRPr="006565B5">
              <w:rPr>
                <w:rFonts w:cs="Arial"/>
                <w:color w:val="000000"/>
              </w:rPr>
              <w:t>272</w:t>
            </w:r>
          </w:p>
        </w:tc>
        <w:tc>
          <w:tcPr>
            <w:tcW w:w="1267" w:type="dxa"/>
            <w:tcBorders>
              <w:top w:val="nil"/>
              <w:left w:val="nil"/>
              <w:bottom w:val="nil"/>
              <w:right w:val="nil"/>
            </w:tcBorders>
            <w:shd w:val="clear" w:color="auto" w:fill="auto"/>
            <w:vAlign w:val="center"/>
            <w:hideMark/>
          </w:tcPr>
          <w:p w14:paraId="0AD68DD7" w14:textId="77777777" w:rsidR="0097090C" w:rsidRPr="006565B5" w:rsidRDefault="0097090C" w:rsidP="0097090C">
            <w:pPr>
              <w:jc w:val="right"/>
              <w:rPr>
                <w:rFonts w:cs="Arial"/>
                <w:color w:val="000000"/>
              </w:rPr>
            </w:pPr>
            <w:r w:rsidRPr="006565B5">
              <w:rPr>
                <w:rFonts w:cs="Arial"/>
                <w:color w:val="000000"/>
              </w:rPr>
              <w:t>144</w:t>
            </w:r>
          </w:p>
        </w:tc>
      </w:tr>
      <w:tr w:rsidR="0097090C" w:rsidRPr="006565B5" w14:paraId="0E6CA71D"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43459E62" w14:textId="77777777" w:rsidR="0097090C" w:rsidRPr="006565B5" w:rsidRDefault="0097090C" w:rsidP="0097090C">
            <w:pPr>
              <w:rPr>
                <w:rFonts w:cs="Arial"/>
                <w:b/>
                <w:bCs/>
                <w:color w:val="000000"/>
              </w:rPr>
            </w:pPr>
            <w:r w:rsidRPr="006565B5">
              <w:rPr>
                <w:rFonts w:cs="Arial"/>
                <w:b/>
                <w:bCs/>
                <w:color w:val="000000"/>
              </w:rPr>
              <w:t>Total Interest Bearing Liabilities</w:t>
            </w:r>
          </w:p>
        </w:tc>
        <w:tc>
          <w:tcPr>
            <w:tcW w:w="731" w:type="dxa"/>
            <w:tcBorders>
              <w:top w:val="single" w:sz="4" w:space="0" w:color="auto"/>
              <w:left w:val="nil"/>
              <w:bottom w:val="single" w:sz="4" w:space="0" w:color="auto"/>
              <w:right w:val="nil"/>
            </w:tcBorders>
            <w:shd w:val="clear" w:color="auto" w:fill="auto"/>
            <w:vAlign w:val="center"/>
            <w:hideMark/>
          </w:tcPr>
          <w:p w14:paraId="60D9F7AE" w14:textId="77777777" w:rsidR="0097090C" w:rsidRPr="006565B5" w:rsidRDefault="0097090C" w:rsidP="0097090C">
            <w:pPr>
              <w:jc w:val="center"/>
              <w:rPr>
                <w:rFonts w:cs="Arial"/>
                <w:b/>
                <w:bCs/>
                <w:color w:val="000000"/>
              </w:rPr>
            </w:pPr>
            <w:r w:rsidRPr="006565B5">
              <w:rPr>
                <w:rFonts w:cs="Arial"/>
                <w:b/>
                <w:b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24FFC580" w14:textId="77777777" w:rsidR="0097090C" w:rsidRPr="006565B5" w:rsidRDefault="0097090C" w:rsidP="0097090C">
            <w:pPr>
              <w:jc w:val="right"/>
              <w:rPr>
                <w:rFonts w:cs="Arial"/>
                <w:b/>
                <w:bCs/>
                <w:color w:val="000000"/>
              </w:rPr>
            </w:pPr>
            <w:r w:rsidRPr="006565B5">
              <w:rPr>
                <w:rFonts w:cs="Arial"/>
                <w:b/>
                <w:bCs/>
                <w:color w:val="000000"/>
              </w:rPr>
              <w:t>457</w:t>
            </w:r>
          </w:p>
        </w:tc>
        <w:tc>
          <w:tcPr>
            <w:tcW w:w="1267" w:type="dxa"/>
            <w:tcBorders>
              <w:top w:val="single" w:sz="4" w:space="0" w:color="auto"/>
              <w:left w:val="nil"/>
              <w:bottom w:val="single" w:sz="4" w:space="0" w:color="auto"/>
              <w:right w:val="nil"/>
            </w:tcBorders>
            <w:shd w:val="clear" w:color="auto" w:fill="auto"/>
            <w:vAlign w:val="center"/>
            <w:hideMark/>
          </w:tcPr>
          <w:p w14:paraId="03487993" w14:textId="77777777" w:rsidR="0097090C" w:rsidRPr="006565B5" w:rsidRDefault="0097090C" w:rsidP="0097090C">
            <w:pPr>
              <w:jc w:val="right"/>
              <w:rPr>
                <w:rFonts w:cs="Arial"/>
                <w:b/>
                <w:bCs/>
                <w:color w:val="000000"/>
              </w:rPr>
            </w:pPr>
            <w:r w:rsidRPr="006565B5">
              <w:rPr>
                <w:rFonts w:cs="Arial"/>
                <w:b/>
                <w:bCs/>
                <w:color w:val="000000"/>
              </w:rPr>
              <w:t>274</w:t>
            </w:r>
          </w:p>
        </w:tc>
      </w:tr>
      <w:tr w:rsidR="0097090C" w:rsidRPr="006565B5" w14:paraId="01200865" w14:textId="77777777" w:rsidTr="0097090C">
        <w:trPr>
          <w:trHeight w:val="255"/>
        </w:trPr>
        <w:tc>
          <w:tcPr>
            <w:tcW w:w="6095" w:type="dxa"/>
            <w:tcBorders>
              <w:top w:val="nil"/>
              <w:left w:val="nil"/>
              <w:bottom w:val="nil"/>
              <w:right w:val="nil"/>
            </w:tcBorders>
            <w:shd w:val="clear" w:color="auto" w:fill="auto"/>
            <w:noWrap/>
            <w:vAlign w:val="center"/>
            <w:hideMark/>
          </w:tcPr>
          <w:p w14:paraId="7953CB8A" w14:textId="77777777" w:rsidR="0097090C" w:rsidRPr="006565B5" w:rsidRDefault="0097090C" w:rsidP="0097090C">
            <w:pPr>
              <w:rPr>
                <w:rFonts w:cs="Arial"/>
                <w:color w:val="000000"/>
              </w:rPr>
            </w:pPr>
          </w:p>
        </w:tc>
        <w:tc>
          <w:tcPr>
            <w:tcW w:w="731" w:type="dxa"/>
            <w:tcBorders>
              <w:top w:val="nil"/>
              <w:left w:val="nil"/>
              <w:bottom w:val="nil"/>
              <w:right w:val="nil"/>
            </w:tcBorders>
            <w:shd w:val="clear" w:color="auto" w:fill="auto"/>
            <w:noWrap/>
            <w:vAlign w:val="center"/>
            <w:hideMark/>
          </w:tcPr>
          <w:p w14:paraId="1EB47355" w14:textId="77777777" w:rsidR="0097090C" w:rsidRPr="006565B5"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0BB943A5" w14:textId="77777777" w:rsidR="0097090C" w:rsidRPr="006565B5" w:rsidRDefault="0097090C" w:rsidP="0097090C">
            <w:pPr>
              <w:rPr>
                <w:rFonts w:cs="Arial"/>
                <w:color w:val="000000"/>
              </w:rPr>
            </w:pPr>
            <w:r w:rsidRPr="006565B5">
              <w:rPr>
                <w:rFonts w:cs="Arial"/>
                <w:color w:val="000000"/>
              </w:rPr>
              <w:t> </w:t>
            </w:r>
          </w:p>
        </w:tc>
        <w:tc>
          <w:tcPr>
            <w:tcW w:w="1267" w:type="dxa"/>
            <w:tcBorders>
              <w:top w:val="nil"/>
              <w:left w:val="nil"/>
              <w:bottom w:val="nil"/>
              <w:right w:val="nil"/>
            </w:tcBorders>
            <w:shd w:val="clear" w:color="auto" w:fill="auto"/>
            <w:noWrap/>
            <w:vAlign w:val="center"/>
            <w:hideMark/>
          </w:tcPr>
          <w:p w14:paraId="5D64DA85" w14:textId="77777777" w:rsidR="0097090C" w:rsidRPr="006565B5" w:rsidRDefault="0097090C" w:rsidP="0097090C">
            <w:pPr>
              <w:rPr>
                <w:rFonts w:cs="Arial"/>
                <w:color w:val="000000"/>
              </w:rPr>
            </w:pPr>
          </w:p>
        </w:tc>
      </w:tr>
      <w:tr w:rsidR="0097090C" w:rsidRPr="006565B5" w14:paraId="36D6DD88" w14:textId="77777777" w:rsidTr="0097090C">
        <w:trPr>
          <w:trHeight w:val="255"/>
        </w:trPr>
        <w:tc>
          <w:tcPr>
            <w:tcW w:w="6095" w:type="dxa"/>
            <w:tcBorders>
              <w:top w:val="nil"/>
              <w:left w:val="nil"/>
              <w:bottom w:val="nil"/>
              <w:right w:val="nil"/>
            </w:tcBorders>
            <w:shd w:val="clear" w:color="auto" w:fill="auto"/>
            <w:noWrap/>
            <w:vAlign w:val="center"/>
            <w:hideMark/>
          </w:tcPr>
          <w:p w14:paraId="44EEC9A2" w14:textId="7351558D" w:rsidR="0097090C" w:rsidRPr="006565B5" w:rsidRDefault="0097090C" w:rsidP="0097090C">
            <w:pPr>
              <w:pStyle w:val="Heading5"/>
            </w:pPr>
            <w:r w:rsidRPr="006565B5">
              <w:t>11(c) Assets pledged as security</w:t>
            </w:r>
          </w:p>
        </w:tc>
        <w:tc>
          <w:tcPr>
            <w:tcW w:w="731" w:type="dxa"/>
            <w:tcBorders>
              <w:top w:val="nil"/>
              <w:left w:val="nil"/>
              <w:bottom w:val="nil"/>
              <w:right w:val="nil"/>
            </w:tcBorders>
            <w:shd w:val="clear" w:color="auto" w:fill="auto"/>
            <w:noWrap/>
            <w:vAlign w:val="center"/>
            <w:hideMark/>
          </w:tcPr>
          <w:p w14:paraId="17BA1583" w14:textId="77777777" w:rsidR="0097090C" w:rsidRPr="006565B5"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58D7F05F" w14:textId="77777777" w:rsidR="0097090C" w:rsidRPr="006565B5" w:rsidRDefault="0097090C" w:rsidP="0097090C">
            <w:pPr>
              <w:rPr>
                <w:rFonts w:cs="Arial"/>
                <w:color w:val="000000"/>
              </w:rPr>
            </w:pPr>
            <w:r w:rsidRPr="006565B5">
              <w:rPr>
                <w:rFonts w:cs="Arial"/>
                <w:color w:val="000000"/>
              </w:rPr>
              <w:t> </w:t>
            </w:r>
          </w:p>
        </w:tc>
        <w:tc>
          <w:tcPr>
            <w:tcW w:w="1267" w:type="dxa"/>
            <w:tcBorders>
              <w:top w:val="nil"/>
              <w:left w:val="nil"/>
              <w:bottom w:val="nil"/>
              <w:right w:val="nil"/>
            </w:tcBorders>
            <w:shd w:val="clear" w:color="auto" w:fill="auto"/>
            <w:noWrap/>
            <w:vAlign w:val="center"/>
            <w:hideMark/>
          </w:tcPr>
          <w:p w14:paraId="6F2D45AD" w14:textId="77777777" w:rsidR="0097090C" w:rsidRPr="006565B5" w:rsidRDefault="0097090C" w:rsidP="0097090C">
            <w:pPr>
              <w:rPr>
                <w:rFonts w:cs="Arial"/>
                <w:color w:val="000000"/>
              </w:rPr>
            </w:pPr>
          </w:p>
        </w:tc>
      </w:tr>
      <w:tr w:rsidR="0097090C" w:rsidRPr="006565B5" w14:paraId="4812FCE2" w14:textId="77777777" w:rsidTr="0097090C">
        <w:trPr>
          <w:trHeight w:val="255"/>
        </w:trPr>
        <w:tc>
          <w:tcPr>
            <w:tcW w:w="6095" w:type="dxa"/>
            <w:tcBorders>
              <w:top w:val="nil"/>
              <w:left w:val="nil"/>
              <w:bottom w:val="nil"/>
              <w:right w:val="nil"/>
            </w:tcBorders>
            <w:shd w:val="clear" w:color="auto" w:fill="auto"/>
            <w:noWrap/>
            <w:vAlign w:val="center"/>
            <w:hideMark/>
          </w:tcPr>
          <w:p w14:paraId="6BFD8298" w14:textId="77777777" w:rsidR="0097090C" w:rsidRPr="006565B5" w:rsidRDefault="0097090C" w:rsidP="0097090C">
            <w:pPr>
              <w:rPr>
                <w:rFonts w:cs="Arial"/>
                <w:color w:val="000000"/>
              </w:rPr>
            </w:pPr>
            <w:r w:rsidRPr="006565B5">
              <w:rPr>
                <w:rFonts w:cs="Arial"/>
                <w:color w:val="000000"/>
              </w:rPr>
              <w:t>The carrying amounts of non–current assets pledged as security:</w:t>
            </w:r>
          </w:p>
        </w:tc>
        <w:tc>
          <w:tcPr>
            <w:tcW w:w="731" w:type="dxa"/>
            <w:tcBorders>
              <w:top w:val="nil"/>
              <w:left w:val="nil"/>
              <w:bottom w:val="nil"/>
              <w:right w:val="nil"/>
            </w:tcBorders>
            <w:shd w:val="clear" w:color="auto" w:fill="auto"/>
            <w:noWrap/>
            <w:vAlign w:val="center"/>
            <w:hideMark/>
          </w:tcPr>
          <w:p w14:paraId="7787F967" w14:textId="77777777" w:rsidR="0097090C" w:rsidRPr="006565B5"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3677CBBF" w14:textId="77777777" w:rsidR="0097090C" w:rsidRPr="006565B5" w:rsidRDefault="0097090C" w:rsidP="0097090C">
            <w:pPr>
              <w:rPr>
                <w:rFonts w:cs="Arial"/>
                <w:color w:val="000000"/>
              </w:rPr>
            </w:pPr>
            <w:r w:rsidRPr="006565B5">
              <w:rPr>
                <w:rFonts w:cs="Arial"/>
                <w:color w:val="000000"/>
              </w:rPr>
              <w:t> </w:t>
            </w:r>
          </w:p>
        </w:tc>
        <w:tc>
          <w:tcPr>
            <w:tcW w:w="1267" w:type="dxa"/>
            <w:tcBorders>
              <w:top w:val="nil"/>
              <w:left w:val="nil"/>
              <w:bottom w:val="nil"/>
              <w:right w:val="nil"/>
            </w:tcBorders>
            <w:shd w:val="clear" w:color="auto" w:fill="auto"/>
            <w:noWrap/>
            <w:vAlign w:val="center"/>
            <w:hideMark/>
          </w:tcPr>
          <w:p w14:paraId="2CD02472" w14:textId="77777777" w:rsidR="0097090C" w:rsidRPr="006565B5" w:rsidRDefault="0097090C" w:rsidP="0097090C">
            <w:pPr>
              <w:rPr>
                <w:rFonts w:cs="Arial"/>
                <w:color w:val="000000"/>
              </w:rPr>
            </w:pPr>
          </w:p>
        </w:tc>
      </w:tr>
      <w:tr w:rsidR="0097090C" w:rsidRPr="006565B5" w14:paraId="3A937D22" w14:textId="77777777" w:rsidTr="0097090C">
        <w:trPr>
          <w:trHeight w:val="255"/>
        </w:trPr>
        <w:tc>
          <w:tcPr>
            <w:tcW w:w="6095" w:type="dxa"/>
            <w:tcBorders>
              <w:top w:val="nil"/>
              <w:left w:val="nil"/>
              <w:bottom w:val="nil"/>
              <w:right w:val="nil"/>
            </w:tcBorders>
            <w:shd w:val="clear" w:color="auto" w:fill="auto"/>
            <w:noWrap/>
            <w:vAlign w:val="center"/>
            <w:hideMark/>
          </w:tcPr>
          <w:p w14:paraId="1B7C5148" w14:textId="77777777" w:rsidR="0097090C" w:rsidRPr="006565B5" w:rsidRDefault="0097090C" w:rsidP="0097090C">
            <w:pPr>
              <w:rPr>
                <w:rFonts w:cs="Arial"/>
                <w:b/>
                <w:bCs/>
                <w:color w:val="000000"/>
              </w:rPr>
            </w:pPr>
            <w:r w:rsidRPr="006565B5">
              <w:rPr>
                <w:rFonts w:cs="Arial"/>
                <w:b/>
                <w:bCs/>
                <w:color w:val="000000"/>
              </w:rPr>
              <w:t>Finance lease</w:t>
            </w:r>
          </w:p>
        </w:tc>
        <w:tc>
          <w:tcPr>
            <w:tcW w:w="731" w:type="dxa"/>
            <w:tcBorders>
              <w:top w:val="nil"/>
              <w:left w:val="nil"/>
              <w:bottom w:val="nil"/>
              <w:right w:val="nil"/>
            </w:tcBorders>
            <w:shd w:val="clear" w:color="auto" w:fill="auto"/>
            <w:noWrap/>
            <w:vAlign w:val="center"/>
            <w:hideMark/>
          </w:tcPr>
          <w:p w14:paraId="0B46EF35" w14:textId="77777777" w:rsidR="0097090C" w:rsidRPr="006565B5"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3B5372A3" w14:textId="77777777" w:rsidR="0097090C" w:rsidRPr="006565B5" w:rsidRDefault="0097090C" w:rsidP="0097090C">
            <w:pPr>
              <w:rPr>
                <w:rFonts w:cs="Arial"/>
                <w:color w:val="000000"/>
              </w:rPr>
            </w:pPr>
            <w:r w:rsidRPr="006565B5">
              <w:rPr>
                <w:rFonts w:cs="Arial"/>
                <w:color w:val="000000"/>
              </w:rPr>
              <w:t> </w:t>
            </w:r>
          </w:p>
        </w:tc>
        <w:tc>
          <w:tcPr>
            <w:tcW w:w="1267" w:type="dxa"/>
            <w:tcBorders>
              <w:top w:val="nil"/>
              <w:left w:val="nil"/>
              <w:bottom w:val="nil"/>
              <w:right w:val="nil"/>
            </w:tcBorders>
            <w:shd w:val="clear" w:color="auto" w:fill="auto"/>
            <w:noWrap/>
            <w:vAlign w:val="center"/>
            <w:hideMark/>
          </w:tcPr>
          <w:p w14:paraId="0B619B67" w14:textId="77777777" w:rsidR="0097090C" w:rsidRPr="006565B5" w:rsidRDefault="0097090C" w:rsidP="0097090C">
            <w:pPr>
              <w:rPr>
                <w:rFonts w:cs="Arial"/>
                <w:color w:val="000000"/>
              </w:rPr>
            </w:pPr>
          </w:p>
        </w:tc>
      </w:tr>
      <w:tr w:rsidR="0097090C" w:rsidRPr="006565B5" w14:paraId="5A11C5F9" w14:textId="77777777" w:rsidTr="0097090C">
        <w:trPr>
          <w:trHeight w:val="255"/>
        </w:trPr>
        <w:tc>
          <w:tcPr>
            <w:tcW w:w="6095" w:type="dxa"/>
            <w:tcBorders>
              <w:top w:val="nil"/>
              <w:left w:val="nil"/>
              <w:bottom w:val="nil"/>
              <w:right w:val="nil"/>
            </w:tcBorders>
            <w:shd w:val="clear" w:color="auto" w:fill="auto"/>
            <w:noWrap/>
            <w:vAlign w:val="center"/>
            <w:hideMark/>
          </w:tcPr>
          <w:p w14:paraId="47345C77" w14:textId="77777777" w:rsidR="0097090C" w:rsidRPr="006565B5" w:rsidRDefault="0097090C" w:rsidP="0097090C">
            <w:pPr>
              <w:rPr>
                <w:rFonts w:cs="Arial"/>
                <w:color w:val="000000"/>
              </w:rPr>
            </w:pPr>
            <w:r w:rsidRPr="006565B5">
              <w:rPr>
                <w:rFonts w:cs="Arial"/>
                <w:color w:val="000000"/>
              </w:rPr>
              <w:t>Plant and equipment under finance lease</w:t>
            </w:r>
          </w:p>
        </w:tc>
        <w:tc>
          <w:tcPr>
            <w:tcW w:w="731" w:type="dxa"/>
            <w:tcBorders>
              <w:top w:val="nil"/>
              <w:left w:val="nil"/>
              <w:bottom w:val="nil"/>
              <w:right w:val="nil"/>
            </w:tcBorders>
            <w:shd w:val="clear" w:color="auto" w:fill="auto"/>
            <w:noWrap/>
            <w:vAlign w:val="center"/>
            <w:hideMark/>
          </w:tcPr>
          <w:p w14:paraId="3ECC1646" w14:textId="77777777" w:rsidR="0097090C" w:rsidRPr="006565B5" w:rsidRDefault="0097090C" w:rsidP="0097090C">
            <w:pPr>
              <w:jc w:val="center"/>
              <w:rPr>
                <w:rFonts w:cs="Arial"/>
                <w:color w:val="000000"/>
              </w:rPr>
            </w:pPr>
            <w:r w:rsidRPr="006565B5">
              <w:rPr>
                <w:rFonts w:cs="Arial"/>
                <w:color w:val="000000"/>
              </w:rPr>
              <w:t xml:space="preserve"> 9(c)</w:t>
            </w:r>
          </w:p>
        </w:tc>
        <w:tc>
          <w:tcPr>
            <w:tcW w:w="1267" w:type="dxa"/>
            <w:tcBorders>
              <w:top w:val="nil"/>
              <w:left w:val="nil"/>
              <w:bottom w:val="single" w:sz="4" w:space="0" w:color="auto"/>
              <w:right w:val="nil"/>
            </w:tcBorders>
            <w:shd w:val="clear" w:color="000000" w:fill="D9D9D9"/>
            <w:vAlign w:val="center"/>
            <w:hideMark/>
          </w:tcPr>
          <w:p w14:paraId="367F5B7D" w14:textId="77777777" w:rsidR="0097090C" w:rsidRPr="006565B5" w:rsidRDefault="0097090C" w:rsidP="0097090C">
            <w:pPr>
              <w:jc w:val="right"/>
              <w:rPr>
                <w:rFonts w:cs="Arial"/>
                <w:color w:val="000000"/>
              </w:rPr>
            </w:pPr>
            <w:r w:rsidRPr="006565B5">
              <w:rPr>
                <w:rFonts w:cs="Arial"/>
                <w:color w:val="000000"/>
              </w:rPr>
              <w:t>458</w:t>
            </w:r>
          </w:p>
        </w:tc>
        <w:tc>
          <w:tcPr>
            <w:tcW w:w="1267" w:type="dxa"/>
            <w:tcBorders>
              <w:top w:val="nil"/>
              <w:left w:val="nil"/>
              <w:bottom w:val="single" w:sz="4" w:space="0" w:color="auto"/>
              <w:right w:val="nil"/>
            </w:tcBorders>
            <w:shd w:val="clear" w:color="auto" w:fill="auto"/>
            <w:vAlign w:val="center"/>
            <w:hideMark/>
          </w:tcPr>
          <w:p w14:paraId="4EE59F01" w14:textId="77777777" w:rsidR="0097090C" w:rsidRPr="006565B5" w:rsidRDefault="0097090C" w:rsidP="0097090C">
            <w:pPr>
              <w:jc w:val="right"/>
              <w:rPr>
                <w:rFonts w:cs="Arial"/>
                <w:color w:val="000000"/>
              </w:rPr>
            </w:pPr>
            <w:r w:rsidRPr="006565B5">
              <w:rPr>
                <w:rFonts w:cs="Arial"/>
                <w:color w:val="000000"/>
              </w:rPr>
              <w:t>317</w:t>
            </w:r>
          </w:p>
        </w:tc>
      </w:tr>
      <w:tr w:rsidR="0097090C" w:rsidRPr="006565B5" w14:paraId="7FD45B76"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76E4CEC6" w14:textId="77777777" w:rsidR="0097090C" w:rsidRPr="006565B5" w:rsidRDefault="0097090C" w:rsidP="0097090C">
            <w:pPr>
              <w:rPr>
                <w:rFonts w:cs="Arial"/>
                <w:b/>
                <w:bCs/>
                <w:color w:val="000000"/>
              </w:rPr>
            </w:pPr>
            <w:r w:rsidRPr="006565B5">
              <w:rPr>
                <w:rFonts w:cs="Arial"/>
                <w:b/>
                <w:bCs/>
                <w:color w:val="000000"/>
              </w:rPr>
              <w:t>Total Assets pledged as security</w:t>
            </w:r>
          </w:p>
        </w:tc>
        <w:tc>
          <w:tcPr>
            <w:tcW w:w="731" w:type="dxa"/>
            <w:tcBorders>
              <w:top w:val="single" w:sz="4" w:space="0" w:color="auto"/>
              <w:left w:val="nil"/>
              <w:bottom w:val="single" w:sz="4" w:space="0" w:color="auto"/>
              <w:right w:val="nil"/>
            </w:tcBorders>
            <w:shd w:val="clear" w:color="auto" w:fill="auto"/>
            <w:vAlign w:val="center"/>
            <w:hideMark/>
          </w:tcPr>
          <w:p w14:paraId="42DD82A8" w14:textId="77777777" w:rsidR="0097090C" w:rsidRPr="006565B5" w:rsidRDefault="0097090C" w:rsidP="0097090C">
            <w:pPr>
              <w:jc w:val="center"/>
              <w:rPr>
                <w:rFonts w:cs="Arial"/>
                <w:b/>
                <w:bCs/>
                <w:color w:val="000000"/>
              </w:rPr>
            </w:pPr>
            <w:r w:rsidRPr="006565B5">
              <w:rPr>
                <w:rFonts w:cs="Arial"/>
                <w:b/>
                <w:bCs/>
                <w:color w:val="000000"/>
              </w:rPr>
              <w:t> </w:t>
            </w:r>
          </w:p>
        </w:tc>
        <w:tc>
          <w:tcPr>
            <w:tcW w:w="1267" w:type="dxa"/>
            <w:tcBorders>
              <w:top w:val="nil"/>
              <w:left w:val="nil"/>
              <w:bottom w:val="single" w:sz="4" w:space="0" w:color="auto"/>
              <w:right w:val="nil"/>
            </w:tcBorders>
            <w:shd w:val="clear" w:color="000000" w:fill="D9D9D9"/>
            <w:vAlign w:val="center"/>
            <w:hideMark/>
          </w:tcPr>
          <w:p w14:paraId="46EA4345" w14:textId="77777777" w:rsidR="0097090C" w:rsidRPr="006565B5" w:rsidRDefault="0097090C" w:rsidP="0097090C">
            <w:pPr>
              <w:jc w:val="right"/>
              <w:rPr>
                <w:rFonts w:cs="Arial"/>
                <w:b/>
                <w:bCs/>
                <w:color w:val="000000"/>
              </w:rPr>
            </w:pPr>
            <w:r w:rsidRPr="006565B5">
              <w:rPr>
                <w:rFonts w:cs="Arial"/>
                <w:b/>
                <w:bCs/>
                <w:color w:val="000000"/>
              </w:rPr>
              <w:t>458</w:t>
            </w:r>
          </w:p>
        </w:tc>
        <w:tc>
          <w:tcPr>
            <w:tcW w:w="1267" w:type="dxa"/>
            <w:tcBorders>
              <w:top w:val="nil"/>
              <w:left w:val="nil"/>
              <w:bottom w:val="single" w:sz="4" w:space="0" w:color="auto"/>
              <w:right w:val="nil"/>
            </w:tcBorders>
            <w:shd w:val="clear" w:color="auto" w:fill="auto"/>
            <w:vAlign w:val="center"/>
            <w:hideMark/>
          </w:tcPr>
          <w:p w14:paraId="2423788C" w14:textId="77777777" w:rsidR="0097090C" w:rsidRPr="006565B5" w:rsidRDefault="0097090C" w:rsidP="0097090C">
            <w:pPr>
              <w:jc w:val="right"/>
              <w:rPr>
                <w:rFonts w:cs="Arial"/>
                <w:b/>
                <w:bCs/>
                <w:color w:val="000000"/>
              </w:rPr>
            </w:pPr>
            <w:r w:rsidRPr="006565B5">
              <w:rPr>
                <w:rFonts w:cs="Arial"/>
                <w:b/>
                <w:bCs/>
                <w:color w:val="000000"/>
              </w:rPr>
              <w:t>317</w:t>
            </w:r>
          </w:p>
        </w:tc>
      </w:tr>
    </w:tbl>
    <w:p w14:paraId="10C5BE73" w14:textId="77777777" w:rsidR="0097090C" w:rsidRPr="00A8449D" w:rsidRDefault="0097090C" w:rsidP="0097090C">
      <w:pPr>
        <w:rPr>
          <w:sz w:val="18"/>
          <w:szCs w:val="18"/>
        </w:rPr>
      </w:pPr>
    </w:p>
    <w:p w14:paraId="0D27E991" w14:textId="77777777" w:rsidR="0097090C" w:rsidRPr="00251211" w:rsidRDefault="0097090C" w:rsidP="0097090C">
      <w:pPr>
        <w:pStyle w:val="Heading4"/>
      </w:pPr>
      <w:r>
        <w:t xml:space="preserve">12. </w:t>
      </w:r>
      <w:r w:rsidRPr="00251211">
        <w:t>Provisions</w:t>
      </w:r>
    </w:p>
    <w:tbl>
      <w:tblPr>
        <w:tblW w:w="9360" w:type="dxa"/>
        <w:tblInd w:w="108" w:type="dxa"/>
        <w:tblLook w:val="04A0" w:firstRow="1" w:lastRow="0" w:firstColumn="1" w:lastColumn="0" w:noHBand="0" w:noVBand="1"/>
      </w:tblPr>
      <w:tblGrid>
        <w:gridCol w:w="6095"/>
        <w:gridCol w:w="731"/>
        <w:gridCol w:w="1267"/>
        <w:gridCol w:w="1267"/>
      </w:tblGrid>
      <w:tr w:rsidR="0097090C" w:rsidRPr="00CC2A02" w14:paraId="7852F8D9" w14:textId="77777777" w:rsidTr="0097090C">
        <w:trPr>
          <w:trHeight w:val="255"/>
        </w:trPr>
        <w:tc>
          <w:tcPr>
            <w:tcW w:w="6095" w:type="dxa"/>
            <w:tcBorders>
              <w:top w:val="single" w:sz="4" w:space="0" w:color="auto"/>
              <w:left w:val="nil"/>
              <w:bottom w:val="nil"/>
              <w:right w:val="nil"/>
            </w:tcBorders>
            <w:shd w:val="clear" w:color="auto" w:fill="auto"/>
            <w:noWrap/>
            <w:vAlign w:val="center"/>
            <w:hideMark/>
          </w:tcPr>
          <w:p w14:paraId="4F382476" w14:textId="77777777" w:rsidR="0097090C" w:rsidRPr="00CC2A02" w:rsidRDefault="0097090C" w:rsidP="0097090C">
            <w:pPr>
              <w:rPr>
                <w:rFonts w:cs="Arial"/>
                <w:b/>
                <w:bCs/>
                <w:color w:val="000000"/>
              </w:rPr>
            </w:pPr>
            <w:r w:rsidRPr="00CC2A02">
              <w:rPr>
                <w:rFonts w:cs="Arial"/>
                <w:b/>
                <w:bCs/>
                <w:color w:val="000000"/>
              </w:rPr>
              <w:t>Current Provisions</w:t>
            </w:r>
          </w:p>
        </w:tc>
        <w:tc>
          <w:tcPr>
            <w:tcW w:w="731" w:type="dxa"/>
            <w:tcBorders>
              <w:top w:val="single" w:sz="4" w:space="0" w:color="auto"/>
              <w:left w:val="nil"/>
              <w:bottom w:val="nil"/>
              <w:right w:val="nil"/>
            </w:tcBorders>
            <w:shd w:val="clear" w:color="auto" w:fill="auto"/>
            <w:noWrap/>
            <w:vAlign w:val="center"/>
            <w:hideMark/>
          </w:tcPr>
          <w:p w14:paraId="37DB92F7" w14:textId="77777777" w:rsidR="0097090C" w:rsidRPr="00CC2A02" w:rsidRDefault="0097090C" w:rsidP="0097090C">
            <w:pPr>
              <w:rPr>
                <w:rFonts w:cs="Arial"/>
                <w:color w:val="000000"/>
              </w:rPr>
            </w:pPr>
            <w:r w:rsidRPr="00CC2A02">
              <w:rPr>
                <w:rFonts w:cs="Arial"/>
                <w:color w:val="000000"/>
              </w:rPr>
              <w:t> </w:t>
            </w:r>
          </w:p>
        </w:tc>
        <w:tc>
          <w:tcPr>
            <w:tcW w:w="1267" w:type="dxa"/>
            <w:tcBorders>
              <w:top w:val="single" w:sz="4" w:space="0" w:color="auto"/>
              <w:left w:val="nil"/>
              <w:bottom w:val="nil"/>
              <w:right w:val="nil"/>
            </w:tcBorders>
            <w:shd w:val="clear" w:color="000000" w:fill="D9D9D9"/>
            <w:noWrap/>
            <w:vAlign w:val="center"/>
            <w:hideMark/>
          </w:tcPr>
          <w:p w14:paraId="7DA1EE3C" w14:textId="77777777" w:rsidR="0097090C" w:rsidRPr="00CC2A02" w:rsidRDefault="0097090C" w:rsidP="0097090C">
            <w:pPr>
              <w:rPr>
                <w:rFonts w:cs="Arial"/>
                <w:color w:val="000000"/>
              </w:rPr>
            </w:pPr>
            <w:r w:rsidRPr="00CC2A02">
              <w:rPr>
                <w:rFonts w:cs="Arial"/>
                <w:color w:val="000000"/>
              </w:rPr>
              <w:t> </w:t>
            </w:r>
          </w:p>
        </w:tc>
        <w:tc>
          <w:tcPr>
            <w:tcW w:w="1267" w:type="dxa"/>
            <w:tcBorders>
              <w:top w:val="single" w:sz="4" w:space="0" w:color="auto"/>
              <w:left w:val="nil"/>
              <w:bottom w:val="nil"/>
              <w:right w:val="nil"/>
            </w:tcBorders>
            <w:shd w:val="clear" w:color="auto" w:fill="auto"/>
            <w:noWrap/>
            <w:vAlign w:val="center"/>
            <w:hideMark/>
          </w:tcPr>
          <w:p w14:paraId="483D7233" w14:textId="77777777" w:rsidR="0097090C" w:rsidRPr="00CC2A02" w:rsidRDefault="0097090C" w:rsidP="0097090C">
            <w:pPr>
              <w:rPr>
                <w:rFonts w:cs="Arial"/>
                <w:color w:val="000000"/>
              </w:rPr>
            </w:pPr>
            <w:r w:rsidRPr="00CC2A02">
              <w:rPr>
                <w:rFonts w:cs="Arial"/>
                <w:color w:val="000000"/>
              </w:rPr>
              <w:t> </w:t>
            </w:r>
          </w:p>
        </w:tc>
      </w:tr>
      <w:tr w:rsidR="0097090C" w:rsidRPr="00CC2A02" w14:paraId="3125FB98" w14:textId="77777777" w:rsidTr="0097090C">
        <w:trPr>
          <w:trHeight w:val="255"/>
        </w:trPr>
        <w:tc>
          <w:tcPr>
            <w:tcW w:w="6095" w:type="dxa"/>
            <w:tcBorders>
              <w:top w:val="nil"/>
              <w:left w:val="nil"/>
              <w:bottom w:val="nil"/>
              <w:right w:val="nil"/>
            </w:tcBorders>
            <w:shd w:val="clear" w:color="auto" w:fill="auto"/>
            <w:noWrap/>
            <w:vAlign w:val="center"/>
            <w:hideMark/>
          </w:tcPr>
          <w:p w14:paraId="2221935F" w14:textId="77777777" w:rsidR="0097090C" w:rsidRPr="00CC2A02" w:rsidRDefault="0097090C" w:rsidP="0097090C">
            <w:pPr>
              <w:rPr>
                <w:rFonts w:cs="Arial"/>
                <w:b/>
                <w:bCs/>
                <w:color w:val="000000"/>
              </w:rPr>
            </w:pPr>
            <w:r w:rsidRPr="00CC2A02">
              <w:rPr>
                <w:rFonts w:cs="Arial"/>
                <w:b/>
                <w:bCs/>
                <w:color w:val="000000"/>
              </w:rPr>
              <w:t>Employee Benefits (Note 12(a)) – Annual Leave</w:t>
            </w:r>
          </w:p>
        </w:tc>
        <w:tc>
          <w:tcPr>
            <w:tcW w:w="731" w:type="dxa"/>
            <w:tcBorders>
              <w:top w:val="nil"/>
              <w:left w:val="nil"/>
              <w:bottom w:val="nil"/>
              <w:right w:val="nil"/>
            </w:tcBorders>
            <w:shd w:val="clear" w:color="auto" w:fill="auto"/>
            <w:noWrap/>
            <w:vAlign w:val="center"/>
            <w:hideMark/>
          </w:tcPr>
          <w:p w14:paraId="7D1F64C5" w14:textId="77777777" w:rsidR="0097090C" w:rsidRPr="00CC2A02" w:rsidRDefault="0097090C" w:rsidP="0097090C">
            <w:pPr>
              <w:rPr>
                <w:rFonts w:cs="Arial"/>
                <w:color w:val="000000"/>
              </w:rPr>
            </w:pPr>
          </w:p>
        </w:tc>
        <w:tc>
          <w:tcPr>
            <w:tcW w:w="1267" w:type="dxa"/>
            <w:tcBorders>
              <w:top w:val="nil"/>
              <w:left w:val="nil"/>
              <w:bottom w:val="nil"/>
              <w:right w:val="nil"/>
            </w:tcBorders>
            <w:shd w:val="clear" w:color="000000" w:fill="D9D9D9"/>
            <w:noWrap/>
            <w:vAlign w:val="center"/>
            <w:hideMark/>
          </w:tcPr>
          <w:p w14:paraId="3869E1C9" w14:textId="77777777" w:rsidR="0097090C" w:rsidRPr="00CC2A02" w:rsidRDefault="0097090C" w:rsidP="0097090C">
            <w:pPr>
              <w:rPr>
                <w:rFonts w:cs="Arial"/>
                <w:color w:val="000000"/>
              </w:rPr>
            </w:pPr>
            <w:r w:rsidRPr="00CC2A02">
              <w:rPr>
                <w:rFonts w:cs="Arial"/>
                <w:color w:val="000000"/>
              </w:rPr>
              <w:t> </w:t>
            </w:r>
          </w:p>
        </w:tc>
        <w:tc>
          <w:tcPr>
            <w:tcW w:w="1267" w:type="dxa"/>
            <w:tcBorders>
              <w:top w:val="nil"/>
              <w:left w:val="nil"/>
              <w:bottom w:val="nil"/>
              <w:right w:val="nil"/>
            </w:tcBorders>
            <w:shd w:val="clear" w:color="auto" w:fill="auto"/>
            <w:noWrap/>
            <w:vAlign w:val="center"/>
            <w:hideMark/>
          </w:tcPr>
          <w:p w14:paraId="5107BE8D" w14:textId="77777777" w:rsidR="0097090C" w:rsidRPr="00CC2A02" w:rsidRDefault="0097090C" w:rsidP="0097090C">
            <w:pPr>
              <w:rPr>
                <w:rFonts w:cs="Arial"/>
                <w:color w:val="000000"/>
              </w:rPr>
            </w:pPr>
          </w:p>
        </w:tc>
      </w:tr>
      <w:tr w:rsidR="0097090C" w:rsidRPr="00CC2A02" w14:paraId="6A099CA5" w14:textId="77777777" w:rsidTr="0097090C">
        <w:trPr>
          <w:trHeight w:val="255"/>
        </w:trPr>
        <w:tc>
          <w:tcPr>
            <w:tcW w:w="6095" w:type="dxa"/>
            <w:tcBorders>
              <w:top w:val="nil"/>
              <w:left w:val="nil"/>
              <w:bottom w:val="nil"/>
              <w:right w:val="nil"/>
            </w:tcBorders>
            <w:shd w:val="clear" w:color="auto" w:fill="auto"/>
            <w:vAlign w:val="center"/>
            <w:hideMark/>
          </w:tcPr>
          <w:p w14:paraId="1931BDEE" w14:textId="77777777" w:rsidR="0097090C" w:rsidRPr="00CC2A02" w:rsidRDefault="0097090C" w:rsidP="0097090C">
            <w:pPr>
              <w:rPr>
                <w:rFonts w:cs="Arial"/>
                <w:color w:val="000000"/>
              </w:rPr>
            </w:pPr>
            <w:r w:rsidRPr="00CC2A02">
              <w:rPr>
                <w:rFonts w:cs="Arial"/>
                <w:color w:val="000000"/>
              </w:rPr>
              <w:t>Unconditional and expected to be settled within 12 months**</w:t>
            </w:r>
          </w:p>
        </w:tc>
        <w:tc>
          <w:tcPr>
            <w:tcW w:w="731" w:type="dxa"/>
            <w:tcBorders>
              <w:top w:val="nil"/>
              <w:left w:val="nil"/>
              <w:bottom w:val="nil"/>
              <w:right w:val="nil"/>
            </w:tcBorders>
            <w:shd w:val="clear" w:color="auto" w:fill="auto"/>
            <w:vAlign w:val="center"/>
            <w:hideMark/>
          </w:tcPr>
          <w:p w14:paraId="2450006C"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C2CE21D" w14:textId="77777777" w:rsidR="0097090C" w:rsidRPr="00CC2A02" w:rsidRDefault="0097090C" w:rsidP="0097090C">
            <w:pPr>
              <w:jc w:val="right"/>
              <w:rPr>
                <w:rFonts w:cs="Arial"/>
                <w:color w:val="000000"/>
              </w:rPr>
            </w:pPr>
            <w:r w:rsidRPr="00CC2A02">
              <w:rPr>
                <w:rFonts w:cs="Arial"/>
                <w:color w:val="000000"/>
              </w:rPr>
              <w:t>2,732</w:t>
            </w:r>
          </w:p>
        </w:tc>
        <w:tc>
          <w:tcPr>
            <w:tcW w:w="1267" w:type="dxa"/>
            <w:tcBorders>
              <w:top w:val="nil"/>
              <w:left w:val="nil"/>
              <w:bottom w:val="nil"/>
              <w:right w:val="nil"/>
            </w:tcBorders>
            <w:shd w:val="clear" w:color="auto" w:fill="auto"/>
            <w:vAlign w:val="center"/>
            <w:hideMark/>
          </w:tcPr>
          <w:p w14:paraId="50EB32D3" w14:textId="77777777" w:rsidR="0097090C" w:rsidRPr="00CC2A02" w:rsidRDefault="0097090C" w:rsidP="0097090C">
            <w:pPr>
              <w:jc w:val="right"/>
              <w:rPr>
                <w:rFonts w:cs="Arial"/>
                <w:color w:val="000000"/>
              </w:rPr>
            </w:pPr>
            <w:r w:rsidRPr="00CC2A02">
              <w:rPr>
                <w:rFonts w:cs="Arial"/>
                <w:color w:val="000000"/>
              </w:rPr>
              <w:t>2,588</w:t>
            </w:r>
          </w:p>
        </w:tc>
      </w:tr>
      <w:tr w:rsidR="0097090C" w:rsidRPr="00CC2A02" w14:paraId="7C1788F3" w14:textId="77777777" w:rsidTr="0097090C">
        <w:trPr>
          <w:trHeight w:val="255"/>
        </w:trPr>
        <w:tc>
          <w:tcPr>
            <w:tcW w:w="6095" w:type="dxa"/>
            <w:tcBorders>
              <w:top w:val="nil"/>
              <w:left w:val="nil"/>
              <w:bottom w:val="nil"/>
              <w:right w:val="nil"/>
            </w:tcBorders>
            <w:shd w:val="clear" w:color="auto" w:fill="auto"/>
            <w:vAlign w:val="center"/>
            <w:hideMark/>
          </w:tcPr>
          <w:p w14:paraId="0DCB5789" w14:textId="77777777" w:rsidR="0097090C" w:rsidRPr="00CC2A02" w:rsidRDefault="0097090C" w:rsidP="0097090C">
            <w:pPr>
              <w:rPr>
                <w:rFonts w:cs="Arial"/>
                <w:b/>
                <w:bCs/>
                <w:color w:val="000000"/>
              </w:rPr>
            </w:pPr>
            <w:r w:rsidRPr="00CC2A02">
              <w:rPr>
                <w:rFonts w:cs="Arial"/>
                <w:b/>
                <w:bCs/>
                <w:color w:val="000000"/>
              </w:rPr>
              <w:t>Employee Benefits (Note 12(a)) – Long Service Leave</w:t>
            </w:r>
          </w:p>
        </w:tc>
        <w:tc>
          <w:tcPr>
            <w:tcW w:w="731" w:type="dxa"/>
            <w:tcBorders>
              <w:top w:val="nil"/>
              <w:left w:val="nil"/>
              <w:bottom w:val="nil"/>
              <w:right w:val="nil"/>
            </w:tcBorders>
            <w:shd w:val="clear" w:color="auto" w:fill="auto"/>
            <w:vAlign w:val="center"/>
            <w:hideMark/>
          </w:tcPr>
          <w:p w14:paraId="4CE9E455"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43E9683F" w14:textId="77777777" w:rsidR="0097090C" w:rsidRPr="00CC2A02" w:rsidRDefault="0097090C" w:rsidP="0097090C">
            <w:pPr>
              <w:jc w:val="right"/>
              <w:rPr>
                <w:rFonts w:cs="Arial"/>
                <w:color w:val="000000"/>
              </w:rPr>
            </w:pPr>
            <w:r w:rsidRPr="00CC2A02">
              <w:rPr>
                <w:rFonts w:cs="Arial"/>
                <w:color w:val="000000"/>
              </w:rPr>
              <w:t> </w:t>
            </w:r>
          </w:p>
        </w:tc>
        <w:tc>
          <w:tcPr>
            <w:tcW w:w="1267" w:type="dxa"/>
            <w:tcBorders>
              <w:top w:val="nil"/>
              <w:left w:val="nil"/>
              <w:bottom w:val="nil"/>
              <w:right w:val="nil"/>
            </w:tcBorders>
            <w:shd w:val="clear" w:color="auto" w:fill="auto"/>
            <w:vAlign w:val="center"/>
            <w:hideMark/>
          </w:tcPr>
          <w:p w14:paraId="6C510AC8" w14:textId="77777777" w:rsidR="0097090C" w:rsidRPr="00CC2A02" w:rsidRDefault="0097090C" w:rsidP="0097090C">
            <w:pPr>
              <w:jc w:val="right"/>
              <w:rPr>
                <w:rFonts w:cs="Arial"/>
                <w:color w:val="000000"/>
              </w:rPr>
            </w:pPr>
          </w:p>
        </w:tc>
      </w:tr>
      <w:tr w:rsidR="0097090C" w:rsidRPr="00CC2A02" w14:paraId="1E4BBC3E" w14:textId="77777777" w:rsidTr="0097090C">
        <w:trPr>
          <w:trHeight w:val="255"/>
        </w:trPr>
        <w:tc>
          <w:tcPr>
            <w:tcW w:w="6095" w:type="dxa"/>
            <w:tcBorders>
              <w:top w:val="nil"/>
              <w:left w:val="nil"/>
              <w:bottom w:val="nil"/>
              <w:right w:val="nil"/>
            </w:tcBorders>
            <w:shd w:val="clear" w:color="auto" w:fill="auto"/>
            <w:vAlign w:val="center"/>
            <w:hideMark/>
          </w:tcPr>
          <w:p w14:paraId="2DEDBA81" w14:textId="77777777" w:rsidR="0097090C" w:rsidRPr="00CC2A02" w:rsidRDefault="0097090C" w:rsidP="0097090C">
            <w:pPr>
              <w:rPr>
                <w:rFonts w:cs="Arial"/>
                <w:color w:val="000000"/>
              </w:rPr>
            </w:pPr>
            <w:r w:rsidRPr="00CC2A02">
              <w:rPr>
                <w:rFonts w:cs="Arial"/>
                <w:color w:val="000000"/>
              </w:rPr>
              <w:t>Unconditional and expected to be settled within 12 months**</w:t>
            </w:r>
          </w:p>
        </w:tc>
        <w:tc>
          <w:tcPr>
            <w:tcW w:w="731" w:type="dxa"/>
            <w:tcBorders>
              <w:top w:val="nil"/>
              <w:left w:val="nil"/>
              <w:bottom w:val="nil"/>
              <w:right w:val="nil"/>
            </w:tcBorders>
            <w:shd w:val="clear" w:color="auto" w:fill="auto"/>
            <w:vAlign w:val="center"/>
            <w:hideMark/>
          </w:tcPr>
          <w:p w14:paraId="1418B3D1"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2B7214F" w14:textId="77777777" w:rsidR="0097090C" w:rsidRPr="00CC2A02" w:rsidRDefault="0097090C" w:rsidP="0097090C">
            <w:pPr>
              <w:jc w:val="right"/>
              <w:rPr>
                <w:rFonts w:cs="Arial"/>
                <w:color w:val="000000"/>
              </w:rPr>
            </w:pPr>
            <w:r w:rsidRPr="00CC2A02">
              <w:rPr>
                <w:rFonts w:cs="Arial"/>
                <w:color w:val="000000"/>
              </w:rPr>
              <w:t>537</w:t>
            </w:r>
          </w:p>
        </w:tc>
        <w:tc>
          <w:tcPr>
            <w:tcW w:w="1267" w:type="dxa"/>
            <w:tcBorders>
              <w:top w:val="nil"/>
              <w:left w:val="nil"/>
              <w:bottom w:val="nil"/>
              <w:right w:val="nil"/>
            </w:tcBorders>
            <w:shd w:val="clear" w:color="auto" w:fill="auto"/>
            <w:vAlign w:val="center"/>
            <w:hideMark/>
          </w:tcPr>
          <w:p w14:paraId="16859903" w14:textId="77777777" w:rsidR="0097090C" w:rsidRPr="00CC2A02" w:rsidRDefault="0097090C" w:rsidP="0097090C">
            <w:pPr>
              <w:jc w:val="right"/>
              <w:rPr>
                <w:rFonts w:cs="Arial"/>
                <w:color w:val="000000"/>
              </w:rPr>
            </w:pPr>
            <w:r w:rsidRPr="00CC2A02">
              <w:rPr>
                <w:rFonts w:cs="Arial"/>
                <w:color w:val="000000"/>
              </w:rPr>
              <w:t>538</w:t>
            </w:r>
          </w:p>
        </w:tc>
      </w:tr>
      <w:tr w:rsidR="0097090C" w:rsidRPr="00CC2A02" w14:paraId="605D7066" w14:textId="77777777" w:rsidTr="0097090C">
        <w:trPr>
          <w:trHeight w:val="255"/>
        </w:trPr>
        <w:tc>
          <w:tcPr>
            <w:tcW w:w="6095" w:type="dxa"/>
            <w:tcBorders>
              <w:top w:val="nil"/>
              <w:left w:val="nil"/>
              <w:bottom w:val="nil"/>
              <w:right w:val="nil"/>
            </w:tcBorders>
            <w:shd w:val="clear" w:color="auto" w:fill="auto"/>
            <w:vAlign w:val="center"/>
            <w:hideMark/>
          </w:tcPr>
          <w:p w14:paraId="5A815A2F" w14:textId="77777777" w:rsidR="0097090C" w:rsidRPr="00CC2A02" w:rsidRDefault="0097090C" w:rsidP="0097090C">
            <w:pPr>
              <w:rPr>
                <w:rFonts w:cs="Arial"/>
                <w:color w:val="000000"/>
              </w:rPr>
            </w:pPr>
            <w:r w:rsidRPr="00CC2A02">
              <w:rPr>
                <w:rFonts w:cs="Arial"/>
                <w:color w:val="000000"/>
              </w:rPr>
              <w:t>Unconditional and expected to be settled after 12 months***</w:t>
            </w:r>
          </w:p>
        </w:tc>
        <w:tc>
          <w:tcPr>
            <w:tcW w:w="731" w:type="dxa"/>
            <w:tcBorders>
              <w:top w:val="nil"/>
              <w:left w:val="nil"/>
              <w:bottom w:val="nil"/>
              <w:right w:val="nil"/>
            </w:tcBorders>
            <w:shd w:val="clear" w:color="auto" w:fill="auto"/>
            <w:vAlign w:val="center"/>
            <w:hideMark/>
          </w:tcPr>
          <w:p w14:paraId="2F6D97BD"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A62FF42" w14:textId="77777777" w:rsidR="0097090C" w:rsidRPr="00CC2A02" w:rsidRDefault="0097090C" w:rsidP="0097090C">
            <w:pPr>
              <w:jc w:val="right"/>
              <w:rPr>
                <w:rFonts w:cs="Arial"/>
                <w:color w:val="000000"/>
              </w:rPr>
            </w:pPr>
            <w:r w:rsidRPr="00CC2A02">
              <w:rPr>
                <w:rFonts w:cs="Arial"/>
                <w:color w:val="000000"/>
              </w:rPr>
              <w:t>5,387</w:t>
            </w:r>
          </w:p>
        </w:tc>
        <w:tc>
          <w:tcPr>
            <w:tcW w:w="1267" w:type="dxa"/>
            <w:tcBorders>
              <w:top w:val="nil"/>
              <w:left w:val="nil"/>
              <w:bottom w:val="nil"/>
              <w:right w:val="nil"/>
            </w:tcBorders>
            <w:shd w:val="clear" w:color="auto" w:fill="auto"/>
            <w:vAlign w:val="center"/>
            <w:hideMark/>
          </w:tcPr>
          <w:p w14:paraId="62E75965" w14:textId="77777777" w:rsidR="0097090C" w:rsidRPr="00CC2A02" w:rsidRDefault="0097090C" w:rsidP="0097090C">
            <w:pPr>
              <w:jc w:val="right"/>
              <w:rPr>
                <w:rFonts w:cs="Arial"/>
                <w:color w:val="000000"/>
              </w:rPr>
            </w:pPr>
            <w:r w:rsidRPr="00CC2A02">
              <w:rPr>
                <w:rFonts w:cs="Arial"/>
                <w:color w:val="000000"/>
              </w:rPr>
              <w:t>4,814</w:t>
            </w:r>
          </w:p>
        </w:tc>
      </w:tr>
      <w:tr w:rsidR="0097090C" w:rsidRPr="00CC2A02" w14:paraId="00EA6743" w14:textId="77777777" w:rsidTr="0097090C">
        <w:trPr>
          <w:trHeight w:val="255"/>
        </w:trPr>
        <w:tc>
          <w:tcPr>
            <w:tcW w:w="6095" w:type="dxa"/>
            <w:tcBorders>
              <w:top w:val="nil"/>
              <w:left w:val="nil"/>
              <w:bottom w:val="nil"/>
              <w:right w:val="nil"/>
            </w:tcBorders>
            <w:shd w:val="clear" w:color="auto" w:fill="auto"/>
            <w:noWrap/>
            <w:vAlign w:val="center"/>
            <w:hideMark/>
          </w:tcPr>
          <w:p w14:paraId="7BADEACB" w14:textId="77777777" w:rsidR="0097090C" w:rsidRPr="00CC2A02" w:rsidRDefault="0097090C" w:rsidP="0097090C">
            <w:pPr>
              <w:rPr>
                <w:rFonts w:cs="Arial"/>
                <w:b/>
                <w:bCs/>
                <w:color w:val="000000"/>
              </w:rPr>
            </w:pPr>
            <w:r w:rsidRPr="00CC2A02">
              <w:rPr>
                <w:rFonts w:cs="Arial"/>
                <w:b/>
                <w:bCs/>
                <w:color w:val="000000"/>
              </w:rPr>
              <w:t>Employee Benefits (Note 12(a)) – Staff Partnership Agreement</w:t>
            </w:r>
          </w:p>
        </w:tc>
        <w:tc>
          <w:tcPr>
            <w:tcW w:w="731" w:type="dxa"/>
            <w:tcBorders>
              <w:top w:val="nil"/>
              <w:left w:val="nil"/>
              <w:bottom w:val="nil"/>
              <w:right w:val="nil"/>
            </w:tcBorders>
            <w:shd w:val="clear" w:color="auto" w:fill="auto"/>
            <w:vAlign w:val="center"/>
            <w:hideMark/>
          </w:tcPr>
          <w:p w14:paraId="5A15639B"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019B26E0" w14:textId="77777777" w:rsidR="0097090C" w:rsidRPr="00CC2A02" w:rsidRDefault="0097090C" w:rsidP="0097090C">
            <w:pPr>
              <w:jc w:val="right"/>
              <w:rPr>
                <w:rFonts w:cs="Arial"/>
                <w:color w:val="000000"/>
              </w:rPr>
            </w:pPr>
            <w:r w:rsidRPr="00CC2A02">
              <w:rPr>
                <w:rFonts w:cs="Arial"/>
                <w:color w:val="000000"/>
              </w:rPr>
              <w:t> </w:t>
            </w:r>
          </w:p>
        </w:tc>
        <w:tc>
          <w:tcPr>
            <w:tcW w:w="1267" w:type="dxa"/>
            <w:tcBorders>
              <w:top w:val="nil"/>
              <w:left w:val="nil"/>
              <w:bottom w:val="nil"/>
              <w:right w:val="nil"/>
            </w:tcBorders>
            <w:shd w:val="clear" w:color="auto" w:fill="auto"/>
            <w:vAlign w:val="center"/>
            <w:hideMark/>
          </w:tcPr>
          <w:p w14:paraId="382F12A0" w14:textId="77777777" w:rsidR="0097090C" w:rsidRPr="00CC2A02" w:rsidRDefault="0097090C" w:rsidP="0097090C">
            <w:pPr>
              <w:jc w:val="right"/>
              <w:rPr>
                <w:rFonts w:cs="Arial"/>
                <w:color w:val="000000"/>
              </w:rPr>
            </w:pPr>
          </w:p>
        </w:tc>
      </w:tr>
      <w:tr w:rsidR="0097090C" w:rsidRPr="00CC2A02" w14:paraId="57FC7F9D" w14:textId="77777777" w:rsidTr="0097090C">
        <w:trPr>
          <w:trHeight w:val="255"/>
        </w:trPr>
        <w:tc>
          <w:tcPr>
            <w:tcW w:w="6095" w:type="dxa"/>
            <w:tcBorders>
              <w:top w:val="nil"/>
              <w:left w:val="nil"/>
              <w:bottom w:val="single" w:sz="4" w:space="0" w:color="auto"/>
              <w:right w:val="nil"/>
            </w:tcBorders>
            <w:shd w:val="clear" w:color="auto" w:fill="auto"/>
            <w:noWrap/>
            <w:vAlign w:val="center"/>
            <w:hideMark/>
          </w:tcPr>
          <w:p w14:paraId="3B8819D5" w14:textId="77777777" w:rsidR="0097090C" w:rsidRPr="00CC2A02" w:rsidRDefault="0097090C" w:rsidP="0097090C">
            <w:pPr>
              <w:rPr>
                <w:rFonts w:cs="Arial"/>
                <w:color w:val="000000"/>
              </w:rPr>
            </w:pPr>
            <w:r w:rsidRPr="00CC2A02">
              <w:rPr>
                <w:rFonts w:cs="Arial"/>
                <w:color w:val="000000"/>
              </w:rPr>
              <w:t xml:space="preserve">Staff Partnership Agreement increase effective 1 </w:t>
            </w:r>
            <w:r>
              <w:rPr>
                <w:rFonts w:cs="Arial"/>
                <w:color w:val="000000"/>
              </w:rPr>
              <w:t>January</w:t>
            </w:r>
            <w:r w:rsidRPr="00CC2A02">
              <w:rPr>
                <w:rFonts w:cs="Arial"/>
                <w:color w:val="000000"/>
              </w:rPr>
              <w:t xml:space="preserve"> 2016</w:t>
            </w:r>
          </w:p>
        </w:tc>
        <w:tc>
          <w:tcPr>
            <w:tcW w:w="731" w:type="dxa"/>
            <w:tcBorders>
              <w:top w:val="nil"/>
              <w:left w:val="nil"/>
              <w:bottom w:val="single" w:sz="4" w:space="0" w:color="auto"/>
              <w:right w:val="nil"/>
            </w:tcBorders>
            <w:shd w:val="clear" w:color="auto" w:fill="auto"/>
            <w:vAlign w:val="center"/>
            <w:hideMark/>
          </w:tcPr>
          <w:p w14:paraId="6F53C576" w14:textId="77777777" w:rsidR="0097090C" w:rsidRPr="00CC2A02" w:rsidRDefault="0097090C" w:rsidP="0097090C">
            <w:pPr>
              <w:jc w:val="center"/>
              <w:rPr>
                <w:rFonts w:cs="Arial"/>
                <w:color w:val="000000"/>
              </w:rPr>
            </w:pPr>
            <w:r w:rsidRPr="00CC2A02">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7BCB374D" w14:textId="77777777" w:rsidR="0097090C" w:rsidRPr="00CC2A02" w:rsidRDefault="0097090C" w:rsidP="0097090C">
            <w:pPr>
              <w:jc w:val="right"/>
              <w:rPr>
                <w:rFonts w:cs="Arial"/>
                <w:color w:val="000000"/>
              </w:rPr>
            </w:pPr>
            <w:r w:rsidRPr="00CC2A02">
              <w:rPr>
                <w:rFonts w:cs="Arial"/>
                <w:color w:val="000000"/>
              </w:rPr>
              <w:t>360</w:t>
            </w:r>
          </w:p>
        </w:tc>
        <w:tc>
          <w:tcPr>
            <w:tcW w:w="1267" w:type="dxa"/>
            <w:tcBorders>
              <w:top w:val="nil"/>
              <w:left w:val="nil"/>
              <w:bottom w:val="single" w:sz="4" w:space="0" w:color="auto"/>
              <w:right w:val="nil"/>
            </w:tcBorders>
            <w:shd w:val="clear" w:color="auto" w:fill="auto"/>
            <w:vAlign w:val="center"/>
            <w:hideMark/>
          </w:tcPr>
          <w:p w14:paraId="3E15737E" w14:textId="77777777" w:rsidR="0097090C" w:rsidRPr="00CC2A02" w:rsidRDefault="0097090C" w:rsidP="0097090C">
            <w:pPr>
              <w:jc w:val="right"/>
              <w:rPr>
                <w:rFonts w:cs="Arial"/>
                <w:color w:val="000000"/>
              </w:rPr>
            </w:pPr>
            <w:r w:rsidRPr="00CC2A02">
              <w:rPr>
                <w:rFonts w:cs="Arial"/>
                <w:color w:val="000000"/>
              </w:rPr>
              <w:t>0</w:t>
            </w:r>
          </w:p>
        </w:tc>
      </w:tr>
      <w:tr w:rsidR="0097090C" w:rsidRPr="00CC2A02" w14:paraId="15C7B819" w14:textId="77777777" w:rsidTr="0097090C">
        <w:trPr>
          <w:trHeight w:val="255"/>
        </w:trPr>
        <w:tc>
          <w:tcPr>
            <w:tcW w:w="6095" w:type="dxa"/>
            <w:tcBorders>
              <w:top w:val="nil"/>
              <w:left w:val="nil"/>
              <w:bottom w:val="nil"/>
              <w:right w:val="nil"/>
            </w:tcBorders>
            <w:shd w:val="clear" w:color="auto" w:fill="auto"/>
            <w:vAlign w:val="center"/>
            <w:hideMark/>
          </w:tcPr>
          <w:p w14:paraId="0CB897E2" w14:textId="44A2CA7A" w:rsidR="0097090C" w:rsidRPr="00CC2A02"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20A77785"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3A0E88E" w14:textId="77777777" w:rsidR="0097090C" w:rsidRPr="00CC2A02" w:rsidRDefault="0097090C" w:rsidP="0097090C">
            <w:pPr>
              <w:jc w:val="right"/>
              <w:rPr>
                <w:rFonts w:cs="Arial"/>
                <w:color w:val="000000"/>
              </w:rPr>
            </w:pPr>
            <w:r w:rsidRPr="00CC2A02">
              <w:rPr>
                <w:rFonts w:cs="Arial"/>
                <w:color w:val="000000"/>
              </w:rPr>
              <w:t>9,016</w:t>
            </w:r>
          </w:p>
        </w:tc>
        <w:tc>
          <w:tcPr>
            <w:tcW w:w="1267" w:type="dxa"/>
            <w:tcBorders>
              <w:top w:val="nil"/>
              <w:left w:val="nil"/>
              <w:bottom w:val="nil"/>
              <w:right w:val="nil"/>
            </w:tcBorders>
            <w:shd w:val="clear" w:color="auto" w:fill="auto"/>
            <w:vAlign w:val="center"/>
            <w:hideMark/>
          </w:tcPr>
          <w:p w14:paraId="5F06751D" w14:textId="77777777" w:rsidR="0097090C" w:rsidRPr="00CC2A02" w:rsidRDefault="0097090C" w:rsidP="0097090C">
            <w:pPr>
              <w:jc w:val="right"/>
              <w:rPr>
                <w:rFonts w:cs="Arial"/>
                <w:color w:val="000000"/>
              </w:rPr>
            </w:pPr>
            <w:r w:rsidRPr="00CC2A02">
              <w:rPr>
                <w:rFonts w:cs="Arial"/>
                <w:color w:val="000000"/>
              </w:rPr>
              <w:t>7,940</w:t>
            </w:r>
          </w:p>
        </w:tc>
      </w:tr>
      <w:tr w:rsidR="0097090C" w:rsidRPr="00CC2A02" w14:paraId="4B61FC23" w14:textId="77777777" w:rsidTr="0097090C">
        <w:trPr>
          <w:trHeight w:val="255"/>
        </w:trPr>
        <w:tc>
          <w:tcPr>
            <w:tcW w:w="6095" w:type="dxa"/>
            <w:tcBorders>
              <w:top w:val="nil"/>
              <w:left w:val="nil"/>
              <w:bottom w:val="nil"/>
              <w:right w:val="nil"/>
            </w:tcBorders>
            <w:shd w:val="clear" w:color="auto" w:fill="auto"/>
            <w:noWrap/>
            <w:vAlign w:val="center"/>
            <w:hideMark/>
          </w:tcPr>
          <w:p w14:paraId="29EE5367" w14:textId="77777777" w:rsidR="0097090C" w:rsidRPr="00CC2A02" w:rsidRDefault="0097090C" w:rsidP="0097090C">
            <w:pPr>
              <w:pStyle w:val="Heading5"/>
            </w:pPr>
            <w:r w:rsidRPr="00CC2A02">
              <w:t>Provisions related to employee benefit on-costs (Note 12(a)):</w:t>
            </w:r>
          </w:p>
        </w:tc>
        <w:tc>
          <w:tcPr>
            <w:tcW w:w="731" w:type="dxa"/>
            <w:tcBorders>
              <w:top w:val="nil"/>
              <w:left w:val="nil"/>
              <w:bottom w:val="nil"/>
              <w:right w:val="nil"/>
            </w:tcBorders>
            <w:shd w:val="clear" w:color="auto" w:fill="auto"/>
            <w:vAlign w:val="center"/>
            <w:hideMark/>
          </w:tcPr>
          <w:p w14:paraId="3702525D"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6F1E793F" w14:textId="77777777" w:rsidR="0097090C" w:rsidRPr="00CC2A02" w:rsidRDefault="0097090C" w:rsidP="0097090C">
            <w:pPr>
              <w:jc w:val="right"/>
              <w:rPr>
                <w:rFonts w:cs="Arial"/>
                <w:color w:val="000000"/>
              </w:rPr>
            </w:pPr>
            <w:r w:rsidRPr="00CC2A02">
              <w:rPr>
                <w:rFonts w:cs="Arial"/>
                <w:color w:val="000000"/>
              </w:rPr>
              <w:t> </w:t>
            </w:r>
          </w:p>
        </w:tc>
        <w:tc>
          <w:tcPr>
            <w:tcW w:w="1267" w:type="dxa"/>
            <w:tcBorders>
              <w:top w:val="nil"/>
              <w:left w:val="nil"/>
              <w:bottom w:val="nil"/>
              <w:right w:val="nil"/>
            </w:tcBorders>
            <w:shd w:val="clear" w:color="auto" w:fill="auto"/>
            <w:vAlign w:val="center"/>
            <w:hideMark/>
          </w:tcPr>
          <w:p w14:paraId="7F1E6051" w14:textId="77777777" w:rsidR="0097090C" w:rsidRPr="00CC2A02" w:rsidRDefault="0097090C" w:rsidP="0097090C">
            <w:pPr>
              <w:jc w:val="right"/>
              <w:rPr>
                <w:rFonts w:cs="Arial"/>
                <w:color w:val="000000"/>
              </w:rPr>
            </w:pPr>
          </w:p>
        </w:tc>
      </w:tr>
      <w:tr w:rsidR="0097090C" w:rsidRPr="00CC2A02" w14:paraId="38E041C8" w14:textId="77777777" w:rsidTr="0097090C">
        <w:trPr>
          <w:trHeight w:val="255"/>
        </w:trPr>
        <w:tc>
          <w:tcPr>
            <w:tcW w:w="6095" w:type="dxa"/>
            <w:tcBorders>
              <w:top w:val="nil"/>
              <w:left w:val="nil"/>
              <w:bottom w:val="nil"/>
              <w:right w:val="nil"/>
            </w:tcBorders>
            <w:shd w:val="clear" w:color="auto" w:fill="auto"/>
            <w:vAlign w:val="center"/>
            <w:hideMark/>
          </w:tcPr>
          <w:p w14:paraId="0912962C" w14:textId="77777777" w:rsidR="0097090C" w:rsidRPr="00CC2A02" w:rsidRDefault="0097090C" w:rsidP="0097090C">
            <w:pPr>
              <w:rPr>
                <w:rFonts w:cs="Arial"/>
                <w:color w:val="000000"/>
              </w:rPr>
            </w:pPr>
            <w:r w:rsidRPr="00CC2A02">
              <w:rPr>
                <w:rFonts w:cs="Arial"/>
                <w:color w:val="000000"/>
              </w:rPr>
              <w:t>Unconditional and expected to be settled within 12 months**</w:t>
            </w:r>
          </w:p>
        </w:tc>
        <w:tc>
          <w:tcPr>
            <w:tcW w:w="731" w:type="dxa"/>
            <w:tcBorders>
              <w:top w:val="nil"/>
              <w:left w:val="nil"/>
              <w:bottom w:val="nil"/>
              <w:right w:val="nil"/>
            </w:tcBorders>
            <w:shd w:val="clear" w:color="auto" w:fill="auto"/>
            <w:vAlign w:val="center"/>
            <w:hideMark/>
          </w:tcPr>
          <w:p w14:paraId="2917C617"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10172B5D" w14:textId="77777777" w:rsidR="0097090C" w:rsidRPr="00CC2A02" w:rsidRDefault="0097090C" w:rsidP="0097090C">
            <w:pPr>
              <w:jc w:val="right"/>
              <w:rPr>
                <w:rFonts w:cs="Arial"/>
                <w:color w:val="000000"/>
              </w:rPr>
            </w:pPr>
            <w:r w:rsidRPr="00CC2A02">
              <w:rPr>
                <w:rFonts w:cs="Arial"/>
                <w:color w:val="000000"/>
              </w:rPr>
              <w:t>603</w:t>
            </w:r>
          </w:p>
        </w:tc>
        <w:tc>
          <w:tcPr>
            <w:tcW w:w="1267" w:type="dxa"/>
            <w:tcBorders>
              <w:top w:val="nil"/>
              <w:left w:val="nil"/>
              <w:bottom w:val="nil"/>
              <w:right w:val="nil"/>
            </w:tcBorders>
            <w:shd w:val="clear" w:color="auto" w:fill="auto"/>
            <w:vAlign w:val="center"/>
            <w:hideMark/>
          </w:tcPr>
          <w:p w14:paraId="63E73B71" w14:textId="77777777" w:rsidR="0097090C" w:rsidRPr="00CC2A02" w:rsidRDefault="0097090C" w:rsidP="0097090C">
            <w:pPr>
              <w:jc w:val="right"/>
              <w:rPr>
                <w:rFonts w:cs="Arial"/>
                <w:color w:val="000000"/>
              </w:rPr>
            </w:pPr>
            <w:r w:rsidRPr="00CC2A02">
              <w:rPr>
                <w:rFonts w:cs="Arial"/>
                <w:color w:val="000000"/>
              </w:rPr>
              <w:t>531</w:t>
            </w:r>
          </w:p>
        </w:tc>
      </w:tr>
      <w:tr w:rsidR="0097090C" w:rsidRPr="00CC2A02" w14:paraId="63ADA2BB"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0E48666F" w14:textId="77777777" w:rsidR="0097090C" w:rsidRPr="00CC2A02" w:rsidRDefault="0097090C" w:rsidP="0097090C">
            <w:pPr>
              <w:rPr>
                <w:rFonts w:cs="Arial"/>
                <w:color w:val="000000"/>
              </w:rPr>
            </w:pPr>
            <w:r w:rsidRPr="00CC2A02">
              <w:rPr>
                <w:rFonts w:cs="Arial"/>
                <w:color w:val="000000"/>
              </w:rPr>
              <w:t>Unconditional and expected to be settled after 12 months***</w:t>
            </w:r>
          </w:p>
        </w:tc>
        <w:tc>
          <w:tcPr>
            <w:tcW w:w="731" w:type="dxa"/>
            <w:tcBorders>
              <w:top w:val="nil"/>
              <w:left w:val="nil"/>
              <w:bottom w:val="single" w:sz="4" w:space="0" w:color="auto"/>
              <w:right w:val="nil"/>
            </w:tcBorders>
            <w:shd w:val="clear" w:color="auto" w:fill="auto"/>
            <w:vAlign w:val="center"/>
            <w:hideMark/>
          </w:tcPr>
          <w:p w14:paraId="0A8E5C76" w14:textId="77777777" w:rsidR="0097090C" w:rsidRPr="00CC2A02" w:rsidRDefault="0097090C" w:rsidP="0097090C">
            <w:pPr>
              <w:jc w:val="center"/>
              <w:rPr>
                <w:rFonts w:cs="Arial"/>
                <w:color w:val="000000"/>
              </w:rPr>
            </w:pPr>
            <w:r w:rsidRPr="00CC2A02">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127DCDD2" w14:textId="77777777" w:rsidR="0097090C" w:rsidRPr="00CC2A02" w:rsidRDefault="0097090C" w:rsidP="0097090C">
            <w:pPr>
              <w:jc w:val="right"/>
              <w:rPr>
                <w:rFonts w:cs="Arial"/>
                <w:color w:val="000000"/>
              </w:rPr>
            </w:pPr>
            <w:r w:rsidRPr="00CC2A02">
              <w:rPr>
                <w:rFonts w:cs="Arial"/>
                <w:color w:val="000000"/>
              </w:rPr>
              <w:t>875</w:t>
            </w:r>
          </w:p>
        </w:tc>
        <w:tc>
          <w:tcPr>
            <w:tcW w:w="1267" w:type="dxa"/>
            <w:tcBorders>
              <w:top w:val="nil"/>
              <w:left w:val="nil"/>
              <w:bottom w:val="single" w:sz="4" w:space="0" w:color="auto"/>
              <w:right w:val="nil"/>
            </w:tcBorders>
            <w:shd w:val="clear" w:color="auto" w:fill="auto"/>
            <w:vAlign w:val="center"/>
            <w:hideMark/>
          </w:tcPr>
          <w:p w14:paraId="7F4DB88B" w14:textId="77777777" w:rsidR="0097090C" w:rsidRPr="00CC2A02" w:rsidRDefault="0097090C" w:rsidP="0097090C">
            <w:pPr>
              <w:jc w:val="right"/>
              <w:rPr>
                <w:rFonts w:cs="Arial"/>
                <w:color w:val="000000"/>
              </w:rPr>
            </w:pPr>
            <w:r w:rsidRPr="00CC2A02">
              <w:rPr>
                <w:rFonts w:cs="Arial"/>
                <w:color w:val="000000"/>
              </w:rPr>
              <w:t>782</w:t>
            </w:r>
          </w:p>
        </w:tc>
      </w:tr>
      <w:tr w:rsidR="0097090C" w:rsidRPr="00CC2A02" w14:paraId="74C336E6" w14:textId="77777777" w:rsidTr="0097090C">
        <w:trPr>
          <w:trHeight w:val="255"/>
        </w:trPr>
        <w:tc>
          <w:tcPr>
            <w:tcW w:w="6095" w:type="dxa"/>
            <w:tcBorders>
              <w:top w:val="nil"/>
              <w:left w:val="nil"/>
              <w:bottom w:val="nil"/>
              <w:right w:val="nil"/>
            </w:tcBorders>
            <w:shd w:val="clear" w:color="auto" w:fill="auto"/>
            <w:vAlign w:val="center"/>
            <w:hideMark/>
          </w:tcPr>
          <w:p w14:paraId="1748D20D" w14:textId="77777777" w:rsidR="0097090C" w:rsidRPr="00CC2A02" w:rsidRDefault="0097090C" w:rsidP="0097090C">
            <w:pPr>
              <w:rPr>
                <w:rFonts w:cs="Arial"/>
                <w:color w:val="000000"/>
              </w:rPr>
            </w:pPr>
          </w:p>
        </w:tc>
        <w:tc>
          <w:tcPr>
            <w:tcW w:w="731" w:type="dxa"/>
            <w:tcBorders>
              <w:top w:val="nil"/>
              <w:left w:val="nil"/>
              <w:bottom w:val="nil"/>
              <w:right w:val="nil"/>
            </w:tcBorders>
            <w:shd w:val="clear" w:color="auto" w:fill="auto"/>
            <w:vAlign w:val="center"/>
            <w:hideMark/>
          </w:tcPr>
          <w:p w14:paraId="5FAF08B3"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8ED9BE9" w14:textId="77777777" w:rsidR="0097090C" w:rsidRPr="00CC2A02" w:rsidRDefault="0097090C" w:rsidP="0097090C">
            <w:pPr>
              <w:jc w:val="right"/>
              <w:rPr>
                <w:rFonts w:cs="Arial"/>
                <w:color w:val="000000"/>
              </w:rPr>
            </w:pPr>
            <w:r w:rsidRPr="00CC2A02">
              <w:rPr>
                <w:rFonts w:cs="Arial"/>
                <w:color w:val="000000"/>
              </w:rPr>
              <w:t>1,478</w:t>
            </w:r>
          </w:p>
        </w:tc>
        <w:tc>
          <w:tcPr>
            <w:tcW w:w="1267" w:type="dxa"/>
            <w:tcBorders>
              <w:top w:val="nil"/>
              <w:left w:val="nil"/>
              <w:bottom w:val="nil"/>
              <w:right w:val="nil"/>
            </w:tcBorders>
            <w:shd w:val="clear" w:color="auto" w:fill="auto"/>
            <w:vAlign w:val="center"/>
            <w:hideMark/>
          </w:tcPr>
          <w:p w14:paraId="2E830E2A" w14:textId="77777777" w:rsidR="0097090C" w:rsidRPr="00CC2A02" w:rsidRDefault="0097090C" w:rsidP="0097090C">
            <w:pPr>
              <w:jc w:val="right"/>
              <w:rPr>
                <w:rFonts w:cs="Arial"/>
                <w:color w:val="000000"/>
              </w:rPr>
            </w:pPr>
            <w:r w:rsidRPr="00CC2A02">
              <w:rPr>
                <w:rFonts w:cs="Arial"/>
                <w:color w:val="000000"/>
              </w:rPr>
              <w:t>1,313</w:t>
            </w:r>
          </w:p>
        </w:tc>
      </w:tr>
      <w:tr w:rsidR="0097090C" w:rsidRPr="00CC2A02" w14:paraId="0BDFEBF8" w14:textId="77777777" w:rsidTr="0097090C">
        <w:trPr>
          <w:trHeight w:val="300"/>
        </w:trPr>
        <w:tc>
          <w:tcPr>
            <w:tcW w:w="6095" w:type="dxa"/>
            <w:tcBorders>
              <w:top w:val="single" w:sz="4" w:space="0" w:color="auto"/>
              <w:left w:val="nil"/>
              <w:bottom w:val="single" w:sz="4" w:space="0" w:color="auto"/>
              <w:right w:val="nil"/>
            </w:tcBorders>
            <w:shd w:val="clear" w:color="auto" w:fill="auto"/>
            <w:vAlign w:val="center"/>
            <w:hideMark/>
          </w:tcPr>
          <w:p w14:paraId="001E0700" w14:textId="77777777" w:rsidR="0097090C" w:rsidRPr="00CC2A02" w:rsidRDefault="0097090C" w:rsidP="0097090C">
            <w:pPr>
              <w:rPr>
                <w:rFonts w:cs="Arial"/>
                <w:b/>
                <w:bCs/>
                <w:color w:val="000000"/>
              </w:rPr>
            </w:pPr>
            <w:r w:rsidRPr="00CC2A02">
              <w:rPr>
                <w:rFonts w:cs="Arial"/>
                <w:b/>
                <w:bCs/>
                <w:color w:val="000000"/>
              </w:rPr>
              <w:t>Total Current Provisions</w:t>
            </w:r>
          </w:p>
        </w:tc>
        <w:tc>
          <w:tcPr>
            <w:tcW w:w="731" w:type="dxa"/>
            <w:tcBorders>
              <w:top w:val="single" w:sz="4" w:space="0" w:color="auto"/>
              <w:left w:val="nil"/>
              <w:bottom w:val="single" w:sz="4" w:space="0" w:color="auto"/>
              <w:right w:val="nil"/>
            </w:tcBorders>
            <w:shd w:val="clear" w:color="auto" w:fill="auto"/>
            <w:vAlign w:val="center"/>
            <w:hideMark/>
          </w:tcPr>
          <w:p w14:paraId="1AFF3EC7" w14:textId="77777777" w:rsidR="0097090C" w:rsidRPr="00CC2A02" w:rsidRDefault="0097090C" w:rsidP="0097090C">
            <w:pPr>
              <w:jc w:val="center"/>
              <w:rPr>
                <w:rFonts w:cs="Arial"/>
                <w:b/>
                <w:bCs/>
                <w:color w:val="000000"/>
              </w:rPr>
            </w:pPr>
            <w:r w:rsidRPr="00CC2A02">
              <w:rPr>
                <w:rFonts w:cs="Arial"/>
                <w:b/>
                <w:b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4D181F7A" w14:textId="77777777" w:rsidR="0097090C" w:rsidRPr="00CC2A02" w:rsidRDefault="0097090C" w:rsidP="0097090C">
            <w:pPr>
              <w:jc w:val="right"/>
              <w:rPr>
                <w:rFonts w:cs="Arial"/>
                <w:b/>
                <w:bCs/>
                <w:color w:val="000000"/>
              </w:rPr>
            </w:pPr>
            <w:r w:rsidRPr="00CC2A02">
              <w:rPr>
                <w:rFonts w:cs="Arial"/>
                <w:b/>
                <w:bCs/>
                <w:color w:val="000000"/>
              </w:rPr>
              <w:t>10,494</w:t>
            </w:r>
          </w:p>
        </w:tc>
        <w:tc>
          <w:tcPr>
            <w:tcW w:w="1267" w:type="dxa"/>
            <w:tcBorders>
              <w:top w:val="single" w:sz="4" w:space="0" w:color="auto"/>
              <w:left w:val="nil"/>
              <w:bottom w:val="single" w:sz="4" w:space="0" w:color="auto"/>
              <w:right w:val="nil"/>
            </w:tcBorders>
            <w:shd w:val="clear" w:color="auto" w:fill="auto"/>
            <w:vAlign w:val="center"/>
            <w:hideMark/>
          </w:tcPr>
          <w:p w14:paraId="317C629D" w14:textId="77777777" w:rsidR="0097090C" w:rsidRPr="00CC2A02" w:rsidRDefault="0097090C" w:rsidP="0097090C">
            <w:pPr>
              <w:jc w:val="right"/>
              <w:rPr>
                <w:rFonts w:cs="Arial"/>
                <w:b/>
                <w:bCs/>
                <w:color w:val="000000"/>
              </w:rPr>
            </w:pPr>
            <w:r w:rsidRPr="00CC2A02">
              <w:rPr>
                <w:rFonts w:cs="Arial"/>
                <w:b/>
                <w:bCs/>
                <w:color w:val="000000"/>
              </w:rPr>
              <w:t>9,253</w:t>
            </w:r>
          </w:p>
        </w:tc>
      </w:tr>
    </w:tbl>
    <w:p w14:paraId="286C2EC9" w14:textId="77777777" w:rsidR="0097090C" w:rsidRDefault="0097090C">
      <w:r>
        <w:br w:type="page"/>
      </w:r>
    </w:p>
    <w:tbl>
      <w:tblPr>
        <w:tblW w:w="9360" w:type="dxa"/>
        <w:tblInd w:w="108" w:type="dxa"/>
        <w:tblLook w:val="04A0" w:firstRow="1" w:lastRow="0" w:firstColumn="1" w:lastColumn="0" w:noHBand="0" w:noVBand="1"/>
      </w:tblPr>
      <w:tblGrid>
        <w:gridCol w:w="6095"/>
        <w:gridCol w:w="731"/>
        <w:gridCol w:w="1267"/>
        <w:gridCol w:w="1267"/>
      </w:tblGrid>
      <w:tr w:rsidR="0097090C" w:rsidRPr="00CC2A02" w14:paraId="79C72961" w14:textId="77777777" w:rsidTr="0097090C">
        <w:trPr>
          <w:trHeight w:val="300"/>
        </w:trPr>
        <w:tc>
          <w:tcPr>
            <w:tcW w:w="6095" w:type="dxa"/>
            <w:tcBorders>
              <w:top w:val="single" w:sz="4" w:space="0" w:color="auto"/>
              <w:left w:val="nil"/>
              <w:bottom w:val="single" w:sz="4" w:space="0" w:color="auto"/>
              <w:right w:val="nil"/>
            </w:tcBorders>
            <w:shd w:val="clear" w:color="auto" w:fill="auto"/>
            <w:vAlign w:val="center"/>
          </w:tcPr>
          <w:p w14:paraId="594B9681" w14:textId="77777777" w:rsidR="0097090C" w:rsidRPr="00CC2A02" w:rsidRDefault="0097090C" w:rsidP="0097090C">
            <w:pPr>
              <w:rPr>
                <w:rFonts w:cs="Arial"/>
                <w:b/>
                <w:bCs/>
                <w:color w:val="000000"/>
              </w:rPr>
            </w:pPr>
          </w:p>
        </w:tc>
        <w:tc>
          <w:tcPr>
            <w:tcW w:w="731" w:type="dxa"/>
            <w:tcBorders>
              <w:top w:val="single" w:sz="4" w:space="0" w:color="auto"/>
              <w:left w:val="nil"/>
              <w:bottom w:val="single" w:sz="4" w:space="0" w:color="auto"/>
              <w:right w:val="nil"/>
            </w:tcBorders>
            <w:shd w:val="clear" w:color="auto" w:fill="auto"/>
            <w:vAlign w:val="center"/>
          </w:tcPr>
          <w:p w14:paraId="43D9C9A0" w14:textId="77777777" w:rsidR="0097090C" w:rsidRPr="00CC2A02" w:rsidRDefault="0097090C" w:rsidP="0097090C">
            <w:pPr>
              <w:jc w:val="center"/>
              <w:rPr>
                <w:rFonts w:cs="Arial"/>
                <w:b/>
                <w:bCs/>
                <w:color w:val="000000"/>
              </w:rPr>
            </w:pPr>
          </w:p>
        </w:tc>
        <w:tc>
          <w:tcPr>
            <w:tcW w:w="1267" w:type="dxa"/>
            <w:tcBorders>
              <w:top w:val="single" w:sz="4" w:space="0" w:color="auto"/>
              <w:left w:val="nil"/>
              <w:bottom w:val="single" w:sz="4" w:space="0" w:color="auto"/>
              <w:right w:val="nil"/>
            </w:tcBorders>
            <w:shd w:val="clear" w:color="000000" w:fill="D9D9D9"/>
            <w:vAlign w:val="center"/>
          </w:tcPr>
          <w:p w14:paraId="1518D525" w14:textId="77777777" w:rsidR="0097090C" w:rsidRPr="00CC2A02" w:rsidRDefault="0097090C" w:rsidP="0097090C">
            <w:pPr>
              <w:jc w:val="right"/>
              <w:rPr>
                <w:rFonts w:cs="Arial"/>
                <w:b/>
                <w:bCs/>
                <w:color w:val="000000"/>
              </w:rPr>
            </w:pPr>
          </w:p>
        </w:tc>
        <w:tc>
          <w:tcPr>
            <w:tcW w:w="1267" w:type="dxa"/>
            <w:tcBorders>
              <w:top w:val="single" w:sz="4" w:space="0" w:color="auto"/>
              <w:left w:val="nil"/>
              <w:bottom w:val="single" w:sz="4" w:space="0" w:color="auto"/>
              <w:right w:val="nil"/>
            </w:tcBorders>
            <w:shd w:val="clear" w:color="auto" w:fill="auto"/>
            <w:vAlign w:val="center"/>
          </w:tcPr>
          <w:p w14:paraId="74B5B3FF" w14:textId="77777777" w:rsidR="0097090C" w:rsidRPr="00CC2A02" w:rsidRDefault="0097090C" w:rsidP="0097090C">
            <w:pPr>
              <w:jc w:val="right"/>
              <w:rPr>
                <w:rFonts w:cs="Arial"/>
                <w:b/>
                <w:bCs/>
                <w:color w:val="000000"/>
              </w:rPr>
            </w:pPr>
          </w:p>
        </w:tc>
      </w:tr>
      <w:tr w:rsidR="0097090C" w:rsidRPr="00CC2A02" w14:paraId="66DCBE87" w14:textId="77777777" w:rsidTr="0097090C">
        <w:trPr>
          <w:trHeight w:val="255"/>
        </w:trPr>
        <w:tc>
          <w:tcPr>
            <w:tcW w:w="6095" w:type="dxa"/>
            <w:tcBorders>
              <w:top w:val="nil"/>
              <w:left w:val="nil"/>
              <w:bottom w:val="nil"/>
              <w:right w:val="nil"/>
            </w:tcBorders>
            <w:shd w:val="clear" w:color="auto" w:fill="auto"/>
            <w:vAlign w:val="center"/>
            <w:hideMark/>
          </w:tcPr>
          <w:p w14:paraId="688B763B" w14:textId="77777777" w:rsidR="0097090C" w:rsidRPr="00CC2A02" w:rsidRDefault="0097090C" w:rsidP="0097090C">
            <w:pPr>
              <w:rPr>
                <w:rFonts w:cs="Arial"/>
                <w:b/>
                <w:bCs/>
                <w:color w:val="000000"/>
              </w:rPr>
            </w:pPr>
            <w:r w:rsidRPr="00CC2A02">
              <w:rPr>
                <w:rFonts w:cs="Arial"/>
                <w:b/>
                <w:bCs/>
                <w:color w:val="000000"/>
              </w:rPr>
              <w:t>Non-Current Provisions</w:t>
            </w:r>
          </w:p>
        </w:tc>
        <w:tc>
          <w:tcPr>
            <w:tcW w:w="731" w:type="dxa"/>
            <w:tcBorders>
              <w:top w:val="nil"/>
              <w:left w:val="nil"/>
              <w:bottom w:val="nil"/>
              <w:right w:val="nil"/>
            </w:tcBorders>
            <w:shd w:val="clear" w:color="auto" w:fill="auto"/>
            <w:vAlign w:val="center"/>
            <w:hideMark/>
          </w:tcPr>
          <w:p w14:paraId="4943A959"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43C49519" w14:textId="77777777" w:rsidR="0097090C" w:rsidRPr="00CC2A02" w:rsidRDefault="0097090C" w:rsidP="0097090C">
            <w:pPr>
              <w:jc w:val="right"/>
              <w:rPr>
                <w:rFonts w:cs="Arial"/>
                <w:color w:val="000000"/>
              </w:rPr>
            </w:pPr>
            <w:r w:rsidRPr="00CC2A02">
              <w:rPr>
                <w:rFonts w:cs="Arial"/>
                <w:color w:val="000000"/>
              </w:rPr>
              <w:t> </w:t>
            </w:r>
          </w:p>
        </w:tc>
        <w:tc>
          <w:tcPr>
            <w:tcW w:w="1267" w:type="dxa"/>
            <w:tcBorders>
              <w:top w:val="nil"/>
              <w:left w:val="nil"/>
              <w:bottom w:val="nil"/>
              <w:right w:val="nil"/>
            </w:tcBorders>
            <w:shd w:val="clear" w:color="auto" w:fill="auto"/>
            <w:vAlign w:val="center"/>
            <w:hideMark/>
          </w:tcPr>
          <w:p w14:paraId="6798AAC9" w14:textId="77777777" w:rsidR="0097090C" w:rsidRPr="00CC2A02" w:rsidRDefault="0097090C" w:rsidP="0097090C">
            <w:pPr>
              <w:jc w:val="right"/>
              <w:rPr>
                <w:rFonts w:cs="Arial"/>
                <w:color w:val="000000"/>
              </w:rPr>
            </w:pPr>
          </w:p>
        </w:tc>
      </w:tr>
      <w:tr w:rsidR="0097090C" w:rsidRPr="00CC2A02" w14:paraId="6A095117" w14:textId="77777777" w:rsidTr="0097090C">
        <w:trPr>
          <w:trHeight w:val="255"/>
        </w:trPr>
        <w:tc>
          <w:tcPr>
            <w:tcW w:w="6095" w:type="dxa"/>
            <w:tcBorders>
              <w:top w:val="nil"/>
              <w:left w:val="nil"/>
              <w:bottom w:val="nil"/>
              <w:right w:val="nil"/>
            </w:tcBorders>
            <w:shd w:val="clear" w:color="auto" w:fill="auto"/>
            <w:vAlign w:val="center"/>
            <w:hideMark/>
          </w:tcPr>
          <w:p w14:paraId="3D863542" w14:textId="77777777" w:rsidR="0097090C" w:rsidRPr="00CC2A02" w:rsidRDefault="0097090C" w:rsidP="0097090C">
            <w:pPr>
              <w:rPr>
                <w:rFonts w:cs="Arial"/>
                <w:color w:val="000000"/>
              </w:rPr>
            </w:pPr>
            <w:r w:rsidRPr="00CC2A02">
              <w:rPr>
                <w:rFonts w:cs="Arial"/>
                <w:color w:val="000000"/>
              </w:rPr>
              <w:t>Employee Benefits (Note 12(a))***</w:t>
            </w:r>
          </w:p>
        </w:tc>
        <w:tc>
          <w:tcPr>
            <w:tcW w:w="731" w:type="dxa"/>
            <w:tcBorders>
              <w:top w:val="nil"/>
              <w:left w:val="nil"/>
              <w:bottom w:val="nil"/>
              <w:right w:val="nil"/>
            </w:tcBorders>
            <w:shd w:val="clear" w:color="auto" w:fill="auto"/>
            <w:vAlign w:val="center"/>
            <w:hideMark/>
          </w:tcPr>
          <w:p w14:paraId="60B5F440"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F681BD5" w14:textId="77777777" w:rsidR="0097090C" w:rsidRPr="00CC2A02" w:rsidRDefault="0097090C" w:rsidP="0097090C">
            <w:pPr>
              <w:jc w:val="right"/>
              <w:rPr>
                <w:rFonts w:cs="Arial"/>
                <w:color w:val="000000"/>
              </w:rPr>
            </w:pPr>
            <w:r w:rsidRPr="00CC2A02">
              <w:rPr>
                <w:rFonts w:cs="Arial"/>
                <w:color w:val="000000"/>
              </w:rPr>
              <w:t>720</w:t>
            </w:r>
          </w:p>
        </w:tc>
        <w:tc>
          <w:tcPr>
            <w:tcW w:w="1267" w:type="dxa"/>
            <w:tcBorders>
              <w:top w:val="nil"/>
              <w:left w:val="nil"/>
              <w:bottom w:val="nil"/>
              <w:right w:val="nil"/>
            </w:tcBorders>
            <w:shd w:val="clear" w:color="auto" w:fill="auto"/>
            <w:vAlign w:val="center"/>
            <w:hideMark/>
          </w:tcPr>
          <w:p w14:paraId="18009964" w14:textId="77777777" w:rsidR="0097090C" w:rsidRPr="00CC2A02" w:rsidRDefault="0097090C" w:rsidP="0097090C">
            <w:pPr>
              <w:jc w:val="right"/>
              <w:rPr>
                <w:rFonts w:cs="Arial"/>
                <w:color w:val="000000"/>
              </w:rPr>
            </w:pPr>
            <w:r w:rsidRPr="00CC2A02">
              <w:rPr>
                <w:rFonts w:cs="Arial"/>
                <w:color w:val="000000"/>
              </w:rPr>
              <w:t>721</w:t>
            </w:r>
          </w:p>
        </w:tc>
      </w:tr>
      <w:tr w:rsidR="0097090C" w:rsidRPr="00CC2A02" w14:paraId="4D74248A" w14:textId="77777777" w:rsidTr="0097090C">
        <w:trPr>
          <w:trHeight w:val="255"/>
        </w:trPr>
        <w:tc>
          <w:tcPr>
            <w:tcW w:w="6095" w:type="dxa"/>
            <w:tcBorders>
              <w:top w:val="nil"/>
              <w:left w:val="nil"/>
              <w:bottom w:val="nil"/>
              <w:right w:val="nil"/>
            </w:tcBorders>
            <w:shd w:val="clear" w:color="auto" w:fill="auto"/>
            <w:vAlign w:val="center"/>
            <w:hideMark/>
          </w:tcPr>
          <w:p w14:paraId="0278CF4D" w14:textId="77777777" w:rsidR="0097090C" w:rsidRPr="00CC2A02" w:rsidRDefault="0097090C" w:rsidP="0097090C">
            <w:pPr>
              <w:rPr>
                <w:rFonts w:cs="Arial"/>
                <w:color w:val="000000"/>
              </w:rPr>
            </w:pPr>
            <w:r w:rsidRPr="00CC2A02">
              <w:rPr>
                <w:rFonts w:cs="Arial"/>
                <w:color w:val="000000"/>
              </w:rPr>
              <w:t>Employee Benefits on-costs***</w:t>
            </w:r>
          </w:p>
        </w:tc>
        <w:tc>
          <w:tcPr>
            <w:tcW w:w="731" w:type="dxa"/>
            <w:tcBorders>
              <w:top w:val="nil"/>
              <w:left w:val="nil"/>
              <w:bottom w:val="nil"/>
              <w:right w:val="nil"/>
            </w:tcBorders>
            <w:shd w:val="clear" w:color="auto" w:fill="auto"/>
            <w:vAlign w:val="center"/>
            <w:hideMark/>
          </w:tcPr>
          <w:p w14:paraId="6FB57EAF" w14:textId="77777777" w:rsidR="0097090C" w:rsidRPr="00CC2A02"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20C9E4E2" w14:textId="77777777" w:rsidR="0097090C" w:rsidRPr="00CC2A02" w:rsidRDefault="0097090C" w:rsidP="0097090C">
            <w:pPr>
              <w:jc w:val="right"/>
              <w:rPr>
                <w:rFonts w:cs="Arial"/>
                <w:color w:val="000000"/>
              </w:rPr>
            </w:pPr>
            <w:r w:rsidRPr="00CC2A02">
              <w:rPr>
                <w:rFonts w:cs="Arial"/>
                <w:color w:val="000000"/>
              </w:rPr>
              <w:t>117</w:t>
            </w:r>
          </w:p>
        </w:tc>
        <w:tc>
          <w:tcPr>
            <w:tcW w:w="1267" w:type="dxa"/>
            <w:tcBorders>
              <w:top w:val="nil"/>
              <w:left w:val="nil"/>
              <w:bottom w:val="nil"/>
              <w:right w:val="nil"/>
            </w:tcBorders>
            <w:shd w:val="clear" w:color="auto" w:fill="auto"/>
            <w:vAlign w:val="center"/>
            <w:hideMark/>
          </w:tcPr>
          <w:p w14:paraId="7C5E6C78" w14:textId="77777777" w:rsidR="0097090C" w:rsidRPr="00CC2A02" w:rsidRDefault="0097090C" w:rsidP="0097090C">
            <w:pPr>
              <w:jc w:val="right"/>
              <w:rPr>
                <w:rFonts w:cs="Arial"/>
                <w:color w:val="000000"/>
              </w:rPr>
            </w:pPr>
            <w:r w:rsidRPr="00CC2A02">
              <w:rPr>
                <w:rFonts w:cs="Arial"/>
                <w:color w:val="000000"/>
              </w:rPr>
              <w:t>117</w:t>
            </w:r>
          </w:p>
        </w:tc>
      </w:tr>
      <w:tr w:rsidR="0097090C" w:rsidRPr="00CC2A02" w14:paraId="5EBAC46D" w14:textId="77777777" w:rsidTr="0097090C">
        <w:trPr>
          <w:trHeight w:val="300"/>
        </w:trPr>
        <w:tc>
          <w:tcPr>
            <w:tcW w:w="6095" w:type="dxa"/>
            <w:tcBorders>
              <w:top w:val="single" w:sz="4" w:space="0" w:color="auto"/>
              <w:left w:val="nil"/>
              <w:bottom w:val="single" w:sz="4" w:space="0" w:color="auto"/>
              <w:right w:val="nil"/>
            </w:tcBorders>
            <w:shd w:val="clear" w:color="auto" w:fill="auto"/>
            <w:vAlign w:val="center"/>
            <w:hideMark/>
          </w:tcPr>
          <w:p w14:paraId="7BAAA02A" w14:textId="77777777" w:rsidR="0097090C" w:rsidRPr="00CC2A02" w:rsidRDefault="0097090C" w:rsidP="0097090C">
            <w:pPr>
              <w:rPr>
                <w:rFonts w:cs="Arial"/>
                <w:b/>
                <w:bCs/>
                <w:color w:val="000000"/>
              </w:rPr>
            </w:pPr>
            <w:r w:rsidRPr="00CC2A02">
              <w:rPr>
                <w:rFonts w:cs="Arial"/>
                <w:b/>
                <w:bCs/>
                <w:color w:val="000000"/>
              </w:rPr>
              <w:t>Total Non-Current Provisions</w:t>
            </w:r>
          </w:p>
        </w:tc>
        <w:tc>
          <w:tcPr>
            <w:tcW w:w="731" w:type="dxa"/>
            <w:tcBorders>
              <w:top w:val="single" w:sz="4" w:space="0" w:color="auto"/>
              <w:left w:val="nil"/>
              <w:bottom w:val="single" w:sz="4" w:space="0" w:color="auto"/>
              <w:right w:val="nil"/>
            </w:tcBorders>
            <w:shd w:val="clear" w:color="auto" w:fill="auto"/>
            <w:vAlign w:val="center"/>
            <w:hideMark/>
          </w:tcPr>
          <w:p w14:paraId="5BCF69E3" w14:textId="77777777" w:rsidR="0097090C" w:rsidRPr="00CC2A02" w:rsidRDefault="0097090C" w:rsidP="0097090C">
            <w:pPr>
              <w:jc w:val="center"/>
              <w:rPr>
                <w:rFonts w:cs="Arial"/>
                <w:b/>
                <w:bCs/>
                <w:color w:val="000000"/>
              </w:rPr>
            </w:pPr>
            <w:r w:rsidRPr="00CC2A02">
              <w:rPr>
                <w:rFonts w:cs="Arial"/>
                <w:b/>
                <w:b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3F1E0268" w14:textId="77777777" w:rsidR="0097090C" w:rsidRPr="00CC2A02" w:rsidRDefault="0097090C" w:rsidP="0097090C">
            <w:pPr>
              <w:jc w:val="right"/>
              <w:rPr>
                <w:rFonts w:cs="Arial"/>
                <w:b/>
                <w:bCs/>
                <w:color w:val="000000"/>
              </w:rPr>
            </w:pPr>
            <w:r w:rsidRPr="00CC2A02">
              <w:rPr>
                <w:rFonts w:cs="Arial"/>
                <w:b/>
                <w:bCs/>
                <w:color w:val="000000"/>
              </w:rPr>
              <w:t>837</w:t>
            </w:r>
          </w:p>
        </w:tc>
        <w:tc>
          <w:tcPr>
            <w:tcW w:w="1267" w:type="dxa"/>
            <w:tcBorders>
              <w:top w:val="single" w:sz="4" w:space="0" w:color="auto"/>
              <w:left w:val="nil"/>
              <w:bottom w:val="single" w:sz="4" w:space="0" w:color="auto"/>
              <w:right w:val="nil"/>
            </w:tcBorders>
            <w:shd w:val="clear" w:color="auto" w:fill="auto"/>
            <w:vAlign w:val="center"/>
            <w:hideMark/>
          </w:tcPr>
          <w:p w14:paraId="7D4F1A8E" w14:textId="77777777" w:rsidR="0097090C" w:rsidRPr="00CC2A02" w:rsidRDefault="0097090C" w:rsidP="0097090C">
            <w:pPr>
              <w:jc w:val="right"/>
              <w:rPr>
                <w:rFonts w:cs="Arial"/>
                <w:b/>
                <w:bCs/>
                <w:color w:val="000000"/>
              </w:rPr>
            </w:pPr>
            <w:r w:rsidRPr="00CC2A02">
              <w:rPr>
                <w:rFonts w:cs="Arial"/>
                <w:b/>
                <w:bCs/>
                <w:color w:val="000000"/>
              </w:rPr>
              <w:t>838</w:t>
            </w:r>
          </w:p>
        </w:tc>
      </w:tr>
      <w:tr w:rsidR="0097090C" w:rsidRPr="00CC2A02" w14:paraId="7150413E" w14:textId="77777777" w:rsidTr="0097090C">
        <w:trPr>
          <w:trHeight w:val="300"/>
        </w:trPr>
        <w:tc>
          <w:tcPr>
            <w:tcW w:w="6095" w:type="dxa"/>
            <w:tcBorders>
              <w:top w:val="nil"/>
              <w:left w:val="nil"/>
              <w:bottom w:val="single" w:sz="4" w:space="0" w:color="auto"/>
              <w:right w:val="nil"/>
            </w:tcBorders>
            <w:shd w:val="clear" w:color="auto" w:fill="auto"/>
            <w:vAlign w:val="center"/>
            <w:hideMark/>
          </w:tcPr>
          <w:p w14:paraId="3E0E79C4" w14:textId="77777777" w:rsidR="0097090C" w:rsidRPr="00CC2A02" w:rsidRDefault="0097090C" w:rsidP="0097090C">
            <w:pPr>
              <w:rPr>
                <w:rFonts w:cs="Arial"/>
                <w:b/>
                <w:bCs/>
                <w:color w:val="000000"/>
              </w:rPr>
            </w:pPr>
            <w:r w:rsidRPr="00CC2A02">
              <w:rPr>
                <w:rFonts w:cs="Arial"/>
                <w:b/>
                <w:bCs/>
                <w:color w:val="000000"/>
              </w:rPr>
              <w:t>Total Provisions</w:t>
            </w:r>
          </w:p>
        </w:tc>
        <w:tc>
          <w:tcPr>
            <w:tcW w:w="731" w:type="dxa"/>
            <w:tcBorders>
              <w:top w:val="nil"/>
              <w:left w:val="nil"/>
              <w:bottom w:val="single" w:sz="4" w:space="0" w:color="auto"/>
              <w:right w:val="nil"/>
            </w:tcBorders>
            <w:shd w:val="clear" w:color="auto" w:fill="auto"/>
            <w:vAlign w:val="center"/>
            <w:hideMark/>
          </w:tcPr>
          <w:p w14:paraId="4C622AD2" w14:textId="77777777" w:rsidR="0097090C" w:rsidRPr="00CC2A02" w:rsidRDefault="0097090C" w:rsidP="0097090C">
            <w:pPr>
              <w:jc w:val="center"/>
              <w:rPr>
                <w:rFonts w:cs="Arial"/>
                <w:b/>
                <w:bCs/>
                <w:color w:val="000000"/>
              </w:rPr>
            </w:pPr>
            <w:r w:rsidRPr="00CC2A02">
              <w:rPr>
                <w:rFonts w:cs="Arial"/>
                <w:b/>
                <w:bCs/>
                <w:color w:val="000000"/>
              </w:rPr>
              <w:t> </w:t>
            </w:r>
          </w:p>
        </w:tc>
        <w:tc>
          <w:tcPr>
            <w:tcW w:w="1267" w:type="dxa"/>
            <w:tcBorders>
              <w:top w:val="nil"/>
              <w:left w:val="nil"/>
              <w:bottom w:val="single" w:sz="4" w:space="0" w:color="auto"/>
              <w:right w:val="nil"/>
            </w:tcBorders>
            <w:shd w:val="clear" w:color="000000" w:fill="D9D9D9"/>
            <w:vAlign w:val="center"/>
            <w:hideMark/>
          </w:tcPr>
          <w:p w14:paraId="6D11933A" w14:textId="77777777" w:rsidR="0097090C" w:rsidRPr="00CC2A02" w:rsidRDefault="0097090C" w:rsidP="0097090C">
            <w:pPr>
              <w:jc w:val="right"/>
              <w:rPr>
                <w:rFonts w:cs="Arial"/>
                <w:b/>
                <w:bCs/>
                <w:color w:val="000000"/>
              </w:rPr>
            </w:pPr>
            <w:r w:rsidRPr="00CC2A02">
              <w:rPr>
                <w:rFonts w:cs="Arial"/>
                <w:b/>
                <w:bCs/>
                <w:color w:val="000000"/>
              </w:rPr>
              <w:t>11,331</w:t>
            </w:r>
          </w:p>
        </w:tc>
        <w:tc>
          <w:tcPr>
            <w:tcW w:w="1267" w:type="dxa"/>
            <w:tcBorders>
              <w:top w:val="nil"/>
              <w:left w:val="nil"/>
              <w:bottom w:val="single" w:sz="4" w:space="0" w:color="auto"/>
              <w:right w:val="nil"/>
            </w:tcBorders>
            <w:shd w:val="clear" w:color="auto" w:fill="auto"/>
            <w:vAlign w:val="center"/>
            <w:hideMark/>
          </w:tcPr>
          <w:p w14:paraId="564A0936" w14:textId="77777777" w:rsidR="0097090C" w:rsidRPr="00CC2A02" w:rsidRDefault="0097090C" w:rsidP="0097090C">
            <w:pPr>
              <w:jc w:val="right"/>
              <w:rPr>
                <w:rFonts w:cs="Arial"/>
                <w:b/>
                <w:bCs/>
                <w:color w:val="000000"/>
              </w:rPr>
            </w:pPr>
            <w:r w:rsidRPr="00CC2A02">
              <w:rPr>
                <w:rFonts w:cs="Arial"/>
                <w:b/>
                <w:bCs/>
                <w:color w:val="000000"/>
              </w:rPr>
              <w:t>10,091</w:t>
            </w:r>
          </w:p>
        </w:tc>
      </w:tr>
    </w:tbl>
    <w:p w14:paraId="2EE3E58E" w14:textId="77777777" w:rsidR="0097090C" w:rsidRDefault="0097090C" w:rsidP="0097090C">
      <w:pPr>
        <w:rPr>
          <w:rFonts w:cs="Arial"/>
        </w:rPr>
      </w:pPr>
    </w:p>
    <w:p w14:paraId="77EA4024" w14:textId="77777777" w:rsidR="0097090C" w:rsidRDefault="0097090C" w:rsidP="0097090C">
      <w:pPr>
        <w:rPr>
          <w:rFonts w:cs="Arial"/>
        </w:rPr>
      </w:pPr>
    </w:p>
    <w:tbl>
      <w:tblPr>
        <w:tblW w:w="9419" w:type="dxa"/>
        <w:tblLook w:val="04A0" w:firstRow="1" w:lastRow="0" w:firstColumn="1" w:lastColumn="0" w:noHBand="0" w:noVBand="1"/>
      </w:tblPr>
      <w:tblGrid>
        <w:gridCol w:w="6160"/>
        <w:gridCol w:w="828"/>
        <w:gridCol w:w="1260"/>
        <w:gridCol w:w="1260"/>
      </w:tblGrid>
      <w:tr w:rsidR="0097090C" w:rsidRPr="000C0250" w14:paraId="1C4FA08B" w14:textId="77777777" w:rsidTr="0097090C">
        <w:trPr>
          <w:trHeight w:val="255"/>
        </w:trPr>
        <w:tc>
          <w:tcPr>
            <w:tcW w:w="6160" w:type="dxa"/>
            <w:tcBorders>
              <w:top w:val="single" w:sz="4" w:space="0" w:color="auto"/>
              <w:left w:val="nil"/>
              <w:bottom w:val="single" w:sz="4" w:space="0" w:color="auto"/>
              <w:right w:val="nil"/>
            </w:tcBorders>
            <w:shd w:val="clear" w:color="auto" w:fill="auto"/>
            <w:noWrap/>
            <w:vAlign w:val="center"/>
            <w:hideMark/>
          </w:tcPr>
          <w:p w14:paraId="70AB90D3" w14:textId="77777777" w:rsidR="0097090C" w:rsidRPr="000C0250" w:rsidRDefault="0097090C" w:rsidP="0097090C">
            <w:pPr>
              <w:rPr>
                <w:rFonts w:cs="Arial"/>
                <w:color w:val="000000"/>
              </w:rPr>
            </w:pPr>
            <w:r w:rsidRPr="000C0250">
              <w:rPr>
                <w:rFonts w:cs="Arial"/>
                <w:color w:val="000000"/>
              </w:rPr>
              <w:t> </w:t>
            </w:r>
          </w:p>
        </w:tc>
        <w:tc>
          <w:tcPr>
            <w:tcW w:w="739" w:type="dxa"/>
            <w:tcBorders>
              <w:top w:val="single" w:sz="4" w:space="0" w:color="auto"/>
              <w:left w:val="nil"/>
              <w:bottom w:val="single" w:sz="4" w:space="0" w:color="auto"/>
              <w:right w:val="nil"/>
            </w:tcBorders>
            <w:shd w:val="clear" w:color="auto" w:fill="auto"/>
            <w:noWrap/>
            <w:vAlign w:val="center"/>
            <w:hideMark/>
          </w:tcPr>
          <w:p w14:paraId="00DFD04A" w14:textId="77777777" w:rsidR="0097090C" w:rsidRPr="00923A58" w:rsidRDefault="0097090C" w:rsidP="0097090C">
            <w:pPr>
              <w:jc w:val="center"/>
              <w:rPr>
                <w:rFonts w:cs="Arial"/>
                <w:b/>
                <w:color w:val="000000"/>
              </w:rPr>
            </w:pPr>
            <w:r w:rsidRPr="00923A58">
              <w:rPr>
                <w:rFonts w:cs="Arial"/>
                <w:b/>
                <w:color w:val="000000"/>
              </w:rPr>
              <w:t>Notes</w:t>
            </w:r>
          </w:p>
        </w:tc>
        <w:tc>
          <w:tcPr>
            <w:tcW w:w="1260" w:type="dxa"/>
            <w:tcBorders>
              <w:top w:val="single" w:sz="4" w:space="0" w:color="auto"/>
              <w:left w:val="nil"/>
              <w:bottom w:val="single" w:sz="4" w:space="0" w:color="auto"/>
              <w:right w:val="nil"/>
            </w:tcBorders>
            <w:shd w:val="clear" w:color="000000" w:fill="D9D9D9"/>
            <w:noWrap/>
            <w:vAlign w:val="center"/>
            <w:hideMark/>
          </w:tcPr>
          <w:p w14:paraId="25464E13" w14:textId="77777777" w:rsidR="0097090C" w:rsidRPr="00923A58" w:rsidRDefault="0097090C" w:rsidP="0097090C">
            <w:pPr>
              <w:jc w:val="right"/>
              <w:rPr>
                <w:rFonts w:cs="Arial"/>
                <w:b/>
                <w:color w:val="000000"/>
              </w:rPr>
            </w:pPr>
            <w:r w:rsidRPr="00923A58">
              <w:rPr>
                <w:rFonts w:cs="Arial"/>
                <w:b/>
                <w:color w:val="000000"/>
              </w:rPr>
              <w:t>2016</w:t>
            </w:r>
          </w:p>
        </w:tc>
        <w:tc>
          <w:tcPr>
            <w:tcW w:w="1260" w:type="dxa"/>
            <w:tcBorders>
              <w:top w:val="single" w:sz="4" w:space="0" w:color="auto"/>
              <w:left w:val="nil"/>
              <w:bottom w:val="single" w:sz="4" w:space="0" w:color="auto"/>
              <w:right w:val="nil"/>
            </w:tcBorders>
            <w:shd w:val="clear" w:color="auto" w:fill="auto"/>
            <w:noWrap/>
            <w:vAlign w:val="center"/>
            <w:hideMark/>
          </w:tcPr>
          <w:p w14:paraId="152DE24F" w14:textId="77777777" w:rsidR="0097090C" w:rsidRPr="00923A58" w:rsidRDefault="0097090C" w:rsidP="0097090C">
            <w:pPr>
              <w:jc w:val="right"/>
              <w:rPr>
                <w:rFonts w:cs="Arial"/>
                <w:b/>
                <w:color w:val="000000"/>
              </w:rPr>
            </w:pPr>
            <w:r w:rsidRPr="00923A58">
              <w:rPr>
                <w:rFonts w:cs="Arial"/>
                <w:b/>
                <w:color w:val="000000"/>
              </w:rPr>
              <w:t>2015</w:t>
            </w:r>
          </w:p>
        </w:tc>
      </w:tr>
      <w:tr w:rsidR="0097090C" w:rsidRPr="000C0250" w14:paraId="130186A7" w14:textId="77777777" w:rsidTr="0097090C">
        <w:trPr>
          <w:trHeight w:val="255"/>
        </w:trPr>
        <w:tc>
          <w:tcPr>
            <w:tcW w:w="6160" w:type="dxa"/>
            <w:tcBorders>
              <w:top w:val="nil"/>
              <w:left w:val="nil"/>
              <w:bottom w:val="single" w:sz="4" w:space="0" w:color="auto"/>
              <w:right w:val="nil"/>
            </w:tcBorders>
            <w:shd w:val="clear" w:color="auto" w:fill="auto"/>
            <w:noWrap/>
            <w:vAlign w:val="center"/>
            <w:hideMark/>
          </w:tcPr>
          <w:p w14:paraId="35CEBA4B" w14:textId="77777777" w:rsidR="0097090C" w:rsidRPr="000C0250" w:rsidRDefault="0097090C" w:rsidP="0097090C">
            <w:pPr>
              <w:rPr>
                <w:rFonts w:cs="Arial"/>
                <w:color w:val="000000"/>
              </w:rPr>
            </w:pPr>
            <w:r w:rsidRPr="000C0250">
              <w:rPr>
                <w:rFonts w:cs="Arial"/>
                <w:color w:val="000000"/>
              </w:rPr>
              <w:t> </w:t>
            </w:r>
          </w:p>
        </w:tc>
        <w:tc>
          <w:tcPr>
            <w:tcW w:w="739" w:type="dxa"/>
            <w:tcBorders>
              <w:top w:val="nil"/>
              <w:left w:val="nil"/>
              <w:bottom w:val="single" w:sz="4" w:space="0" w:color="auto"/>
              <w:right w:val="nil"/>
            </w:tcBorders>
            <w:shd w:val="clear" w:color="auto" w:fill="auto"/>
            <w:noWrap/>
            <w:vAlign w:val="center"/>
            <w:hideMark/>
          </w:tcPr>
          <w:p w14:paraId="56CD9D82" w14:textId="77777777" w:rsidR="0097090C" w:rsidRPr="00923A58" w:rsidRDefault="0097090C" w:rsidP="0097090C">
            <w:pPr>
              <w:rPr>
                <w:rFonts w:cs="Arial"/>
                <w:b/>
                <w:color w:val="000000"/>
              </w:rPr>
            </w:pPr>
            <w:r w:rsidRPr="00923A58">
              <w:rPr>
                <w:rFonts w:cs="Arial"/>
                <w:b/>
                <w:color w:val="000000"/>
              </w:rPr>
              <w:t> </w:t>
            </w:r>
          </w:p>
        </w:tc>
        <w:tc>
          <w:tcPr>
            <w:tcW w:w="1260" w:type="dxa"/>
            <w:tcBorders>
              <w:top w:val="nil"/>
              <w:left w:val="nil"/>
              <w:bottom w:val="single" w:sz="4" w:space="0" w:color="auto"/>
              <w:right w:val="nil"/>
            </w:tcBorders>
            <w:shd w:val="clear" w:color="000000" w:fill="D9D9D9"/>
            <w:noWrap/>
            <w:vAlign w:val="center"/>
            <w:hideMark/>
          </w:tcPr>
          <w:p w14:paraId="292066AF" w14:textId="77777777" w:rsidR="0097090C" w:rsidRPr="00923A58" w:rsidRDefault="0097090C" w:rsidP="0097090C">
            <w:pPr>
              <w:jc w:val="right"/>
              <w:rPr>
                <w:rFonts w:cs="Arial"/>
                <w:b/>
                <w:color w:val="000000"/>
              </w:rPr>
            </w:pPr>
            <w:r w:rsidRPr="00923A58">
              <w:rPr>
                <w:rFonts w:cs="Arial"/>
                <w:b/>
                <w:color w:val="000000"/>
              </w:rPr>
              <w:t>$'000</w:t>
            </w:r>
          </w:p>
        </w:tc>
        <w:tc>
          <w:tcPr>
            <w:tcW w:w="1260" w:type="dxa"/>
            <w:tcBorders>
              <w:top w:val="nil"/>
              <w:left w:val="nil"/>
              <w:bottom w:val="single" w:sz="4" w:space="0" w:color="auto"/>
              <w:right w:val="nil"/>
            </w:tcBorders>
            <w:shd w:val="clear" w:color="auto" w:fill="auto"/>
            <w:noWrap/>
            <w:vAlign w:val="center"/>
            <w:hideMark/>
          </w:tcPr>
          <w:p w14:paraId="5B1014F9" w14:textId="77777777" w:rsidR="0097090C" w:rsidRPr="00923A58" w:rsidRDefault="0097090C" w:rsidP="0097090C">
            <w:pPr>
              <w:jc w:val="right"/>
              <w:rPr>
                <w:rFonts w:cs="Arial"/>
                <w:b/>
                <w:color w:val="000000"/>
              </w:rPr>
            </w:pPr>
            <w:r w:rsidRPr="00923A58">
              <w:rPr>
                <w:rFonts w:cs="Arial"/>
                <w:b/>
                <w:color w:val="000000"/>
              </w:rPr>
              <w:t>$'000</w:t>
            </w:r>
          </w:p>
        </w:tc>
      </w:tr>
    </w:tbl>
    <w:p w14:paraId="3C976140" w14:textId="77777777" w:rsidR="0097090C" w:rsidRDefault="0097090C" w:rsidP="0097090C">
      <w:pPr>
        <w:pStyle w:val="NormalIndent"/>
        <w:spacing w:after="120"/>
        <w:ind w:left="0" w:firstLine="0"/>
        <w:jc w:val="both"/>
        <w:rPr>
          <w:b/>
          <w:sz w:val="22"/>
          <w:szCs w:val="22"/>
        </w:rPr>
      </w:pPr>
    </w:p>
    <w:tbl>
      <w:tblPr>
        <w:tblW w:w="9360" w:type="dxa"/>
        <w:tblInd w:w="108" w:type="dxa"/>
        <w:tblLook w:val="04A0" w:firstRow="1" w:lastRow="0" w:firstColumn="1" w:lastColumn="0" w:noHBand="0" w:noVBand="1"/>
      </w:tblPr>
      <w:tblGrid>
        <w:gridCol w:w="6120"/>
        <w:gridCol w:w="720"/>
        <w:gridCol w:w="1260"/>
        <w:gridCol w:w="1260"/>
      </w:tblGrid>
      <w:tr w:rsidR="0097090C" w:rsidRPr="00CC2A02" w14:paraId="4F687FDE" w14:textId="77777777" w:rsidTr="0097090C">
        <w:trPr>
          <w:trHeight w:val="255"/>
        </w:trPr>
        <w:tc>
          <w:tcPr>
            <w:tcW w:w="6120" w:type="dxa"/>
            <w:tcBorders>
              <w:top w:val="nil"/>
              <w:left w:val="nil"/>
              <w:bottom w:val="nil"/>
              <w:right w:val="nil"/>
            </w:tcBorders>
            <w:shd w:val="clear" w:color="auto" w:fill="auto"/>
            <w:vAlign w:val="center"/>
            <w:hideMark/>
          </w:tcPr>
          <w:p w14:paraId="167AB104" w14:textId="77777777" w:rsidR="0097090C" w:rsidRPr="00CC2A02" w:rsidRDefault="0097090C" w:rsidP="0097090C">
            <w:pPr>
              <w:rPr>
                <w:rFonts w:cs="Arial"/>
                <w:b/>
                <w:bCs/>
                <w:color w:val="000000"/>
              </w:rPr>
            </w:pPr>
            <w:r w:rsidRPr="00CC2A02">
              <w:rPr>
                <w:rFonts w:cs="Arial"/>
                <w:b/>
                <w:bCs/>
                <w:color w:val="000000"/>
              </w:rPr>
              <w:t>12(a) Employee Benefits and related on-costs</w:t>
            </w:r>
          </w:p>
        </w:tc>
        <w:tc>
          <w:tcPr>
            <w:tcW w:w="720" w:type="dxa"/>
            <w:tcBorders>
              <w:top w:val="nil"/>
              <w:left w:val="nil"/>
              <w:bottom w:val="nil"/>
              <w:right w:val="nil"/>
            </w:tcBorders>
            <w:shd w:val="clear" w:color="auto" w:fill="auto"/>
            <w:vAlign w:val="center"/>
            <w:hideMark/>
          </w:tcPr>
          <w:p w14:paraId="7BE594FB"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auto" w:fill="auto"/>
            <w:vAlign w:val="center"/>
            <w:hideMark/>
          </w:tcPr>
          <w:p w14:paraId="319159AB"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auto" w:fill="auto"/>
            <w:vAlign w:val="center"/>
            <w:hideMark/>
          </w:tcPr>
          <w:p w14:paraId="3029D1F5" w14:textId="77777777" w:rsidR="0097090C" w:rsidRPr="00CC2A02" w:rsidRDefault="0097090C" w:rsidP="0097090C">
            <w:pPr>
              <w:jc w:val="right"/>
              <w:rPr>
                <w:rFonts w:cs="Arial"/>
                <w:color w:val="000000"/>
              </w:rPr>
            </w:pPr>
          </w:p>
        </w:tc>
      </w:tr>
      <w:tr w:rsidR="0097090C" w:rsidRPr="00CC2A02" w14:paraId="211C2473"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76FE35A5" w14:textId="77777777" w:rsidR="0097090C" w:rsidRPr="00CC2A02" w:rsidRDefault="0097090C" w:rsidP="0097090C">
            <w:pPr>
              <w:rPr>
                <w:rFonts w:cs="Arial"/>
                <w:b/>
                <w:bCs/>
                <w:color w:val="000000"/>
              </w:rPr>
            </w:pPr>
            <w:r w:rsidRPr="00CC2A02">
              <w:rPr>
                <w:rFonts w:cs="Arial"/>
                <w:b/>
                <w:bCs/>
                <w:color w:val="000000"/>
              </w:rPr>
              <w:t>Current Employee Benefits</w:t>
            </w:r>
          </w:p>
        </w:tc>
        <w:tc>
          <w:tcPr>
            <w:tcW w:w="720" w:type="dxa"/>
            <w:tcBorders>
              <w:top w:val="single" w:sz="4" w:space="0" w:color="auto"/>
              <w:left w:val="nil"/>
              <w:bottom w:val="nil"/>
              <w:right w:val="nil"/>
            </w:tcBorders>
            <w:shd w:val="clear" w:color="auto" w:fill="auto"/>
            <w:vAlign w:val="center"/>
            <w:hideMark/>
          </w:tcPr>
          <w:p w14:paraId="115CFE85" w14:textId="77777777" w:rsidR="0097090C" w:rsidRPr="00CC2A02" w:rsidRDefault="0097090C" w:rsidP="0097090C">
            <w:pPr>
              <w:jc w:val="center"/>
              <w:rPr>
                <w:rFonts w:cs="Arial"/>
                <w:color w:val="000000"/>
              </w:rPr>
            </w:pPr>
            <w:r w:rsidRPr="00CC2A02">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379CE64B" w14:textId="77777777" w:rsidR="0097090C" w:rsidRPr="00CC2A02" w:rsidRDefault="0097090C" w:rsidP="0097090C">
            <w:pPr>
              <w:jc w:val="right"/>
              <w:rPr>
                <w:rFonts w:cs="Arial"/>
                <w:color w:val="000000"/>
              </w:rPr>
            </w:pPr>
            <w:r w:rsidRPr="00CC2A02">
              <w:rPr>
                <w:rFonts w:cs="Arial"/>
                <w:color w:val="000000"/>
              </w:rPr>
              <w:t> </w:t>
            </w:r>
          </w:p>
        </w:tc>
        <w:tc>
          <w:tcPr>
            <w:tcW w:w="1260" w:type="dxa"/>
            <w:tcBorders>
              <w:top w:val="single" w:sz="4" w:space="0" w:color="auto"/>
              <w:left w:val="nil"/>
              <w:bottom w:val="nil"/>
              <w:right w:val="nil"/>
            </w:tcBorders>
            <w:shd w:val="clear" w:color="auto" w:fill="auto"/>
            <w:vAlign w:val="center"/>
            <w:hideMark/>
          </w:tcPr>
          <w:p w14:paraId="193BAB02" w14:textId="77777777" w:rsidR="0097090C" w:rsidRPr="00CC2A02" w:rsidRDefault="0097090C" w:rsidP="0097090C">
            <w:pPr>
              <w:jc w:val="right"/>
              <w:rPr>
                <w:rFonts w:cs="Arial"/>
                <w:color w:val="000000"/>
              </w:rPr>
            </w:pPr>
            <w:r w:rsidRPr="00CC2A02">
              <w:rPr>
                <w:rFonts w:cs="Arial"/>
                <w:color w:val="000000"/>
              </w:rPr>
              <w:t> </w:t>
            </w:r>
          </w:p>
        </w:tc>
      </w:tr>
      <w:tr w:rsidR="0097090C" w:rsidRPr="00CC2A02" w14:paraId="609D5399" w14:textId="77777777" w:rsidTr="0097090C">
        <w:trPr>
          <w:trHeight w:val="255"/>
        </w:trPr>
        <w:tc>
          <w:tcPr>
            <w:tcW w:w="6120" w:type="dxa"/>
            <w:tcBorders>
              <w:top w:val="nil"/>
              <w:left w:val="nil"/>
              <w:bottom w:val="nil"/>
              <w:right w:val="nil"/>
            </w:tcBorders>
            <w:shd w:val="clear" w:color="auto" w:fill="auto"/>
            <w:vAlign w:val="center"/>
            <w:hideMark/>
          </w:tcPr>
          <w:p w14:paraId="4FAF1682" w14:textId="77777777" w:rsidR="0097090C" w:rsidRPr="00CC2A02" w:rsidRDefault="0097090C" w:rsidP="0097090C">
            <w:pPr>
              <w:rPr>
                <w:rFonts w:cs="Arial"/>
                <w:color w:val="000000"/>
              </w:rPr>
            </w:pPr>
            <w:r w:rsidRPr="00CC2A02">
              <w:rPr>
                <w:rFonts w:cs="Arial"/>
                <w:color w:val="000000"/>
              </w:rPr>
              <w:t>Annual Leave</w:t>
            </w:r>
          </w:p>
        </w:tc>
        <w:tc>
          <w:tcPr>
            <w:tcW w:w="720" w:type="dxa"/>
            <w:tcBorders>
              <w:top w:val="nil"/>
              <w:left w:val="nil"/>
              <w:bottom w:val="nil"/>
              <w:right w:val="nil"/>
            </w:tcBorders>
            <w:shd w:val="clear" w:color="auto" w:fill="auto"/>
            <w:vAlign w:val="center"/>
            <w:hideMark/>
          </w:tcPr>
          <w:p w14:paraId="0AFF650D"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2D465D0" w14:textId="77777777" w:rsidR="0097090C" w:rsidRPr="00CC2A02" w:rsidRDefault="0097090C" w:rsidP="0097090C">
            <w:pPr>
              <w:jc w:val="right"/>
              <w:rPr>
                <w:rFonts w:cs="Arial"/>
                <w:color w:val="000000"/>
              </w:rPr>
            </w:pPr>
            <w:r w:rsidRPr="00CC2A02">
              <w:rPr>
                <w:rFonts w:cs="Arial"/>
                <w:color w:val="000000"/>
              </w:rPr>
              <w:t>2,732</w:t>
            </w:r>
          </w:p>
        </w:tc>
        <w:tc>
          <w:tcPr>
            <w:tcW w:w="1260" w:type="dxa"/>
            <w:tcBorders>
              <w:top w:val="nil"/>
              <w:left w:val="nil"/>
              <w:bottom w:val="nil"/>
              <w:right w:val="nil"/>
            </w:tcBorders>
            <w:shd w:val="clear" w:color="auto" w:fill="auto"/>
            <w:vAlign w:val="center"/>
            <w:hideMark/>
          </w:tcPr>
          <w:p w14:paraId="295297FB" w14:textId="77777777" w:rsidR="0097090C" w:rsidRPr="00CC2A02" w:rsidRDefault="0097090C" w:rsidP="0097090C">
            <w:pPr>
              <w:jc w:val="right"/>
              <w:rPr>
                <w:rFonts w:cs="Arial"/>
                <w:color w:val="000000"/>
              </w:rPr>
            </w:pPr>
            <w:r w:rsidRPr="00CC2A02">
              <w:rPr>
                <w:rFonts w:cs="Arial"/>
                <w:color w:val="000000"/>
              </w:rPr>
              <w:t>2,588</w:t>
            </w:r>
          </w:p>
        </w:tc>
      </w:tr>
      <w:tr w:rsidR="0097090C" w:rsidRPr="00CC2A02" w14:paraId="00970FE1" w14:textId="77777777" w:rsidTr="0097090C">
        <w:trPr>
          <w:trHeight w:val="255"/>
        </w:trPr>
        <w:tc>
          <w:tcPr>
            <w:tcW w:w="6120" w:type="dxa"/>
            <w:tcBorders>
              <w:top w:val="nil"/>
              <w:left w:val="nil"/>
              <w:bottom w:val="nil"/>
              <w:right w:val="nil"/>
            </w:tcBorders>
            <w:shd w:val="clear" w:color="auto" w:fill="auto"/>
            <w:vAlign w:val="center"/>
            <w:hideMark/>
          </w:tcPr>
          <w:p w14:paraId="0E9CF624" w14:textId="77777777" w:rsidR="0097090C" w:rsidRPr="00CC2A02" w:rsidRDefault="0097090C" w:rsidP="0097090C">
            <w:pPr>
              <w:rPr>
                <w:rFonts w:cs="Arial"/>
                <w:color w:val="000000"/>
              </w:rPr>
            </w:pPr>
            <w:r w:rsidRPr="00CC2A02">
              <w:rPr>
                <w:rFonts w:cs="Arial"/>
                <w:color w:val="000000"/>
              </w:rPr>
              <w:t>Long Service Leave entitlements</w:t>
            </w:r>
          </w:p>
        </w:tc>
        <w:tc>
          <w:tcPr>
            <w:tcW w:w="720" w:type="dxa"/>
            <w:tcBorders>
              <w:top w:val="nil"/>
              <w:left w:val="nil"/>
              <w:bottom w:val="nil"/>
              <w:right w:val="nil"/>
            </w:tcBorders>
            <w:shd w:val="clear" w:color="auto" w:fill="auto"/>
            <w:vAlign w:val="center"/>
            <w:hideMark/>
          </w:tcPr>
          <w:p w14:paraId="369B8996"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7FA166A" w14:textId="77777777" w:rsidR="0097090C" w:rsidRPr="00CC2A02" w:rsidRDefault="0097090C" w:rsidP="0097090C">
            <w:pPr>
              <w:jc w:val="right"/>
              <w:rPr>
                <w:rFonts w:cs="Arial"/>
                <w:color w:val="000000"/>
              </w:rPr>
            </w:pPr>
            <w:r w:rsidRPr="00CC2A02">
              <w:rPr>
                <w:rFonts w:cs="Arial"/>
                <w:color w:val="000000"/>
              </w:rPr>
              <w:t>5,924</w:t>
            </w:r>
          </w:p>
        </w:tc>
        <w:tc>
          <w:tcPr>
            <w:tcW w:w="1260" w:type="dxa"/>
            <w:tcBorders>
              <w:top w:val="nil"/>
              <w:left w:val="nil"/>
              <w:bottom w:val="nil"/>
              <w:right w:val="nil"/>
            </w:tcBorders>
            <w:shd w:val="clear" w:color="auto" w:fill="auto"/>
            <w:vAlign w:val="center"/>
            <w:hideMark/>
          </w:tcPr>
          <w:p w14:paraId="203A8899" w14:textId="77777777" w:rsidR="0097090C" w:rsidRPr="00CC2A02" w:rsidRDefault="0097090C" w:rsidP="0097090C">
            <w:pPr>
              <w:jc w:val="right"/>
              <w:rPr>
                <w:rFonts w:cs="Arial"/>
                <w:color w:val="000000"/>
              </w:rPr>
            </w:pPr>
            <w:r w:rsidRPr="00CC2A02">
              <w:rPr>
                <w:rFonts w:cs="Arial"/>
                <w:color w:val="000000"/>
              </w:rPr>
              <w:t>5,352</w:t>
            </w:r>
          </w:p>
        </w:tc>
      </w:tr>
      <w:tr w:rsidR="0097090C" w:rsidRPr="00CC2A02" w14:paraId="6F776DA5" w14:textId="77777777" w:rsidTr="0097090C">
        <w:trPr>
          <w:trHeight w:val="255"/>
        </w:trPr>
        <w:tc>
          <w:tcPr>
            <w:tcW w:w="6120" w:type="dxa"/>
            <w:tcBorders>
              <w:top w:val="nil"/>
              <w:left w:val="nil"/>
              <w:bottom w:val="nil"/>
              <w:right w:val="nil"/>
            </w:tcBorders>
            <w:shd w:val="clear" w:color="auto" w:fill="auto"/>
            <w:vAlign w:val="center"/>
            <w:hideMark/>
          </w:tcPr>
          <w:p w14:paraId="3E48EA5A" w14:textId="77777777" w:rsidR="0097090C" w:rsidRPr="00CC2A02" w:rsidRDefault="0097090C" w:rsidP="0097090C">
            <w:pPr>
              <w:rPr>
                <w:rFonts w:cs="Arial"/>
                <w:color w:val="000000"/>
              </w:rPr>
            </w:pPr>
            <w:r w:rsidRPr="00CC2A02">
              <w:rPr>
                <w:rFonts w:cs="Arial"/>
                <w:color w:val="000000"/>
              </w:rPr>
              <w:t xml:space="preserve">Staff Partnership Agreement increase effective 1 </w:t>
            </w:r>
            <w:r>
              <w:rPr>
                <w:rFonts w:cs="Arial"/>
                <w:color w:val="000000"/>
              </w:rPr>
              <w:t>January</w:t>
            </w:r>
            <w:r w:rsidRPr="00CC2A02">
              <w:rPr>
                <w:rFonts w:cs="Arial"/>
                <w:color w:val="000000"/>
              </w:rPr>
              <w:t xml:space="preserve"> 2016</w:t>
            </w:r>
          </w:p>
        </w:tc>
        <w:tc>
          <w:tcPr>
            <w:tcW w:w="720" w:type="dxa"/>
            <w:tcBorders>
              <w:top w:val="nil"/>
              <w:left w:val="nil"/>
              <w:bottom w:val="nil"/>
              <w:right w:val="nil"/>
            </w:tcBorders>
            <w:shd w:val="clear" w:color="auto" w:fill="auto"/>
            <w:vAlign w:val="center"/>
            <w:hideMark/>
          </w:tcPr>
          <w:p w14:paraId="0E5360B5"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FB1AECF" w14:textId="77777777" w:rsidR="0097090C" w:rsidRPr="00CC2A02" w:rsidRDefault="0097090C" w:rsidP="0097090C">
            <w:pPr>
              <w:jc w:val="right"/>
              <w:rPr>
                <w:rFonts w:cs="Arial"/>
                <w:color w:val="000000"/>
              </w:rPr>
            </w:pPr>
            <w:r w:rsidRPr="00CC2A02">
              <w:rPr>
                <w:rFonts w:cs="Arial"/>
                <w:color w:val="000000"/>
              </w:rPr>
              <w:t>360</w:t>
            </w:r>
          </w:p>
        </w:tc>
        <w:tc>
          <w:tcPr>
            <w:tcW w:w="1260" w:type="dxa"/>
            <w:tcBorders>
              <w:top w:val="nil"/>
              <w:left w:val="nil"/>
              <w:bottom w:val="nil"/>
              <w:right w:val="nil"/>
            </w:tcBorders>
            <w:shd w:val="clear" w:color="auto" w:fill="auto"/>
            <w:vAlign w:val="center"/>
            <w:hideMark/>
          </w:tcPr>
          <w:p w14:paraId="4E8C17BC" w14:textId="77777777" w:rsidR="0097090C" w:rsidRPr="00CC2A02" w:rsidRDefault="0097090C" w:rsidP="0097090C">
            <w:pPr>
              <w:jc w:val="right"/>
              <w:rPr>
                <w:rFonts w:cs="Arial"/>
                <w:color w:val="000000"/>
              </w:rPr>
            </w:pPr>
            <w:r w:rsidRPr="00CC2A02">
              <w:rPr>
                <w:rFonts w:cs="Arial"/>
                <w:color w:val="000000"/>
              </w:rPr>
              <w:t>0</w:t>
            </w:r>
          </w:p>
        </w:tc>
      </w:tr>
      <w:tr w:rsidR="0097090C" w:rsidRPr="00CC2A02" w14:paraId="61028BFC" w14:textId="77777777" w:rsidTr="0097090C">
        <w:trPr>
          <w:trHeight w:val="255"/>
        </w:trPr>
        <w:tc>
          <w:tcPr>
            <w:tcW w:w="6120" w:type="dxa"/>
            <w:tcBorders>
              <w:top w:val="nil"/>
              <w:left w:val="nil"/>
              <w:bottom w:val="nil"/>
              <w:right w:val="nil"/>
            </w:tcBorders>
            <w:shd w:val="clear" w:color="auto" w:fill="auto"/>
            <w:vAlign w:val="center"/>
            <w:hideMark/>
          </w:tcPr>
          <w:p w14:paraId="53B657CA" w14:textId="77777777" w:rsidR="0097090C" w:rsidRPr="00CC2A02" w:rsidRDefault="0097090C" w:rsidP="0097090C">
            <w:pPr>
              <w:rPr>
                <w:rFonts w:cs="Arial"/>
                <w:b/>
                <w:bCs/>
                <w:color w:val="000000"/>
              </w:rPr>
            </w:pPr>
            <w:r w:rsidRPr="00CC2A02">
              <w:rPr>
                <w:rFonts w:cs="Arial"/>
                <w:b/>
                <w:bCs/>
                <w:color w:val="000000"/>
              </w:rPr>
              <w:t>Non-Current Employee Benefits</w:t>
            </w:r>
          </w:p>
        </w:tc>
        <w:tc>
          <w:tcPr>
            <w:tcW w:w="720" w:type="dxa"/>
            <w:tcBorders>
              <w:top w:val="nil"/>
              <w:left w:val="nil"/>
              <w:bottom w:val="nil"/>
              <w:right w:val="nil"/>
            </w:tcBorders>
            <w:shd w:val="clear" w:color="auto" w:fill="auto"/>
            <w:vAlign w:val="center"/>
            <w:hideMark/>
          </w:tcPr>
          <w:p w14:paraId="1552BC2C"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209AB05" w14:textId="77777777" w:rsidR="0097090C" w:rsidRPr="00CC2A02" w:rsidRDefault="0097090C" w:rsidP="0097090C">
            <w:pPr>
              <w:jc w:val="right"/>
              <w:rPr>
                <w:rFonts w:cs="Arial"/>
                <w:color w:val="000000"/>
              </w:rPr>
            </w:pPr>
            <w:r w:rsidRPr="00CC2A02">
              <w:rPr>
                <w:rFonts w:cs="Arial"/>
                <w:color w:val="000000"/>
              </w:rPr>
              <w:t> </w:t>
            </w:r>
          </w:p>
        </w:tc>
        <w:tc>
          <w:tcPr>
            <w:tcW w:w="1260" w:type="dxa"/>
            <w:tcBorders>
              <w:top w:val="nil"/>
              <w:left w:val="nil"/>
              <w:bottom w:val="nil"/>
              <w:right w:val="nil"/>
            </w:tcBorders>
            <w:shd w:val="clear" w:color="auto" w:fill="auto"/>
            <w:vAlign w:val="center"/>
            <w:hideMark/>
          </w:tcPr>
          <w:p w14:paraId="67F299C8" w14:textId="77777777" w:rsidR="0097090C" w:rsidRPr="00CC2A02" w:rsidRDefault="0097090C" w:rsidP="0097090C">
            <w:pPr>
              <w:jc w:val="right"/>
              <w:rPr>
                <w:rFonts w:cs="Arial"/>
                <w:color w:val="000000"/>
              </w:rPr>
            </w:pPr>
          </w:p>
        </w:tc>
      </w:tr>
      <w:tr w:rsidR="0097090C" w:rsidRPr="00CC2A02" w14:paraId="42725104"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39C125D4" w14:textId="77777777" w:rsidR="0097090C" w:rsidRPr="00CC2A02" w:rsidRDefault="0097090C" w:rsidP="0097090C">
            <w:pPr>
              <w:rPr>
                <w:rFonts w:cs="Arial"/>
                <w:color w:val="000000"/>
              </w:rPr>
            </w:pPr>
            <w:r w:rsidRPr="00CC2A02">
              <w:rPr>
                <w:rFonts w:cs="Arial"/>
                <w:color w:val="000000"/>
              </w:rPr>
              <w:t>Long Service Leave entitlements</w:t>
            </w:r>
          </w:p>
        </w:tc>
        <w:tc>
          <w:tcPr>
            <w:tcW w:w="720" w:type="dxa"/>
            <w:tcBorders>
              <w:top w:val="nil"/>
              <w:left w:val="nil"/>
              <w:bottom w:val="single" w:sz="4" w:space="0" w:color="auto"/>
              <w:right w:val="nil"/>
            </w:tcBorders>
            <w:shd w:val="clear" w:color="auto" w:fill="auto"/>
            <w:vAlign w:val="center"/>
            <w:hideMark/>
          </w:tcPr>
          <w:p w14:paraId="41D50358" w14:textId="77777777" w:rsidR="0097090C" w:rsidRPr="00CC2A02" w:rsidRDefault="0097090C" w:rsidP="0097090C">
            <w:pPr>
              <w:jc w:val="center"/>
              <w:rPr>
                <w:rFonts w:cs="Arial"/>
                <w:color w:val="000000"/>
              </w:rPr>
            </w:pPr>
            <w:r w:rsidRPr="00CC2A02">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23EE0BD4" w14:textId="77777777" w:rsidR="0097090C" w:rsidRPr="00CC2A02" w:rsidRDefault="0097090C" w:rsidP="0097090C">
            <w:pPr>
              <w:jc w:val="right"/>
              <w:rPr>
                <w:rFonts w:cs="Arial"/>
                <w:color w:val="000000"/>
              </w:rPr>
            </w:pPr>
            <w:r w:rsidRPr="00CC2A02">
              <w:rPr>
                <w:rFonts w:cs="Arial"/>
                <w:color w:val="000000"/>
              </w:rPr>
              <w:t>720</w:t>
            </w:r>
          </w:p>
        </w:tc>
        <w:tc>
          <w:tcPr>
            <w:tcW w:w="1260" w:type="dxa"/>
            <w:tcBorders>
              <w:top w:val="nil"/>
              <w:left w:val="nil"/>
              <w:bottom w:val="single" w:sz="4" w:space="0" w:color="auto"/>
              <w:right w:val="nil"/>
            </w:tcBorders>
            <w:shd w:val="clear" w:color="auto" w:fill="auto"/>
            <w:vAlign w:val="center"/>
            <w:hideMark/>
          </w:tcPr>
          <w:p w14:paraId="7E489B14" w14:textId="77777777" w:rsidR="0097090C" w:rsidRPr="00CC2A02" w:rsidRDefault="0097090C" w:rsidP="0097090C">
            <w:pPr>
              <w:jc w:val="right"/>
              <w:rPr>
                <w:rFonts w:cs="Arial"/>
                <w:color w:val="000000"/>
              </w:rPr>
            </w:pPr>
            <w:r w:rsidRPr="00CC2A02">
              <w:rPr>
                <w:rFonts w:cs="Arial"/>
                <w:color w:val="000000"/>
              </w:rPr>
              <w:t>721</w:t>
            </w:r>
          </w:p>
        </w:tc>
      </w:tr>
      <w:tr w:rsidR="0097090C" w:rsidRPr="00CC2A02" w14:paraId="44975428" w14:textId="77777777" w:rsidTr="0097090C">
        <w:trPr>
          <w:trHeight w:val="300"/>
        </w:trPr>
        <w:tc>
          <w:tcPr>
            <w:tcW w:w="6120" w:type="dxa"/>
            <w:tcBorders>
              <w:top w:val="nil"/>
              <w:left w:val="nil"/>
              <w:bottom w:val="single" w:sz="4" w:space="0" w:color="auto"/>
              <w:right w:val="nil"/>
            </w:tcBorders>
            <w:shd w:val="clear" w:color="auto" w:fill="auto"/>
            <w:vAlign w:val="center"/>
            <w:hideMark/>
          </w:tcPr>
          <w:p w14:paraId="369ADEF2" w14:textId="77777777" w:rsidR="0097090C" w:rsidRPr="00CC2A02" w:rsidRDefault="0097090C" w:rsidP="0097090C">
            <w:pPr>
              <w:rPr>
                <w:rFonts w:cs="Arial"/>
                <w:b/>
                <w:bCs/>
                <w:color w:val="000000"/>
              </w:rPr>
            </w:pPr>
            <w:r w:rsidRPr="00CC2A02">
              <w:rPr>
                <w:rFonts w:cs="Arial"/>
                <w:b/>
                <w:bCs/>
                <w:color w:val="000000"/>
              </w:rPr>
              <w:t>Total Employee Benefits</w:t>
            </w:r>
          </w:p>
        </w:tc>
        <w:tc>
          <w:tcPr>
            <w:tcW w:w="720" w:type="dxa"/>
            <w:tcBorders>
              <w:top w:val="nil"/>
              <w:left w:val="nil"/>
              <w:bottom w:val="single" w:sz="4" w:space="0" w:color="auto"/>
              <w:right w:val="nil"/>
            </w:tcBorders>
            <w:shd w:val="clear" w:color="auto" w:fill="auto"/>
            <w:vAlign w:val="center"/>
            <w:hideMark/>
          </w:tcPr>
          <w:p w14:paraId="6E67B13E" w14:textId="77777777" w:rsidR="0097090C" w:rsidRPr="00CC2A02" w:rsidRDefault="0097090C" w:rsidP="0097090C">
            <w:pPr>
              <w:jc w:val="center"/>
              <w:rPr>
                <w:rFonts w:cs="Arial"/>
                <w:b/>
                <w:bCs/>
                <w:color w:val="000000"/>
              </w:rPr>
            </w:pPr>
            <w:r w:rsidRPr="00CC2A02">
              <w:rPr>
                <w:rFonts w:cs="Arial"/>
                <w:b/>
                <w:bCs/>
                <w:color w:val="000000"/>
              </w:rPr>
              <w:t> </w:t>
            </w:r>
          </w:p>
        </w:tc>
        <w:tc>
          <w:tcPr>
            <w:tcW w:w="1260" w:type="dxa"/>
            <w:tcBorders>
              <w:top w:val="nil"/>
              <w:left w:val="nil"/>
              <w:bottom w:val="single" w:sz="4" w:space="0" w:color="auto"/>
              <w:right w:val="nil"/>
            </w:tcBorders>
            <w:shd w:val="clear" w:color="000000" w:fill="D9D9D9"/>
            <w:vAlign w:val="center"/>
            <w:hideMark/>
          </w:tcPr>
          <w:p w14:paraId="1B0794BB" w14:textId="77777777" w:rsidR="0097090C" w:rsidRPr="00CC2A02" w:rsidRDefault="0097090C" w:rsidP="0097090C">
            <w:pPr>
              <w:jc w:val="right"/>
              <w:rPr>
                <w:rFonts w:cs="Arial"/>
                <w:b/>
                <w:bCs/>
                <w:color w:val="000000"/>
              </w:rPr>
            </w:pPr>
            <w:r w:rsidRPr="00CC2A02">
              <w:rPr>
                <w:rFonts w:cs="Arial"/>
                <w:b/>
                <w:bCs/>
                <w:color w:val="000000"/>
              </w:rPr>
              <w:t>9,736</w:t>
            </w:r>
          </w:p>
        </w:tc>
        <w:tc>
          <w:tcPr>
            <w:tcW w:w="1260" w:type="dxa"/>
            <w:tcBorders>
              <w:top w:val="nil"/>
              <w:left w:val="nil"/>
              <w:bottom w:val="single" w:sz="4" w:space="0" w:color="auto"/>
              <w:right w:val="nil"/>
            </w:tcBorders>
            <w:shd w:val="clear" w:color="auto" w:fill="auto"/>
            <w:vAlign w:val="center"/>
            <w:hideMark/>
          </w:tcPr>
          <w:p w14:paraId="0CE1917E" w14:textId="77777777" w:rsidR="0097090C" w:rsidRPr="00CC2A02" w:rsidRDefault="0097090C" w:rsidP="0097090C">
            <w:pPr>
              <w:jc w:val="right"/>
              <w:rPr>
                <w:rFonts w:cs="Arial"/>
                <w:b/>
                <w:bCs/>
                <w:color w:val="000000"/>
              </w:rPr>
            </w:pPr>
            <w:r w:rsidRPr="00CC2A02">
              <w:rPr>
                <w:rFonts w:cs="Arial"/>
                <w:b/>
                <w:bCs/>
                <w:color w:val="000000"/>
              </w:rPr>
              <w:t>8,661</w:t>
            </w:r>
          </w:p>
        </w:tc>
      </w:tr>
      <w:tr w:rsidR="0097090C" w:rsidRPr="00CC2A02" w14:paraId="5106A0C4" w14:textId="77777777" w:rsidTr="0097090C">
        <w:trPr>
          <w:trHeight w:val="255"/>
        </w:trPr>
        <w:tc>
          <w:tcPr>
            <w:tcW w:w="6120" w:type="dxa"/>
            <w:tcBorders>
              <w:top w:val="nil"/>
              <w:left w:val="nil"/>
              <w:bottom w:val="nil"/>
              <w:right w:val="nil"/>
            </w:tcBorders>
            <w:shd w:val="clear" w:color="auto" w:fill="auto"/>
            <w:vAlign w:val="center"/>
            <w:hideMark/>
          </w:tcPr>
          <w:p w14:paraId="7C846402" w14:textId="77777777" w:rsidR="0097090C" w:rsidRPr="00CC2A02" w:rsidRDefault="0097090C" w:rsidP="0097090C">
            <w:pPr>
              <w:rPr>
                <w:rFonts w:cs="Arial"/>
                <w:color w:val="000000"/>
              </w:rPr>
            </w:pPr>
            <w:r w:rsidRPr="00CC2A02">
              <w:rPr>
                <w:rFonts w:cs="Arial"/>
                <w:color w:val="000000"/>
              </w:rPr>
              <w:t>Current on-costs</w:t>
            </w:r>
          </w:p>
        </w:tc>
        <w:tc>
          <w:tcPr>
            <w:tcW w:w="720" w:type="dxa"/>
            <w:tcBorders>
              <w:top w:val="nil"/>
              <w:left w:val="nil"/>
              <w:bottom w:val="nil"/>
              <w:right w:val="nil"/>
            </w:tcBorders>
            <w:shd w:val="clear" w:color="auto" w:fill="auto"/>
            <w:vAlign w:val="center"/>
            <w:hideMark/>
          </w:tcPr>
          <w:p w14:paraId="7DFDACFD"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7E26751" w14:textId="77777777" w:rsidR="0097090C" w:rsidRPr="00CC2A02" w:rsidRDefault="0097090C" w:rsidP="0097090C">
            <w:pPr>
              <w:jc w:val="right"/>
              <w:rPr>
                <w:rFonts w:cs="Arial"/>
                <w:color w:val="000000"/>
              </w:rPr>
            </w:pPr>
            <w:r w:rsidRPr="00CC2A02">
              <w:rPr>
                <w:rFonts w:cs="Arial"/>
                <w:color w:val="000000"/>
              </w:rPr>
              <w:t>1,478</w:t>
            </w:r>
          </w:p>
        </w:tc>
        <w:tc>
          <w:tcPr>
            <w:tcW w:w="1260" w:type="dxa"/>
            <w:tcBorders>
              <w:top w:val="nil"/>
              <w:left w:val="nil"/>
              <w:bottom w:val="nil"/>
              <w:right w:val="nil"/>
            </w:tcBorders>
            <w:shd w:val="clear" w:color="auto" w:fill="auto"/>
            <w:vAlign w:val="center"/>
            <w:hideMark/>
          </w:tcPr>
          <w:p w14:paraId="13A23637" w14:textId="77777777" w:rsidR="0097090C" w:rsidRPr="00CC2A02" w:rsidRDefault="0097090C" w:rsidP="0097090C">
            <w:pPr>
              <w:jc w:val="right"/>
              <w:rPr>
                <w:rFonts w:cs="Arial"/>
                <w:color w:val="000000"/>
              </w:rPr>
            </w:pPr>
            <w:r w:rsidRPr="00CC2A02">
              <w:rPr>
                <w:rFonts w:cs="Arial"/>
                <w:color w:val="000000"/>
              </w:rPr>
              <w:t>1,313</w:t>
            </w:r>
          </w:p>
        </w:tc>
      </w:tr>
      <w:tr w:rsidR="0097090C" w:rsidRPr="00CC2A02" w14:paraId="3C950FB6" w14:textId="77777777" w:rsidTr="0097090C">
        <w:trPr>
          <w:trHeight w:val="255"/>
        </w:trPr>
        <w:tc>
          <w:tcPr>
            <w:tcW w:w="6120" w:type="dxa"/>
            <w:tcBorders>
              <w:top w:val="nil"/>
              <w:left w:val="nil"/>
              <w:bottom w:val="nil"/>
              <w:right w:val="nil"/>
            </w:tcBorders>
            <w:shd w:val="clear" w:color="auto" w:fill="auto"/>
            <w:vAlign w:val="center"/>
            <w:hideMark/>
          </w:tcPr>
          <w:p w14:paraId="06524F4E" w14:textId="77777777" w:rsidR="0097090C" w:rsidRPr="00CC2A02" w:rsidRDefault="0097090C" w:rsidP="0097090C">
            <w:pPr>
              <w:rPr>
                <w:rFonts w:cs="Arial"/>
                <w:color w:val="000000"/>
              </w:rPr>
            </w:pPr>
            <w:r w:rsidRPr="00CC2A02">
              <w:rPr>
                <w:rFonts w:cs="Arial"/>
                <w:color w:val="000000"/>
              </w:rPr>
              <w:t>Non-current on-costs</w:t>
            </w:r>
          </w:p>
        </w:tc>
        <w:tc>
          <w:tcPr>
            <w:tcW w:w="720" w:type="dxa"/>
            <w:tcBorders>
              <w:top w:val="nil"/>
              <w:left w:val="nil"/>
              <w:bottom w:val="nil"/>
              <w:right w:val="nil"/>
            </w:tcBorders>
            <w:shd w:val="clear" w:color="auto" w:fill="auto"/>
            <w:vAlign w:val="center"/>
            <w:hideMark/>
          </w:tcPr>
          <w:p w14:paraId="1EB91D7C" w14:textId="77777777" w:rsidR="0097090C" w:rsidRPr="00CC2A02"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EACCFBA" w14:textId="77777777" w:rsidR="0097090C" w:rsidRPr="00CC2A02" w:rsidRDefault="0097090C" w:rsidP="0097090C">
            <w:pPr>
              <w:jc w:val="right"/>
              <w:rPr>
                <w:rFonts w:cs="Arial"/>
                <w:color w:val="000000"/>
              </w:rPr>
            </w:pPr>
            <w:r w:rsidRPr="00CC2A02">
              <w:rPr>
                <w:rFonts w:cs="Arial"/>
                <w:color w:val="000000"/>
              </w:rPr>
              <w:t>117</w:t>
            </w:r>
          </w:p>
        </w:tc>
        <w:tc>
          <w:tcPr>
            <w:tcW w:w="1260" w:type="dxa"/>
            <w:tcBorders>
              <w:top w:val="nil"/>
              <w:left w:val="nil"/>
              <w:bottom w:val="nil"/>
              <w:right w:val="nil"/>
            </w:tcBorders>
            <w:shd w:val="clear" w:color="auto" w:fill="auto"/>
            <w:vAlign w:val="center"/>
            <w:hideMark/>
          </w:tcPr>
          <w:p w14:paraId="06A9D676" w14:textId="77777777" w:rsidR="0097090C" w:rsidRPr="00CC2A02" w:rsidRDefault="0097090C" w:rsidP="0097090C">
            <w:pPr>
              <w:jc w:val="right"/>
              <w:rPr>
                <w:rFonts w:cs="Arial"/>
                <w:color w:val="000000"/>
              </w:rPr>
            </w:pPr>
            <w:r w:rsidRPr="00CC2A02">
              <w:rPr>
                <w:rFonts w:cs="Arial"/>
                <w:color w:val="000000"/>
              </w:rPr>
              <w:t>117</w:t>
            </w:r>
          </w:p>
        </w:tc>
      </w:tr>
      <w:tr w:rsidR="0097090C" w:rsidRPr="00CC2A02" w14:paraId="024D8153" w14:textId="77777777" w:rsidTr="0097090C">
        <w:trPr>
          <w:trHeight w:val="300"/>
        </w:trPr>
        <w:tc>
          <w:tcPr>
            <w:tcW w:w="6120" w:type="dxa"/>
            <w:tcBorders>
              <w:top w:val="single" w:sz="4" w:space="0" w:color="auto"/>
              <w:left w:val="nil"/>
              <w:bottom w:val="single" w:sz="4" w:space="0" w:color="auto"/>
              <w:right w:val="nil"/>
            </w:tcBorders>
            <w:shd w:val="clear" w:color="auto" w:fill="auto"/>
            <w:vAlign w:val="center"/>
            <w:hideMark/>
          </w:tcPr>
          <w:p w14:paraId="3D887E5A" w14:textId="77777777" w:rsidR="0097090C" w:rsidRPr="00CC2A02" w:rsidRDefault="0097090C" w:rsidP="0097090C">
            <w:pPr>
              <w:rPr>
                <w:rFonts w:cs="Arial"/>
                <w:b/>
                <w:bCs/>
                <w:color w:val="000000"/>
              </w:rPr>
            </w:pPr>
            <w:r w:rsidRPr="00CC2A02">
              <w:rPr>
                <w:rFonts w:cs="Arial"/>
                <w:b/>
                <w:bCs/>
                <w:color w:val="000000"/>
              </w:rPr>
              <w:t>Total on-costs</w:t>
            </w:r>
          </w:p>
        </w:tc>
        <w:tc>
          <w:tcPr>
            <w:tcW w:w="720" w:type="dxa"/>
            <w:tcBorders>
              <w:top w:val="single" w:sz="4" w:space="0" w:color="auto"/>
              <w:left w:val="nil"/>
              <w:bottom w:val="single" w:sz="4" w:space="0" w:color="auto"/>
              <w:right w:val="nil"/>
            </w:tcBorders>
            <w:shd w:val="clear" w:color="auto" w:fill="auto"/>
            <w:vAlign w:val="center"/>
            <w:hideMark/>
          </w:tcPr>
          <w:p w14:paraId="3864163E" w14:textId="77777777" w:rsidR="0097090C" w:rsidRPr="00CC2A02" w:rsidRDefault="0097090C" w:rsidP="0097090C">
            <w:pPr>
              <w:jc w:val="center"/>
              <w:rPr>
                <w:rFonts w:cs="Arial"/>
                <w:b/>
                <w:bCs/>
                <w:color w:val="000000"/>
              </w:rPr>
            </w:pPr>
            <w:r w:rsidRPr="00CC2A02">
              <w:rPr>
                <w:rFonts w:cs="Arial"/>
                <w:b/>
                <w:bCs/>
                <w:color w:val="000000"/>
              </w:rPr>
              <w:t> </w:t>
            </w:r>
          </w:p>
        </w:tc>
        <w:tc>
          <w:tcPr>
            <w:tcW w:w="1260" w:type="dxa"/>
            <w:tcBorders>
              <w:top w:val="single" w:sz="4" w:space="0" w:color="auto"/>
              <w:left w:val="nil"/>
              <w:bottom w:val="single" w:sz="4" w:space="0" w:color="auto"/>
              <w:right w:val="nil"/>
            </w:tcBorders>
            <w:shd w:val="clear" w:color="000000" w:fill="D9D9D9"/>
            <w:vAlign w:val="center"/>
            <w:hideMark/>
          </w:tcPr>
          <w:p w14:paraId="72B6104D" w14:textId="77777777" w:rsidR="0097090C" w:rsidRPr="00CC2A02" w:rsidRDefault="0097090C" w:rsidP="0097090C">
            <w:pPr>
              <w:jc w:val="right"/>
              <w:rPr>
                <w:rFonts w:cs="Arial"/>
                <w:b/>
                <w:bCs/>
                <w:color w:val="000000"/>
              </w:rPr>
            </w:pPr>
            <w:r w:rsidRPr="00CC2A02">
              <w:rPr>
                <w:rFonts w:cs="Arial"/>
                <w:b/>
                <w:bCs/>
                <w:color w:val="000000"/>
              </w:rPr>
              <w:t>1,595</w:t>
            </w:r>
          </w:p>
        </w:tc>
        <w:tc>
          <w:tcPr>
            <w:tcW w:w="1260" w:type="dxa"/>
            <w:tcBorders>
              <w:top w:val="single" w:sz="4" w:space="0" w:color="auto"/>
              <w:left w:val="nil"/>
              <w:bottom w:val="single" w:sz="4" w:space="0" w:color="auto"/>
              <w:right w:val="nil"/>
            </w:tcBorders>
            <w:shd w:val="clear" w:color="auto" w:fill="auto"/>
            <w:vAlign w:val="center"/>
            <w:hideMark/>
          </w:tcPr>
          <w:p w14:paraId="4D9C5AA0" w14:textId="77777777" w:rsidR="0097090C" w:rsidRPr="00CC2A02" w:rsidRDefault="0097090C" w:rsidP="0097090C">
            <w:pPr>
              <w:jc w:val="right"/>
              <w:rPr>
                <w:rFonts w:cs="Arial"/>
                <w:b/>
                <w:bCs/>
                <w:color w:val="000000"/>
              </w:rPr>
            </w:pPr>
            <w:r w:rsidRPr="00CC2A02">
              <w:rPr>
                <w:rFonts w:cs="Arial"/>
                <w:b/>
                <w:bCs/>
                <w:color w:val="000000"/>
              </w:rPr>
              <w:t>1,430</w:t>
            </w:r>
          </w:p>
        </w:tc>
      </w:tr>
      <w:tr w:rsidR="0097090C" w:rsidRPr="00CC2A02" w14:paraId="681406C7" w14:textId="77777777" w:rsidTr="0097090C">
        <w:trPr>
          <w:trHeight w:val="300"/>
        </w:trPr>
        <w:tc>
          <w:tcPr>
            <w:tcW w:w="6120" w:type="dxa"/>
            <w:tcBorders>
              <w:top w:val="nil"/>
              <w:left w:val="nil"/>
              <w:bottom w:val="single" w:sz="4" w:space="0" w:color="auto"/>
              <w:right w:val="nil"/>
            </w:tcBorders>
            <w:shd w:val="clear" w:color="auto" w:fill="auto"/>
            <w:vAlign w:val="center"/>
            <w:hideMark/>
          </w:tcPr>
          <w:p w14:paraId="7266EE6B" w14:textId="77777777" w:rsidR="0097090C" w:rsidRPr="00CC2A02" w:rsidRDefault="0097090C" w:rsidP="0097090C">
            <w:pPr>
              <w:rPr>
                <w:rFonts w:cs="Arial"/>
                <w:b/>
                <w:bCs/>
                <w:color w:val="000000"/>
              </w:rPr>
            </w:pPr>
            <w:r w:rsidRPr="00CC2A02">
              <w:rPr>
                <w:rFonts w:cs="Arial"/>
                <w:b/>
                <w:bCs/>
                <w:color w:val="000000"/>
              </w:rPr>
              <w:t>Total Employee Benefits and related on-costs – Refer Note 1 (i)</w:t>
            </w:r>
          </w:p>
        </w:tc>
        <w:tc>
          <w:tcPr>
            <w:tcW w:w="720" w:type="dxa"/>
            <w:tcBorders>
              <w:top w:val="nil"/>
              <w:left w:val="nil"/>
              <w:bottom w:val="single" w:sz="4" w:space="0" w:color="auto"/>
              <w:right w:val="nil"/>
            </w:tcBorders>
            <w:shd w:val="clear" w:color="auto" w:fill="auto"/>
            <w:vAlign w:val="center"/>
            <w:hideMark/>
          </w:tcPr>
          <w:p w14:paraId="71D57196" w14:textId="77777777" w:rsidR="0097090C" w:rsidRPr="00CC2A02" w:rsidRDefault="0097090C" w:rsidP="0097090C">
            <w:pPr>
              <w:jc w:val="center"/>
              <w:rPr>
                <w:rFonts w:cs="Arial"/>
                <w:b/>
                <w:bCs/>
                <w:color w:val="000000"/>
              </w:rPr>
            </w:pPr>
            <w:r w:rsidRPr="00CC2A02">
              <w:rPr>
                <w:rFonts w:cs="Arial"/>
                <w:b/>
                <w:bCs/>
                <w:color w:val="000000"/>
              </w:rPr>
              <w:t> </w:t>
            </w:r>
          </w:p>
        </w:tc>
        <w:tc>
          <w:tcPr>
            <w:tcW w:w="1260" w:type="dxa"/>
            <w:tcBorders>
              <w:top w:val="nil"/>
              <w:left w:val="nil"/>
              <w:bottom w:val="single" w:sz="4" w:space="0" w:color="auto"/>
              <w:right w:val="nil"/>
            </w:tcBorders>
            <w:shd w:val="clear" w:color="000000" w:fill="D9D9D9"/>
            <w:vAlign w:val="center"/>
            <w:hideMark/>
          </w:tcPr>
          <w:p w14:paraId="24737BDC" w14:textId="77777777" w:rsidR="0097090C" w:rsidRPr="00CC2A02" w:rsidRDefault="0097090C" w:rsidP="0097090C">
            <w:pPr>
              <w:jc w:val="right"/>
              <w:rPr>
                <w:rFonts w:cs="Arial"/>
                <w:b/>
                <w:bCs/>
                <w:color w:val="000000"/>
              </w:rPr>
            </w:pPr>
            <w:r w:rsidRPr="00CC2A02">
              <w:rPr>
                <w:rFonts w:cs="Arial"/>
                <w:b/>
                <w:bCs/>
                <w:color w:val="000000"/>
              </w:rPr>
              <w:t>11,331</w:t>
            </w:r>
          </w:p>
        </w:tc>
        <w:tc>
          <w:tcPr>
            <w:tcW w:w="1260" w:type="dxa"/>
            <w:tcBorders>
              <w:top w:val="nil"/>
              <w:left w:val="nil"/>
              <w:bottom w:val="single" w:sz="4" w:space="0" w:color="auto"/>
              <w:right w:val="nil"/>
            </w:tcBorders>
            <w:shd w:val="clear" w:color="auto" w:fill="auto"/>
            <w:vAlign w:val="center"/>
            <w:hideMark/>
          </w:tcPr>
          <w:p w14:paraId="7D635DD7" w14:textId="77777777" w:rsidR="0097090C" w:rsidRPr="00CC2A02" w:rsidRDefault="0097090C" w:rsidP="0097090C">
            <w:pPr>
              <w:jc w:val="right"/>
              <w:rPr>
                <w:rFonts w:cs="Arial"/>
                <w:b/>
                <w:bCs/>
                <w:color w:val="000000"/>
              </w:rPr>
            </w:pPr>
            <w:r w:rsidRPr="00CC2A02">
              <w:rPr>
                <w:rFonts w:cs="Arial"/>
                <w:b/>
                <w:bCs/>
                <w:color w:val="000000"/>
              </w:rPr>
              <w:t>10,091</w:t>
            </w:r>
          </w:p>
        </w:tc>
      </w:tr>
    </w:tbl>
    <w:p w14:paraId="6354DBEE" w14:textId="77777777" w:rsidR="0097090C" w:rsidRPr="00545B90" w:rsidRDefault="0097090C" w:rsidP="0097090C">
      <w:pPr>
        <w:spacing w:before="60"/>
        <w:rPr>
          <w:rFonts w:cs="Arial"/>
          <w:i/>
          <w:sz w:val="21"/>
          <w:szCs w:val="21"/>
        </w:rPr>
      </w:pPr>
      <w:r w:rsidRPr="00545B90">
        <w:rPr>
          <w:rFonts w:cs="Arial"/>
          <w:i/>
          <w:sz w:val="21"/>
          <w:szCs w:val="21"/>
        </w:rPr>
        <w:t>** The amounts disclosed are nominal (undiscounted) amounts.</w:t>
      </w:r>
    </w:p>
    <w:p w14:paraId="498618EB" w14:textId="77777777" w:rsidR="0097090C" w:rsidRPr="00545B90" w:rsidRDefault="0097090C" w:rsidP="0097090C">
      <w:pPr>
        <w:rPr>
          <w:rFonts w:cs="Arial"/>
          <w:i/>
          <w:sz w:val="21"/>
          <w:szCs w:val="21"/>
        </w:rPr>
      </w:pPr>
      <w:r w:rsidRPr="00545B90">
        <w:rPr>
          <w:rFonts w:cs="Arial"/>
          <w:i/>
          <w:sz w:val="21"/>
          <w:szCs w:val="21"/>
        </w:rPr>
        <w:t>*** The amounts disclosed are discounted to present values.</w:t>
      </w:r>
    </w:p>
    <w:p w14:paraId="3876D8F2" w14:textId="77777777" w:rsidR="0097090C" w:rsidRDefault="0097090C" w:rsidP="0097090C">
      <w:pPr>
        <w:rPr>
          <w:rFonts w:cs="Arial"/>
        </w:rPr>
      </w:pPr>
    </w:p>
    <w:p w14:paraId="426D9321" w14:textId="77777777" w:rsidR="0097090C" w:rsidRDefault="0097090C" w:rsidP="0097090C">
      <w:pPr>
        <w:pStyle w:val="Heading4"/>
      </w:pPr>
      <w:r>
        <w:t xml:space="preserve">13. </w:t>
      </w:r>
      <w:r w:rsidRPr="00251211">
        <w:t>Equity</w:t>
      </w:r>
    </w:p>
    <w:tbl>
      <w:tblPr>
        <w:tblW w:w="9360" w:type="dxa"/>
        <w:tblInd w:w="108" w:type="dxa"/>
        <w:tblLook w:val="04A0" w:firstRow="1" w:lastRow="0" w:firstColumn="1" w:lastColumn="0" w:noHBand="0" w:noVBand="1"/>
      </w:tblPr>
      <w:tblGrid>
        <w:gridCol w:w="6095"/>
        <w:gridCol w:w="731"/>
        <w:gridCol w:w="1267"/>
        <w:gridCol w:w="1267"/>
      </w:tblGrid>
      <w:tr w:rsidR="0097090C" w:rsidRPr="008F31A0" w14:paraId="3CB3FB2B" w14:textId="77777777" w:rsidTr="0097090C">
        <w:trPr>
          <w:trHeight w:val="255"/>
        </w:trPr>
        <w:tc>
          <w:tcPr>
            <w:tcW w:w="6095" w:type="dxa"/>
            <w:tcBorders>
              <w:top w:val="nil"/>
              <w:left w:val="nil"/>
              <w:bottom w:val="single" w:sz="4" w:space="0" w:color="auto"/>
              <w:right w:val="nil"/>
            </w:tcBorders>
            <w:shd w:val="clear" w:color="auto" w:fill="auto"/>
            <w:noWrap/>
            <w:vAlign w:val="center"/>
            <w:hideMark/>
          </w:tcPr>
          <w:p w14:paraId="00B24351" w14:textId="77777777" w:rsidR="0097090C" w:rsidRPr="008F31A0" w:rsidRDefault="0097090C" w:rsidP="0097090C">
            <w:pPr>
              <w:pStyle w:val="Heading5"/>
            </w:pPr>
            <w:r w:rsidRPr="008F31A0">
              <w:t>13(a) Contributed Capital*</w:t>
            </w:r>
          </w:p>
        </w:tc>
        <w:tc>
          <w:tcPr>
            <w:tcW w:w="731" w:type="dxa"/>
            <w:tcBorders>
              <w:top w:val="nil"/>
              <w:left w:val="nil"/>
              <w:bottom w:val="single" w:sz="4" w:space="0" w:color="auto"/>
              <w:right w:val="nil"/>
            </w:tcBorders>
            <w:shd w:val="clear" w:color="auto" w:fill="auto"/>
            <w:noWrap/>
            <w:vAlign w:val="center"/>
            <w:hideMark/>
          </w:tcPr>
          <w:p w14:paraId="51CD243C" w14:textId="77777777" w:rsidR="0097090C" w:rsidRPr="008F31A0" w:rsidRDefault="0097090C" w:rsidP="0097090C">
            <w:pPr>
              <w:rPr>
                <w:rFonts w:cs="Arial"/>
                <w:color w:val="000000"/>
              </w:rPr>
            </w:pPr>
            <w:r w:rsidRPr="008F31A0">
              <w:rPr>
                <w:rFonts w:cs="Arial"/>
                <w:color w:val="000000"/>
              </w:rPr>
              <w:t> </w:t>
            </w:r>
          </w:p>
        </w:tc>
        <w:tc>
          <w:tcPr>
            <w:tcW w:w="1267" w:type="dxa"/>
            <w:tcBorders>
              <w:top w:val="nil"/>
              <w:left w:val="nil"/>
              <w:bottom w:val="single" w:sz="4" w:space="0" w:color="auto"/>
              <w:right w:val="nil"/>
            </w:tcBorders>
            <w:shd w:val="clear" w:color="000000" w:fill="D9D9D9"/>
            <w:noWrap/>
            <w:vAlign w:val="center"/>
            <w:hideMark/>
          </w:tcPr>
          <w:p w14:paraId="45F3F946" w14:textId="77777777" w:rsidR="0097090C" w:rsidRPr="008F31A0" w:rsidRDefault="0097090C" w:rsidP="0097090C">
            <w:pPr>
              <w:rPr>
                <w:rFonts w:cs="Arial"/>
                <w:color w:val="000000"/>
              </w:rPr>
            </w:pPr>
            <w:r w:rsidRPr="008F31A0">
              <w:rPr>
                <w:rFonts w:cs="Arial"/>
                <w:color w:val="000000"/>
              </w:rPr>
              <w:t> </w:t>
            </w:r>
          </w:p>
        </w:tc>
        <w:tc>
          <w:tcPr>
            <w:tcW w:w="1267" w:type="dxa"/>
            <w:tcBorders>
              <w:top w:val="nil"/>
              <w:left w:val="nil"/>
              <w:bottom w:val="single" w:sz="4" w:space="0" w:color="auto"/>
              <w:right w:val="nil"/>
            </w:tcBorders>
            <w:shd w:val="clear" w:color="auto" w:fill="auto"/>
            <w:noWrap/>
            <w:vAlign w:val="center"/>
            <w:hideMark/>
          </w:tcPr>
          <w:p w14:paraId="3BAED1D0" w14:textId="77777777" w:rsidR="0097090C" w:rsidRPr="008F31A0" w:rsidRDefault="0097090C" w:rsidP="0097090C">
            <w:pPr>
              <w:rPr>
                <w:rFonts w:cs="Arial"/>
                <w:color w:val="000000"/>
              </w:rPr>
            </w:pPr>
            <w:r w:rsidRPr="008F31A0">
              <w:rPr>
                <w:rFonts w:cs="Arial"/>
                <w:color w:val="000000"/>
              </w:rPr>
              <w:t> </w:t>
            </w:r>
          </w:p>
        </w:tc>
      </w:tr>
      <w:tr w:rsidR="0097090C" w:rsidRPr="008F31A0" w14:paraId="35B5966A" w14:textId="77777777" w:rsidTr="0097090C">
        <w:trPr>
          <w:trHeight w:val="255"/>
        </w:trPr>
        <w:tc>
          <w:tcPr>
            <w:tcW w:w="6095" w:type="dxa"/>
            <w:tcBorders>
              <w:top w:val="nil"/>
              <w:left w:val="nil"/>
              <w:bottom w:val="nil"/>
              <w:right w:val="nil"/>
            </w:tcBorders>
            <w:shd w:val="clear" w:color="auto" w:fill="auto"/>
            <w:vAlign w:val="center"/>
            <w:hideMark/>
          </w:tcPr>
          <w:p w14:paraId="5FB77BF5" w14:textId="77777777" w:rsidR="0097090C" w:rsidRPr="008F31A0" w:rsidRDefault="0097090C" w:rsidP="0097090C">
            <w:pPr>
              <w:rPr>
                <w:rFonts w:cs="Arial"/>
                <w:color w:val="000000"/>
              </w:rPr>
            </w:pPr>
            <w:r w:rsidRPr="008F31A0">
              <w:rPr>
                <w:rFonts w:cs="Arial"/>
                <w:color w:val="000000"/>
              </w:rPr>
              <w:t>Balance at beginning of financial year</w:t>
            </w:r>
          </w:p>
        </w:tc>
        <w:tc>
          <w:tcPr>
            <w:tcW w:w="731" w:type="dxa"/>
            <w:tcBorders>
              <w:top w:val="nil"/>
              <w:left w:val="nil"/>
              <w:bottom w:val="nil"/>
              <w:right w:val="nil"/>
            </w:tcBorders>
            <w:shd w:val="clear" w:color="auto" w:fill="auto"/>
            <w:vAlign w:val="center"/>
            <w:hideMark/>
          </w:tcPr>
          <w:p w14:paraId="1D1B4FF4" w14:textId="77777777" w:rsidR="0097090C" w:rsidRPr="008F31A0"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3BD71756" w14:textId="77777777" w:rsidR="0097090C" w:rsidRPr="008F31A0" w:rsidRDefault="0097090C" w:rsidP="0097090C">
            <w:pPr>
              <w:jc w:val="right"/>
              <w:rPr>
                <w:rFonts w:cs="Arial"/>
                <w:color w:val="000000"/>
              </w:rPr>
            </w:pPr>
            <w:r w:rsidRPr="008F31A0">
              <w:rPr>
                <w:rFonts w:cs="Arial"/>
                <w:color w:val="000000"/>
              </w:rPr>
              <w:t>586,139</w:t>
            </w:r>
          </w:p>
        </w:tc>
        <w:tc>
          <w:tcPr>
            <w:tcW w:w="1267" w:type="dxa"/>
            <w:tcBorders>
              <w:top w:val="nil"/>
              <w:left w:val="nil"/>
              <w:bottom w:val="nil"/>
              <w:right w:val="nil"/>
            </w:tcBorders>
            <w:shd w:val="clear" w:color="auto" w:fill="auto"/>
            <w:vAlign w:val="center"/>
            <w:hideMark/>
          </w:tcPr>
          <w:p w14:paraId="45A713F6" w14:textId="77777777" w:rsidR="0097090C" w:rsidRPr="008F31A0" w:rsidRDefault="0097090C" w:rsidP="0097090C">
            <w:pPr>
              <w:jc w:val="right"/>
              <w:rPr>
                <w:rFonts w:cs="Arial"/>
                <w:color w:val="000000"/>
              </w:rPr>
            </w:pPr>
            <w:r w:rsidRPr="008F31A0">
              <w:rPr>
                <w:rFonts w:cs="Arial"/>
                <w:color w:val="000000"/>
              </w:rPr>
              <w:t>586,139</w:t>
            </w:r>
          </w:p>
        </w:tc>
      </w:tr>
      <w:tr w:rsidR="0097090C" w:rsidRPr="008F31A0" w14:paraId="0A2929CE" w14:textId="77777777" w:rsidTr="0097090C">
        <w:trPr>
          <w:trHeight w:val="255"/>
        </w:trPr>
        <w:tc>
          <w:tcPr>
            <w:tcW w:w="6095" w:type="dxa"/>
            <w:tcBorders>
              <w:top w:val="nil"/>
              <w:left w:val="nil"/>
              <w:bottom w:val="nil"/>
              <w:right w:val="nil"/>
            </w:tcBorders>
            <w:shd w:val="clear" w:color="auto" w:fill="auto"/>
            <w:vAlign w:val="center"/>
            <w:hideMark/>
          </w:tcPr>
          <w:p w14:paraId="12583661" w14:textId="77777777" w:rsidR="0097090C" w:rsidRPr="008F31A0" w:rsidRDefault="0097090C" w:rsidP="0097090C">
            <w:pPr>
              <w:rPr>
                <w:rFonts w:cs="Arial"/>
                <w:color w:val="000000"/>
              </w:rPr>
            </w:pPr>
            <w:r w:rsidRPr="008F31A0">
              <w:rPr>
                <w:rFonts w:cs="Arial"/>
                <w:color w:val="000000"/>
              </w:rPr>
              <w:t>Transfer (to)/from Accumulated Deficit</w:t>
            </w:r>
          </w:p>
        </w:tc>
        <w:tc>
          <w:tcPr>
            <w:tcW w:w="731" w:type="dxa"/>
            <w:tcBorders>
              <w:top w:val="nil"/>
              <w:left w:val="nil"/>
              <w:bottom w:val="nil"/>
              <w:right w:val="nil"/>
            </w:tcBorders>
            <w:shd w:val="clear" w:color="auto" w:fill="auto"/>
            <w:vAlign w:val="center"/>
            <w:hideMark/>
          </w:tcPr>
          <w:p w14:paraId="5D2AE0DB" w14:textId="77777777" w:rsidR="0097090C" w:rsidRPr="008F31A0" w:rsidRDefault="0097090C" w:rsidP="0097090C">
            <w:pPr>
              <w:jc w:val="center"/>
              <w:rPr>
                <w:rFonts w:cs="Arial"/>
                <w:color w:val="000000"/>
              </w:rPr>
            </w:pPr>
          </w:p>
        </w:tc>
        <w:tc>
          <w:tcPr>
            <w:tcW w:w="1267" w:type="dxa"/>
            <w:tcBorders>
              <w:top w:val="nil"/>
              <w:left w:val="nil"/>
              <w:bottom w:val="nil"/>
              <w:right w:val="nil"/>
            </w:tcBorders>
            <w:shd w:val="clear" w:color="000000" w:fill="D9D9D9"/>
            <w:vAlign w:val="center"/>
            <w:hideMark/>
          </w:tcPr>
          <w:p w14:paraId="5101258C" w14:textId="77777777" w:rsidR="0097090C" w:rsidRPr="008F31A0" w:rsidRDefault="0097090C" w:rsidP="0097090C">
            <w:pPr>
              <w:jc w:val="right"/>
              <w:rPr>
                <w:rFonts w:cs="Arial"/>
                <w:color w:val="000000"/>
              </w:rPr>
            </w:pPr>
            <w:r w:rsidRPr="008F31A0">
              <w:rPr>
                <w:rFonts w:cs="Arial"/>
                <w:color w:val="000000"/>
              </w:rPr>
              <w:t>0</w:t>
            </w:r>
          </w:p>
        </w:tc>
        <w:tc>
          <w:tcPr>
            <w:tcW w:w="1267" w:type="dxa"/>
            <w:tcBorders>
              <w:top w:val="nil"/>
              <w:left w:val="nil"/>
              <w:bottom w:val="nil"/>
              <w:right w:val="nil"/>
            </w:tcBorders>
            <w:shd w:val="clear" w:color="auto" w:fill="auto"/>
            <w:vAlign w:val="center"/>
            <w:hideMark/>
          </w:tcPr>
          <w:p w14:paraId="340A4C98" w14:textId="77777777" w:rsidR="0097090C" w:rsidRPr="008F31A0" w:rsidRDefault="0097090C" w:rsidP="0097090C">
            <w:pPr>
              <w:jc w:val="right"/>
              <w:rPr>
                <w:rFonts w:cs="Arial"/>
                <w:color w:val="000000"/>
              </w:rPr>
            </w:pPr>
            <w:r w:rsidRPr="008F31A0">
              <w:rPr>
                <w:rFonts w:cs="Arial"/>
                <w:color w:val="000000"/>
              </w:rPr>
              <w:t>0</w:t>
            </w:r>
          </w:p>
        </w:tc>
      </w:tr>
      <w:tr w:rsidR="0097090C" w:rsidRPr="008F31A0" w14:paraId="2EE95516" w14:textId="77777777" w:rsidTr="0097090C">
        <w:trPr>
          <w:trHeight w:val="255"/>
        </w:trPr>
        <w:tc>
          <w:tcPr>
            <w:tcW w:w="6095" w:type="dxa"/>
            <w:tcBorders>
              <w:top w:val="nil"/>
              <w:left w:val="nil"/>
              <w:bottom w:val="single" w:sz="4" w:space="0" w:color="auto"/>
              <w:right w:val="nil"/>
            </w:tcBorders>
            <w:shd w:val="clear" w:color="auto" w:fill="auto"/>
            <w:vAlign w:val="center"/>
            <w:hideMark/>
          </w:tcPr>
          <w:p w14:paraId="68357B5B" w14:textId="77777777" w:rsidR="0097090C" w:rsidRPr="008F31A0" w:rsidRDefault="0097090C" w:rsidP="0097090C">
            <w:pPr>
              <w:rPr>
                <w:rFonts w:cs="Arial"/>
                <w:color w:val="000000"/>
              </w:rPr>
            </w:pPr>
            <w:r w:rsidRPr="008F31A0">
              <w:rPr>
                <w:rFonts w:cs="Arial"/>
                <w:color w:val="000000"/>
              </w:rPr>
              <w:t>Capital Contribution</w:t>
            </w:r>
            <w:r>
              <w:rPr>
                <w:rFonts w:cs="Arial"/>
                <w:color w:val="000000"/>
              </w:rPr>
              <w:t>**</w:t>
            </w:r>
          </w:p>
        </w:tc>
        <w:tc>
          <w:tcPr>
            <w:tcW w:w="731" w:type="dxa"/>
            <w:tcBorders>
              <w:top w:val="nil"/>
              <w:left w:val="nil"/>
              <w:bottom w:val="single" w:sz="4" w:space="0" w:color="auto"/>
              <w:right w:val="nil"/>
            </w:tcBorders>
            <w:shd w:val="clear" w:color="auto" w:fill="auto"/>
            <w:vAlign w:val="center"/>
            <w:hideMark/>
          </w:tcPr>
          <w:p w14:paraId="66CA42C0" w14:textId="77777777" w:rsidR="0097090C" w:rsidRPr="008F31A0" w:rsidRDefault="0097090C" w:rsidP="0097090C">
            <w:pPr>
              <w:jc w:val="center"/>
              <w:rPr>
                <w:rFonts w:cs="Arial"/>
                <w:color w:val="000000"/>
              </w:rPr>
            </w:pPr>
            <w:r w:rsidRPr="008F31A0">
              <w:rPr>
                <w:rFonts w:cs="Arial"/>
                <w:color w:val="000000"/>
              </w:rPr>
              <w:t> </w:t>
            </w:r>
          </w:p>
        </w:tc>
        <w:tc>
          <w:tcPr>
            <w:tcW w:w="1267" w:type="dxa"/>
            <w:tcBorders>
              <w:top w:val="nil"/>
              <w:left w:val="nil"/>
              <w:bottom w:val="single" w:sz="4" w:space="0" w:color="auto"/>
              <w:right w:val="nil"/>
            </w:tcBorders>
            <w:shd w:val="clear" w:color="000000" w:fill="D9D9D9"/>
            <w:vAlign w:val="center"/>
            <w:hideMark/>
          </w:tcPr>
          <w:p w14:paraId="786FA0C7" w14:textId="77777777" w:rsidR="0097090C" w:rsidRPr="008F31A0" w:rsidRDefault="0097090C" w:rsidP="0097090C">
            <w:pPr>
              <w:jc w:val="right"/>
              <w:rPr>
                <w:rFonts w:cs="Arial"/>
                <w:color w:val="000000"/>
              </w:rPr>
            </w:pPr>
            <w:r w:rsidRPr="008F31A0">
              <w:rPr>
                <w:rFonts w:cs="Arial"/>
                <w:color w:val="000000"/>
              </w:rPr>
              <w:t>4,000</w:t>
            </w:r>
          </w:p>
        </w:tc>
        <w:tc>
          <w:tcPr>
            <w:tcW w:w="1267" w:type="dxa"/>
            <w:tcBorders>
              <w:top w:val="nil"/>
              <w:left w:val="nil"/>
              <w:bottom w:val="single" w:sz="4" w:space="0" w:color="auto"/>
              <w:right w:val="nil"/>
            </w:tcBorders>
            <w:shd w:val="clear" w:color="auto" w:fill="auto"/>
            <w:vAlign w:val="center"/>
            <w:hideMark/>
          </w:tcPr>
          <w:p w14:paraId="6D77FB1C" w14:textId="77777777" w:rsidR="0097090C" w:rsidRPr="008F31A0" w:rsidRDefault="0097090C" w:rsidP="0097090C">
            <w:pPr>
              <w:jc w:val="right"/>
              <w:rPr>
                <w:rFonts w:cs="Arial"/>
                <w:color w:val="000000"/>
              </w:rPr>
            </w:pPr>
            <w:r w:rsidRPr="008F31A0">
              <w:rPr>
                <w:rFonts w:cs="Arial"/>
                <w:color w:val="000000"/>
              </w:rPr>
              <w:t>0</w:t>
            </w:r>
          </w:p>
        </w:tc>
      </w:tr>
      <w:tr w:rsidR="0097090C" w:rsidRPr="008F31A0" w14:paraId="634B9597" w14:textId="77777777" w:rsidTr="0097090C">
        <w:trPr>
          <w:trHeight w:val="285"/>
        </w:trPr>
        <w:tc>
          <w:tcPr>
            <w:tcW w:w="6095" w:type="dxa"/>
            <w:tcBorders>
              <w:top w:val="nil"/>
              <w:left w:val="nil"/>
              <w:bottom w:val="single" w:sz="4" w:space="0" w:color="auto"/>
              <w:right w:val="nil"/>
            </w:tcBorders>
            <w:shd w:val="clear" w:color="auto" w:fill="auto"/>
            <w:vAlign w:val="center"/>
            <w:hideMark/>
          </w:tcPr>
          <w:p w14:paraId="487206D5" w14:textId="77777777" w:rsidR="0097090C" w:rsidRPr="008F31A0" w:rsidRDefault="0097090C" w:rsidP="0097090C">
            <w:pPr>
              <w:rPr>
                <w:rFonts w:cs="Arial"/>
                <w:b/>
                <w:bCs/>
                <w:color w:val="000000"/>
              </w:rPr>
            </w:pPr>
            <w:r w:rsidRPr="008F31A0">
              <w:rPr>
                <w:rFonts w:cs="Arial"/>
                <w:b/>
                <w:bCs/>
                <w:color w:val="000000"/>
              </w:rPr>
              <w:t>Balance at end of financial year</w:t>
            </w:r>
          </w:p>
        </w:tc>
        <w:tc>
          <w:tcPr>
            <w:tcW w:w="731" w:type="dxa"/>
            <w:tcBorders>
              <w:top w:val="nil"/>
              <w:left w:val="nil"/>
              <w:bottom w:val="single" w:sz="4" w:space="0" w:color="auto"/>
              <w:right w:val="nil"/>
            </w:tcBorders>
            <w:shd w:val="clear" w:color="auto" w:fill="auto"/>
            <w:vAlign w:val="center"/>
            <w:hideMark/>
          </w:tcPr>
          <w:p w14:paraId="597CEB0D" w14:textId="77777777" w:rsidR="0097090C" w:rsidRPr="008F31A0" w:rsidRDefault="0097090C" w:rsidP="0097090C">
            <w:pPr>
              <w:jc w:val="center"/>
              <w:rPr>
                <w:rFonts w:cs="Arial"/>
                <w:b/>
                <w:bCs/>
                <w:color w:val="000000"/>
              </w:rPr>
            </w:pPr>
            <w:r w:rsidRPr="008F31A0">
              <w:rPr>
                <w:rFonts w:cs="Arial"/>
                <w:b/>
                <w:bCs/>
                <w:color w:val="000000"/>
              </w:rPr>
              <w:t> </w:t>
            </w:r>
          </w:p>
        </w:tc>
        <w:tc>
          <w:tcPr>
            <w:tcW w:w="1267" w:type="dxa"/>
            <w:tcBorders>
              <w:top w:val="nil"/>
              <w:left w:val="nil"/>
              <w:bottom w:val="single" w:sz="4" w:space="0" w:color="auto"/>
              <w:right w:val="nil"/>
            </w:tcBorders>
            <w:shd w:val="clear" w:color="000000" w:fill="D9D9D9"/>
            <w:vAlign w:val="center"/>
            <w:hideMark/>
          </w:tcPr>
          <w:p w14:paraId="28522B1D" w14:textId="77777777" w:rsidR="0097090C" w:rsidRPr="008F31A0" w:rsidRDefault="0097090C" w:rsidP="0097090C">
            <w:pPr>
              <w:jc w:val="right"/>
              <w:rPr>
                <w:rFonts w:cs="Arial"/>
                <w:b/>
                <w:bCs/>
                <w:color w:val="000000"/>
              </w:rPr>
            </w:pPr>
            <w:r w:rsidRPr="008F31A0">
              <w:rPr>
                <w:rFonts w:cs="Arial"/>
                <w:b/>
                <w:bCs/>
                <w:color w:val="000000"/>
              </w:rPr>
              <w:t>590,139</w:t>
            </w:r>
          </w:p>
        </w:tc>
        <w:tc>
          <w:tcPr>
            <w:tcW w:w="1267" w:type="dxa"/>
            <w:tcBorders>
              <w:top w:val="nil"/>
              <w:left w:val="nil"/>
              <w:bottom w:val="single" w:sz="4" w:space="0" w:color="auto"/>
              <w:right w:val="nil"/>
            </w:tcBorders>
            <w:shd w:val="clear" w:color="auto" w:fill="auto"/>
            <w:vAlign w:val="center"/>
            <w:hideMark/>
          </w:tcPr>
          <w:p w14:paraId="734CC5C2" w14:textId="77777777" w:rsidR="0097090C" w:rsidRPr="008F31A0" w:rsidRDefault="0097090C" w:rsidP="0097090C">
            <w:pPr>
              <w:jc w:val="right"/>
              <w:rPr>
                <w:rFonts w:cs="Arial"/>
                <w:b/>
                <w:bCs/>
                <w:color w:val="000000"/>
              </w:rPr>
            </w:pPr>
            <w:r w:rsidRPr="008F31A0">
              <w:rPr>
                <w:rFonts w:cs="Arial"/>
                <w:b/>
                <w:bCs/>
                <w:color w:val="000000"/>
              </w:rPr>
              <w:t>586,139</w:t>
            </w:r>
          </w:p>
        </w:tc>
      </w:tr>
    </w:tbl>
    <w:p w14:paraId="65B6B445" w14:textId="77777777" w:rsidR="0097090C" w:rsidRPr="00923A58" w:rsidRDefault="0097090C" w:rsidP="0097090C">
      <w:pPr>
        <w:spacing w:before="60"/>
        <w:rPr>
          <w:rFonts w:cs="Arial"/>
          <w:i/>
          <w:sz w:val="21"/>
          <w:szCs w:val="21"/>
        </w:rPr>
      </w:pPr>
      <w:r w:rsidRPr="00923A58">
        <w:rPr>
          <w:rFonts w:cs="Arial"/>
          <w:i/>
          <w:sz w:val="21"/>
          <w:szCs w:val="21"/>
        </w:rPr>
        <w:t xml:space="preserve">* Contributed Capital consists of capital funds provided by the Victorian Government for the Melbourne Museum, Scienceworks, Immigration Museum and Royal Exhibition Building. Ministerial approval has been received for the treatment of these amounts as Contributed Capital. </w:t>
      </w:r>
    </w:p>
    <w:p w14:paraId="2D2EA2EB" w14:textId="77777777" w:rsidR="0097090C" w:rsidRPr="00923A58" w:rsidRDefault="0097090C" w:rsidP="0097090C">
      <w:pPr>
        <w:spacing w:before="60"/>
        <w:rPr>
          <w:rFonts w:cs="Arial"/>
          <w:i/>
          <w:sz w:val="21"/>
          <w:szCs w:val="21"/>
        </w:rPr>
      </w:pPr>
      <w:r w:rsidRPr="00923A58">
        <w:rPr>
          <w:rFonts w:cs="Arial"/>
          <w:i/>
          <w:sz w:val="21"/>
          <w:szCs w:val="21"/>
        </w:rPr>
        <w:t>** Grant from Commonwealth Government to Victorian Government for the protection and promotion of the Royal Exhibition Building under Museum Victoria.</w:t>
      </w:r>
    </w:p>
    <w:p w14:paraId="712CE1C4" w14:textId="77777777" w:rsidR="0097090C" w:rsidRDefault="0097090C" w:rsidP="0097090C">
      <w:pPr>
        <w:spacing w:before="60"/>
        <w:rPr>
          <w:rFonts w:cs="Arial"/>
          <w:i/>
          <w:sz w:val="18"/>
          <w:szCs w:val="18"/>
        </w:rPr>
      </w:pPr>
      <w:r>
        <w:rPr>
          <w:rFonts w:cs="Arial"/>
          <w:i/>
          <w:sz w:val="18"/>
          <w:szCs w:val="18"/>
        </w:rPr>
        <w:br w:type="page"/>
      </w:r>
    </w:p>
    <w:p w14:paraId="61DE1895" w14:textId="77777777" w:rsidR="0097090C" w:rsidRDefault="0097090C" w:rsidP="0097090C">
      <w:pPr>
        <w:spacing w:before="60"/>
        <w:rPr>
          <w:rFonts w:cs="Arial"/>
          <w:i/>
          <w:sz w:val="18"/>
          <w:szCs w:val="18"/>
        </w:rPr>
      </w:pPr>
    </w:p>
    <w:tbl>
      <w:tblPr>
        <w:tblW w:w="9360" w:type="dxa"/>
        <w:tblInd w:w="108" w:type="dxa"/>
        <w:tblLook w:val="04A0" w:firstRow="1" w:lastRow="0" w:firstColumn="1" w:lastColumn="0" w:noHBand="0" w:noVBand="1"/>
      </w:tblPr>
      <w:tblGrid>
        <w:gridCol w:w="6120"/>
        <w:gridCol w:w="720"/>
        <w:gridCol w:w="1260"/>
        <w:gridCol w:w="1260"/>
      </w:tblGrid>
      <w:tr w:rsidR="0097090C" w:rsidRPr="008F31A0" w14:paraId="5F294D0E" w14:textId="77777777" w:rsidTr="0097090C">
        <w:trPr>
          <w:trHeight w:val="255"/>
        </w:trPr>
        <w:tc>
          <w:tcPr>
            <w:tcW w:w="6120" w:type="dxa"/>
            <w:tcBorders>
              <w:top w:val="nil"/>
              <w:left w:val="nil"/>
              <w:bottom w:val="nil"/>
              <w:right w:val="nil"/>
            </w:tcBorders>
            <w:shd w:val="clear" w:color="auto" w:fill="auto"/>
            <w:vAlign w:val="center"/>
            <w:hideMark/>
          </w:tcPr>
          <w:p w14:paraId="2061FA0D" w14:textId="77777777" w:rsidR="0097090C" w:rsidRPr="008F31A0" w:rsidRDefault="0097090C" w:rsidP="0097090C">
            <w:pPr>
              <w:pStyle w:val="Heading5"/>
            </w:pPr>
            <w:r w:rsidRPr="008F31A0">
              <w:t>13(b) Accumulated Deficit</w:t>
            </w:r>
          </w:p>
        </w:tc>
        <w:tc>
          <w:tcPr>
            <w:tcW w:w="720" w:type="dxa"/>
            <w:tcBorders>
              <w:top w:val="nil"/>
              <w:left w:val="nil"/>
              <w:bottom w:val="nil"/>
              <w:right w:val="nil"/>
            </w:tcBorders>
            <w:shd w:val="clear" w:color="auto" w:fill="auto"/>
            <w:vAlign w:val="center"/>
            <w:hideMark/>
          </w:tcPr>
          <w:p w14:paraId="69C28A1B"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7390F4A" w14:textId="77777777" w:rsidR="0097090C" w:rsidRPr="008F31A0" w:rsidRDefault="0097090C" w:rsidP="0097090C">
            <w:pPr>
              <w:jc w:val="right"/>
              <w:rPr>
                <w:rFonts w:cs="Arial"/>
                <w:color w:val="000000"/>
              </w:rPr>
            </w:pPr>
            <w:r w:rsidRPr="008F31A0">
              <w:rPr>
                <w:rFonts w:cs="Arial"/>
                <w:color w:val="000000"/>
              </w:rPr>
              <w:t> </w:t>
            </w:r>
          </w:p>
        </w:tc>
        <w:tc>
          <w:tcPr>
            <w:tcW w:w="1260" w:type="dxa"/>
            <w:tcBorders>
              <w:top w:val="nil"/>
              <w:left w:val="nil"/>
              <w:bottom w:val="nil"/>
              <w:right w:val="nil"/>
            </w:tcBorders>
            <w:shd w:val="clear" w:color="auto" w:fill="auto"/>
            <w:vAlign w:val="center"/>
            <w:hideMark/>
          </w:tcPr>
          <w:p w14:paraId="130C6FCA" w14:textId="77777777" w:rsidR="0097090C" w:rsidRPr="008F31A0" w:rsidRDefault="0097090C" w:rsidP="0097090C">
            <w:pPr>
              <w:jc w:val="right"/>
              <w:rPr>
                <w:rFonts w:cs="Arial"/>
                <w:color w:val="000000"/>
              </w:rPr>
            </w:pPr>
          </w:p>
        </w:tc>
      </w:tr>
      <w:tr w:rsidR="0097090C" w:rsidRPr="008F31A0" w14:paraId="3C38EE2E"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4E7E0686" w14:textId="77777777" w:rsidR="0097090C" w:rsidRPr="008F31A0" w:rsidRDefault="0097090C" w:rsidP="0097090C">
            <w:pPr>
              <w:rPr>
                <w:rFonts w:cs="Arial"/>
                <w:color w:val="000000"/>
              </w:rPr>
            </w:pPr>
            <w:r w:rsidRPr="008F31A0">
              <w:rPr>
                <w:rFonts w:cs="Arial"/>
                <w:color w:val="000000"/>
              </w:rPr>
              <w:t>Balance at beginning of financial year</w:t>
            </w:r>
          </w:p>
        </w:tc>
        <w:tc>
          <w:tcPr>
            <w:tcW w:w="720" w:type="dxa"/>
            <w:tcBorders>
              <w:top w:val="single" w:sz="4" w:space="0" w:color="auto"/>
              <w:left w:val="nil"/>
              <w:bottom w:val="nil"/>
              <w:right w:val="nil"/>
            </w:tcBorders>
            <w:shd w:val="clear" w:color="auto" w:fill="auto"/>
            <w:vAlign w:val="center"/>
            <w:hideMark/>
          </w:tcPr>
          <w:p w14:paraId="53CD26DC" w14:textId="77777777" w:rsidR="0097090C" w:rsidRPr="008F31A0" w:rsidRDefault="0097090C" w:rsidP="0097090C">
            <w:pPr>
              <w:jc w:val="center"/>
              <w:rPr>
                <w:rFonts w:cs="Arial"/>
                <w:color w:val="000000"/>
              </w:rPr>
            </w:pPr>
            <w:r w:rsidRPr="008F31A0">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00589A25" w14:textId="77777777" w:rsidR="0097090C" w:rsidRPr="008F31A0" w:rsidRDefault="0097090C" w:rsidP="0097090C">
            <w:pPr>
              <w:jc w:val="right"/>
              <w:rPr>
                <w:rFonts w:cs="Arial"/>
                <w:color w:val="000000"/>
              </w:rPr>
            </w:pPr>
            <w:r w:rsidRPr="008F31A0">
              <w:rPr>
                <w:rFonts w:cs="Arial"/>
                <w:color w:val="000000"/>
              </w:rPr>
              <w:t>(141,838)</w:t>
            </w:r>
          </w:p>
        </w:tc>
        <w:tc>
          <w:tcPr>
            <w:tcW w:w="1260" w:type="dxa"/>
            <w:tcBorders>
              <w:top w:val="single" w:sz="4" w:space="0" w:color="auto"/>
              <w:left w:val="nil"/>
              <w:bottom w:val="nil"/>
              <w:right w:val="nil"/>
            </w:tcBorders>
            <w:shd w:val="clear" w:color="auto" w:fill="auto"/>
            <w:vAlign w:val="center"/>
            <w:hideMark/>
          </w:tcPr>
          <w:p w14:paraId="621E3736" w14:textId="77777777" w:rsidR="0097090C" w:rsidRPr="008F31A0" w:rsidRDefault="0097090C" w:rsidP="0097090C">
            <w:pPr>
              <w:jc w:val="right"/>
              <w:rPr>
                <w:rFonts w:cs="Arial"/>
                <w:color w:val="000000"/>
              </w:rPr>
            </w:pPr>
            <w:r w:rsidRPr="008F31A0">
              <w:rPr>
                <w:rFonts w:cs="Arial"/>
                <w:color w:val="000000"/>
              </w:rPr>
              <w:t>(130,927)</w:t>
            </w:r>
          </w:p>
        </w:tc>
      </w:tr>
      <w:tr w:rsidR="0097090C" w:rsidRPr="008F31A0" w14:paraId="520C5304" w14:textId="77777777" w:rsidTr="0097090C">
        <w:trPr>
          <w:trHeight w:val="255"/>
        </w:trPr>
        <w:tc>
          <w:tcPr>
            <w:tcW w:w="6120" w:type="dxa"/>
            <w:tcBorders>
              <w:top w:val="nil"/>
              <w:left w:val="nil"/>
              <w:bottom w:val="nil"/>
              <w:right w:val="nil"/>
            </w:tcBorders>
            <w:shd w:val="clear" w:color="auto" w:fill="auto"/>
            <w:vAlign w:val="center"/>
            <w:hideMark/>
          </w:tcPr>
          <w:p w14:paraId="6F164196" w14:textId="77777777" w:rsidR="0097090C" w:rsidRPr="008F31A0" w:rsidRDefault="0097090C" w:rsidP="0097090C">
            <w:pPr>
              <w:rPr>
                <w:rFonts w:cs="Arial"/>
                <w:color w:val="000000"/>
              </w:rPr>
            </w:pPr>
            <w:r w:rsidRPr="008F31A0">
              <w:rPr>
                <w:rFonts w:cs="Arial"/>
                <w:color w:val="000000"/>
              </w:rPr>
              <w:t xml:space="preserve">Net result </w:t>
            </w:r>
          </w:p>
        </w:tc>
        <w:tc>
          <w:tcPr>
            <w:tcW w:w="720" w:type="dxa"/>
            <w:tcBorders>
              <w:top w:val="nil"/>
              <w:left w:val="nil"/>
              <w:bottom w:val="nil"/>
              <w:right w:val="nil"/>
            </w:tcBorders>
            <w:shd w:val="clear" w:color="auto" w:fill="auto"/>
            <w:vAlign w:val="center"/>
            <w:hideMark/>
          </w:tcPr>
          <w:p w14:paraId="43DF0064"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D1EE18E" w14:textId="77777777" w:rsidR="0097090C" w:rsidRPr="008F31A0" w:rsidRDefault="0097090C" w:rsidP="0097090C">
            <w:pPr>
              <w:jc w:val="right"/>
              <w:rPr>
                <w:rFonts w:cs="Arial"/>
                <w:color w:val="000000"/>
              </w:rPr>
            </w:pPr>
            <w:r w:rsidRPr="008F31A0">
              <w:rPr>
                <w:rFonts w:cs="Arial"/>
                <w:color w:val="000000"/>
              </w:rPr>
              <w:t>(11,943)</w:t>
            </w:r>
          </w:p>
        </w:tc>
        <w:tc>
          <w:tcPr>
            <w:tcW w:w="1260" w:type="dxa"/>
            <w:tcBorders>
              <w:top w:val="nil"/>
              <w:left w:val="nil"/>
              <w:bottom w:val="nil"/>
              <w:right w:val="nil"/>
            </w:tcBorders>
            <w:shd w:val="clear" w:color="auto" w:fill="auto"/>
            <w:vAlign w:val="center"/>
            <w:hideMark/>
          </w:tcPr>
          <w:p w14:paraId="04BFEDA4" w14:textId="77777777" w:rsidR="0097090C" w:rsidRPr="008F31A0" w:rsidRDefault="0097090C" w:rsidP="0097090C">
            <w:pPr>
              <w:jc w:val="right"/>
              <w:rPr>
                <w:rFonts w:cs="Arial"/>
                <w:color w:val="000000"/>
              </w:rPr>
            </w:pPr>
            <w:r w:rsidRPr="008F31A0">
              <w:rPr>
                <w:rFonts w:cs="Arial"/>
                <w:color w:val="000000"/>
              </w:rPr>
              <w:t>(13,510)</w:t>
            </w:r>
          </w:p>
        </w:tc>
      </w:tr>
      <w:tr w:rsidR="0097090C" w:rsidRPr="008F31A0" w14:paraId="0B5DB040" w14:textId="77777777" w:rsidTr="0097090C">
        <w:trPr>
          <w:trHeight w:val="255"/>
        </w:trPr>
        <w:tc>
          <w:tcPr>
            <w:tcW w:w="6120" w:type="dxa"/>
            <w:tcBorders>
              <w:top w:val="nil"/>
              <w:left w:val="nil"/>
              <w:bottom w:val="nil"/>
              <w:right w:val="nil"/>
            </w:tcBorders>
            <w:shd w:val="clear" w:color="auto" w:fill="auto"/>
            <w:vAlign w:val="center"/>
            <w:hideMark/>
          </w:tcPr>
          <w:p w14:paraId="3DD9A143" w14:textId="77777777" w:rsidR="0097090C" w:rsidRPr="008F31A0" w:rsidRDefault="0097090C" w:rsidP="0097090C">
            <w:pPr>
              <w:rPr>
                <w:rFonts w:cs="Arial"/>
                <w:b/>
                <w:bCs/>
                <w:color w:val="000000"/>
              </w:rPr>
            </w:pPr>
            <w:r w:rsidRPr="008F31A0">
              <w:rPr>
                <w:rFonts w:cs="Arial"/>
                <w:b/>
                <w:bCs/>
                <w:color w:val="000000"/>
              </w:rPr>
              <w:t>Transfers to Reserves:</w:t>
            </w:r>
          </w:p>
        </w:tc>
        <w:tc>
          <w:tcPr>
            <w:tcW w:w="720" w:type="dxa"/>
            <w:tcBorders>
              <w:top w:val="nil"/>
              <w:left w:val="nil"/>
              <w:bottom w:val="nil"/>
              <w:right w:val="nil"/>
            </w:tcBorders>
            <w:shd w:val="clear" w:color="auto" w:fill="auto"/>
            <w:vAlign w:val="center"/>
            <w:hideMark/>
          </w:tcPr>
          <w:p w14:paraId="610C54E4"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1218898" w14:textId="77777777" w:rsidR="0097090C" w:rsidRPr="008F31A0" w:rsidRDefault="0097090C" w:rsidP="0097090C">
            <w:pPr>
              <w:jc w:val="right"/>
              <w:rPr>
                <w:rFonts w:cs="Arial"/>
                <w:color w:val="000000"/>
              </w:rPr>
            </w:pPr>
            <w:r w:rsidRPr="008F31A0">
              <w:rPr>
                <w:rFonts w:cs="Arial"/>
                <w:color w:val="000000"/>
              </w:rPr>
              <w:t> </w:t>
            </w:r>
          </w:p>
        </w:tc>
        <w:tc>
          <w:tcPr>
            <w:tcW w:w="1260" w:type="dxa"/>
            <w:tcBorders>
              <w:top w:val="nil"/>
              <w:left w:val="nil"/>
              <w:bottom w:val="nil"/>
              <w:right w:val="nil"/>
            </w:tcBorders>
            <w:shd w:val="clear" w:color="auto" w:fill="auto"/>
            <w:vAlign w:val="center"/>
            <w:hideMark/>
          </w:tcPr>
          <w:p w14:paraId="6E81F9EB" w14:textId="77777777" w:rsidR="0097090C" w:rsidRPr="008F31A0" w:rsidRDefault="0097090C" w:rsidP="0097090C">
            <w:pPr>
              <w:jc w:val="right"/>
              <w:rPr>
                <w:rFonts w:cs="Arial"/>
                <w:color w:val="000000"/>
              </w:rPr>
            </w:pPr>
          </w:p>
        </w:tc>
      </w:tr>
      <w:tr w:rsidR="0097090C" w:rsidRPr="008F31A0" w14:paraId="284D7B83" w14:textId="77777777" w:rsidTr="0097090C">
        <w:trPr>
          <w:trHeight w:val="255"/>
        </w:trPr>
        <w:tc>
          <w:tcPr>
            <w:tcW w:w="6120" w:type="dxa"/>
            <w:tcBorders>
              <w:top w:val="nil"/>
              <w:left w:val="nil"/>
              <w:bottom w:val="nil"/>
              <w:right w:val="nil"/>
            </w:tcBorders>
            <w:shd w:val="clear" w:color="auto" w:fill="auto"/>
            <w:vAlign w:val="center"/>
            <w:hideMark/>
          </w:tcPr>
          <w:p w14:paraId="243F2EBD" w14:textId="77777777" w:rsidR="0097090C" w:rsidRPr="008F31A0" w:rsidRDefault="0097090C" w:rsidP="0097090C">
            <w:pPr>
              <w:rPr>
                <w:rFonts w:cs="Arial"/>
                <w:color w:val="000000"/>
              </w:rPr>
            </w:pPr>
            <w:r w:rsidRPr="008F31A0">
              <w:rPr>
                <w:rFonts w:cs="Arial"/>
                <w:color w:val="000000"/>
              </w:rPr>
              <w:t>Transfer to Contributed Capital</w:t>
            </w:r>
          </w:p>
        </w:tc>
        <w:tc>
          <w:tcPr>
            <w:tcW w:w="720" w:type="dxa"/>
            <w:tcBorders>
              <w:top w:val="nil"/>
              <w:left w:val="nil"/>
              <w:bottom w:val="nil"/>
              <w:right w:val="nil"/>
            </w:tcBorders>
            <w:shd w:val="clear" w:color="auto" w:fill="auto"/>
            <w:vAlign w:val="center"/>
            <w:hideMark/>
          </w:tcPr>
          <w:p w14:paraId="26F0D7F0"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098CC69" w14:textId="77777777" w:rsidR="0097090C" w:rsidRPr="008F31A0" w:rsidRDefault="0097090C" w:rsidP="0097090C">
            <w:pPr>
              <w:jc w:val="right"/>
              <w:rPr>
                <w:rFonts w:cs="Arial"/>
                <w:color w:val="000000"/>
              </w:rPr>
            </w:pPr>
            <w:r w:rsidRPr="008F31A0">
              <w:rPr>
                <w:rFonts w:cs="Arial"/>
                <w:color w:val="000000"/>
              </w:rPr>
              <w:t>0</w:t>
            </w:r>
          </w:p>
        </w:tc>
        <w:tc>
          <w:tcPr>
            <w:tcW w:w="1260" w:type="dxa"/>
            <w:tcBorders>
              <w:top w:val="nil"/>
              <w:left w:val="nil"/>
              <w:bottom w:val="nil"/>
              <w:right w:val="nil"/>
            </w:tcBorders>
            <w:shd w:val="clear" w:color="auto" w:fill="auto"/>
            <w:vAlign w:val="center"/>
            <w:hideMark/>
          </w:tcPr>
          <w:p w14:paraId="00E690CB" w14:textId="77777777" w:rsidR="0097090C" w:rsidRPr="008F31A0" w:rsidRDefault="0097090C" w:rsidP="0097090C">
            <w:pPr>
              <w:jc w:val="right"/>
              <w:rPr>
                <w:rFonts w:cs="Arial"/>
                <w:color w:val="000000"/>
              </w:rPr>
            </w:pPr>
            <w:r w:rsidRPr="008F31A0">
              <w:rPr>
                <w:rFonts w:cs="Arial"/>
                <w:color w:val="000000"/>
              </w:rPr>
              <w:t>0</w:t>
            </w:r>
          </w:p>
        </w:tc>
      </w:tr>
      <w:tr w:rsidR="0097090C" w:rsidRPr="008F31A0" w14:paraId="4BC46560" w14:textId="77777777" w:rsidTr="0097090C">
        <w:trPr>
          <w:trHeight w:val="255"/>
        </w:trPr>
        <w:tc>
          <w:tcPr>
            <w:tcW w:w="6120" w:type="dxa"/>
            <w:tcBorders>
              <w:top w:val="nil"/>
              <w:left w:val="nil"/>
              <w:bottom w:val="nil"/>
              <w:right w:val="nil"/>
            </w:tcBorders>
            <w:shd w:val="clear" w:color="auto" w:fill="auto"/>
            <w:vAlign w:val="center"/>
            <w:hideMark/>
          </w:tcPr>
          <w:p w14:paraId="3F8825AB" w14:textId="77777777" w:rsidR="0097090C" w:rsidRPr="008F31A0" w:rsidRDefault="0097090C" w:rsidP="0097090C">
            <w:pPr>
              <w:rPr>
                <w:rFonts w:cs="Arial"/>
                <w:color w:val="000000"/>
              </w:rPr>
            </w:pPr>
            <w:r w:rsidRPr="008F31A0">
              <w:rPr>
                <w:rFonts w:cs="Arial"/>
                <w:color w:val="000000"/>
              </w:rPr>
              <w:t>Transfer (to)/from Trust Funds</w:t>
            </w:r>
          </w:p>
        </w:tc>
        <w:tc>
          <w:tcPr>
            <w:tcW w:w="720" w:type="dxa"/>
            <w:tcBorders>
              <w:top w:val="nil"/>
              <w:left w:val="nil"/>
              <w:bottom w:val="nil"/>
              <w:right w:val="nil"/>
            </w:tcBorders>
            <w:shd w:val="clear" w:color="auto" w:fill="auto"/>
            <w:vAlign w:val="center"/>
            <w:hideMark/>
          </w:tcPr>
          <w:p w14:paraId="6519F0D7"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F3956DA" w14:textId="77777777" w:rsidR="0097090C" w:rsidRPr="008F31A0" w:rsidRDefault="0097090C" w:rsidP="0097090C">
            <w:pPr>
              <w:jc w:val="right"/>
              <w:rPr>
                <w:rFonts w:cs="Arial"/>
                <w:color w:val="000000"/>
              </w:rPr>
            </w:pPr>
            <w:r w:rsidRPr="008F31A0">
              <w:rPr>
                <w:rFonts w:cs="Arial"/>
                <w:color w:val="000000"/>
              </w:rPr>
              <w:t>(85)</w:t>
            </w:r>
          </w:p>
        </w:tc>
        <w:tc>
          <w:tcPr>
            <w:tcW w:w="1260" w:type="dxa"/>
            <w:tcBorders>
              <w:top w:val="nil"/>
              <w:left w:val="nil"/>
              <w:bottom w:val="nil"/>
              <w:right w:val="nil"/>
            </w:tcBorders>
            <w:shd w:val="clear" w:color="auto" w:fill="auto"/>
            <w:vAlign w:val="center"/>
            <w:hideMark/>
          </w:tcPr>
          <w:p w14:paraId="45C5AE81" w14:textId="77777777" w:rsidR="0097090C" w:rsidRPr="008F31A0" w:rsidRDefault="0097090C" w:rsidP="0097090C">
            <w:pPr>
              <w:jc w:val="right"/>
              <w:rPr>
                <w:rFonts w:cs="Arial"/>
                <w:color w:val="000000"/>
              </w:rPr>
            </w:pPr>
            <w:r w:rsidRPr="008F31A0">
              <w:rPr>
                <w:rFonts w:cs="Arial"/>
                <w:color w:val="000000"/>
              </w:rPr>
              <w:t>1,001</w:t>
            </w:r>
          </w:p>
        </w:tc>
      </w:tr>
      <w:tr w:rsidR="0097090C" w:rsidRPr="008F31A0" w14:paraId="6E11B9CD"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4871FDE6" w14:textId="77777777" w:rsidR="0097090C" w:rsidRPr="008F31A0" w:rsidRDefault="0097090C" w:rsidP="0097090C">
            <w:pPr>
              <w:rPr>
                <w:rFonts w:cs="Arial"/>
                <w:color w:val="000000"/>
              </w:rPr>
            </w:pPr>
            <w:r w:rsidRPr="008F31A0">
              <w:rPr>
                <w:rFonts w:cs="Arial"/>
                <w:color w:val="000000"/>
              </w:rPr>
              <w:t xml:space="preserve">Transfer (to)/from Externally Funded Special Projects </w:t>
            </w:r>
          </w:p>
        </w:tc>
        <w:tc>
          <w:tcPr>
            <w:tcW w:w="720" w:type="dxa"/>
            <w:tcBorders>
              <w:top w:val="nil"/>
              <w:left w:val="nil"/>
              <w:bottom w:val="single" w:sz="4" w:space="0" w:color="auto"/>
              <w:right w:val="nil"/>
            </w:tcBorders>
            <w:shd w:val="clear" w:color="auto" w:fill="auto"/>
            <w:vAlign w:val="center"/>
            <w:hideMark/>
          </w:tcPr>
          <w:p w14:paraId="58263B37" w14:textId="77777777" w:rsidR="0097090C" w:rsidRPr="008F31A0" w:rsidRDefault="0097090C" w:rsidP="0097090C">
            <w:pPr>
              <w:jc w:val="center"/>
              <w:rPr>
                <w:rFonts w:cs="Arial"/>
                <w:color w:val="000000"/>
              </w:rPr>
            </w:pPr>
            <w:r w:rsidRPr="008F31A0">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4DBAA4F1" w14:textId="77777777" w:rsidR="0097090C" w:rsidRPr="008F31A0" w:rsidRDefault="0097090C" w:rsidP="0097090C">
            <w:pPr>
              <w:jc w:val="right"/>
              <w:rPr>
                <w:rFonts w:cs="Arial"/>
                <w:color w:val="000000"/>
              </w:rPr>
            </w:pPr>
            <w:r w:rsidRPr="008F31A0">
              <w:rPr>
                <w:rFonts w:cs="Arial"/>
                <w:color w:val="000000"/>
              </w:rPr>
              <w:t>3,238</w:t>
            </w:r>
          </w:p>
        </w:tc>
        <w:tc>
          <w:tcPr>
            <w:tcW w:w="1260" w:type="dxa"/>
            <w:tcBorders>
              <w:top w:val="nil"/>
              <w:left w:val="nil"/>
              <w:bottom w:val="single" w:sz="4" w:space="0" w:color="auto"/>
              <w:right w:val="nil"/>
            </w:tcBorders>
            <w:shd w:val="clear" w:color="auto" w:fill="auto"/>
            <w:vAlign w:val="center"/>
            <w:hideMark/>
          </w:tcPr>
          <w:p w14:paraId="0C5683FA" w14:textId="77777777" w:rsidR="0097090C" w:rsidRPr="008F31A0" w:rsidRDefault="0097090C" w:rsidP="0097090C">
            <w:pPr>
              <w:jc w:val="right"/>
              <w:rPr>
                <w:rFonts w:cs="Arial"/>
                <w:color w:val="000000"/>
              </w:rPr>
            </w:pPr>
            <w:r w:rsidRPr="008F31A0">
              <w:rPr>
                <w:rFonts w:cs="Arial"/>
                <w:color w:val="000000"/>
              </w:rPr>
              <w:t>1,598</w:t>
            </w:r>
          </w:p>
        </w:tc>
      </w:tr>
      <w:tr w:rsidR="0097090C" w:rsidRPr="008F31A0" w14:paraId="3A13F5F1"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3911DF37" w14:textId="77777777" w:rsidR="0097090C" w:rsidRPr="008F31A0" w:rsidRDefault="0097090C" w:rsidP="0097090C">
            <w:pPr>
              <w:rPr>
                <w:rFonts w:cs="Arial"/>
                <w:b/>
                <w:bCs/>
                <w:color w:val="000000"/>
              </w:rPr>
            </w:pPr>
            <w:r w:rsidRPr="008F31A0">
              <w:rPr>
                <w:rFonts w:cs="Arial"/>
                <w:b/>
                <w:bCs/>
                <w:color w:val="000000"/>
              </w:rPr>
              <w:t>Balance at end of financial year</w:t>
            </w:r>
          </w:p>
        </w:tc>
        <w:tc>
          <w:tcPr>
            <w:tcW w:w="720" w:type="dxa"/>
            <w:tcBorders>
              <w:top w:val="nil"/>
              <w:left w:val="nil"/>
              <w:bottom w:val="single" w:sz="4" w:space="0" w:color="auto"/>
              <w:right w:val="nil"/>
            </w:tcBorders>
            <w:shd w:val="clear" w:color="auto" w:fill="auto"/>
            <w:vAlign w:val="center"/>
            <w:hideMark/>
          </w:tcPr>
          <w:p w14:paraId="7DAD10A0" w14:textId="77777777" w:rsidR="0097090C" w:rsidRPr="008F31A0" w:rsidRDefault="0097090C" w:rsidP="0097090C">
            <w:pPr>
              <w:jc w:val="center"/>
              <w:rPr>
                <w:rFonts w:cs="Arial"/>
                <w:b/>
                <w:bCs/>
                <w:color w:val="000000"/>
              </w:rPr>
            </w:pPr>
            <w:r w:rsidRPr="008F31A0">
              <w:rPr>
                <w:rFonts w:cs="Arial"/>
                <w:b/>
                <w:bCs/>
                <w:color w:val="000000"/>
              </w:rPr>
              <w:t> </w:t>
            </w:r>
          </w:p>
        </w:tc>
        <w:tc>
          <w:tcPr>
            <w:tcW w:w="1260" w:type="dxa"/>
            <w:tcBorders>
              <w:top w:val="nil"/>
              <w:left w:val="nil"/>
              <w:bottom w:val="single" w:sz="4" w:space="0" w:color="auto"/>
              <w:right w:val="nil"/>
            </w:tcBorders>
            <w:shd w:val="clear" w:color="000000" w:fill="D9D9D9"/>
            <w:vAlign w:val="center"/>
            <w:hideMark/>
          </w:tcPr>
          <w:p w14:paraId="7363CD8C" w14:textId="77777777" w:rsidR="0097090C" w:rsidRPr="008F31A0" w:rsidRDefault="0097090C" w:rsidP="0097090C">
            <w:pPr>
              <w:jc w:val="right"/>
              <w:rPr>
                <w:rFonts w:cs="Arial"/>
                <w:b/>
                <w:bCs/>
                <w:color w:val="000000"/>
              </w:rPr>
            </w:pPr>
            <w:r w:rsidRPr="008F31A0">
              <w:rPr>
                <w:rFonts w:cs="Arial"/>
                <w:b/>
                <w:bCs/>
                <w:color w:val="000000"/>
              </w:rPr>
              <w:t>(150,628)</w:t>
            </w:r>
          </w:p>
        </w:tc>
        <w:tc>
          <w:tcPr>
            <w:tcW w:w="1260" w:type="dxa"/>
            <w:tcBorders>
              <w:top w:val="nil"/>
              <w:left w:val="nil"/>
              <w:bottom w:val="single" w:sz="4" w:space="0" w:color="auto"/>
              <w:right w:val="nil"/>
            </w:tcBorders>
            <w:shd w:val="clear" w:color="auto" w:fill="auto"/>
            <w:vAlign w:val="center"/>
            <w:hideMark/>
          </w:tcPr>
          <w:p w14:paraId="56D164C6" w14:textId="77777777" w:rsidR="0097090C" w:rsidRPr="008F31A0" w:rsidRDefault="0097090C" w:rsidP="0097090C">
            <w:pPr>
              <w:jc w:val="right"/>
              <w:rPr>
                <w:rFonts w:cs="Arial"/>
                <w:b/>
                <w:bCs/>
                <w:color w:val="000000"/>
              </w:rPr>
            </w:pPr>
            <w:r w:rsidRPr="008F31A0">
              <w:rPr>
                <w:rFonts w:cs="Arial"/>
                <w:b/>
                <w:bCs/>
                <w:color w:val="000000"/>
              </w:rPr>
              <w:t>(141,838)</w:t>
            </w:r>
          </w:p>
        </w:tc>
      </w:tr>
      <w:tr w:rsidR="0097090C" w:rsidRPr="008F31A0" w14:paraId="14C18135" w14:textId="77777777" w:rsidTr="0097090C">
        <w:trPr>
          <w:trHeight w:val="255"/>
        </w:trPr>
        <w:tc>
          <w:tcPr>
            <w:tcW w:w="6120" w:type="dxa"/>
            <w:tcBorders>
              <w:top w:val="nil"/>
              <w:left w:val="nil"/>
              <w:bottom w:val="nil"/>
              <w:right w:val="nil"/>
            </w:tcBorders>
            <w:shd w:val="clear" w:color="auto" w:fill="auto"/>
            <w:vAlign w:val="center"/>
            <w:hideMark/>
          </w:tcPr>
          <w:p w14:paraId="2ACEFB9D" w14:textId="77777777" w:rsidR="0097090C" w:rsidRPr="008F31A0" w:rsidRDefault="0097090C" w:rsidP="0097090C">
            <w:pPr>
              <w:rPr>
                <w:rFonts w:cs="Arial"/>
                <w:color w:val="000000"/>
              </w:rPr>
            </w:pPr>
          </w:p>
        </w:tc>
        <w:tc>
          <w:tcPr>
            <w:tcW w:w="720" w:type="dxa"/>
            <w:tcBorders>
              <w:top w:val="nil"/>
              <w:left w:val="nil"/>
              <w:bottom w:val="nil"/>
              <w:right w:val="nil"/>
            </w:tcBorders>
            <w:shd w:val="clear" w:color="auto" w:fill="auto"/>
            <w:vAlign w:val="center"/>
            <w:hideMark/>
          </w:tcPr>
          <w:p w14:paraId="61978070"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C2730B1" w14:textId="77777777" w:rsidR="0097090C" w:rsidRPr="008F31A0" w:rsidRDefault="0097090C" w:rsidP="0097090C">
            <w:pPr>
              <w:jc w:val="right"/>
              <w:rPr>
                <w:rFonts w:cs="Arial"/>
                <w:color w:val="000000"/>
              </w:rPr>
            </w:pPr>
            <w:r w:rsidRPr="008F31A0">
              <w:rPr>
                <w:rFonts w:cs="Arial"/>
                <w:color w:val="000000"/>
              </w:rPr>
              <w:t> </w:t>
            </w:r>
          </w:p>
        </w:tc>
        <w:tc>
          <w:tcPr>
            <w:tcW w:w="1260" w:type="dxa"/>
            <w:tcBorders>
              <w:top w:val="nil"/>
              <w:left w:val="nil"/>
              <w:bottom w:val="nil"/>
              <w:right w:val="nil"/>
            </w:tcBorders>
            <w:shd w:val="clear" w:color="auto" w:fill="auto"/>
            <w:vAlign w:val="center"/>
            <w:hideMark/>
          </w:tcPr>
          <w:p w14:paraId="5683AE45" w14:textId="77777777" w:rsidR="0097090C" w:rsidRPr="008F31A0" w:rsidRDefault="0097090C" w:rsidP="0097090C">
            <w:pPr>
              <w:jc w:val="right"/>
              <w:rPr>
                <w:rFonts w:cs="Arial"/>
                <w:color w:val="000000"/>
              </w:rPr>
            </w:pPr>
          </w:p>
        </w:tc>
      </w:tr>
      <w:tr w:rsidR="0097090C" w:rsidRPr="008F31A0" w14:paraId="39E335D1" w14:textId="77777777" w:rsidTr="0097090C">
        <w:trPr>
          <w:trHeight w:val="255"/>
        </w:trPr>
        <w:tc>
          <w:tcPr>
            <w:tcW w:w="6120" w:type="dxa"/>
            <w:tcBorders>
              <w:top w:val="nil"/>
              <w:left w:val="nil"/>
              <w:bottom w:val="nil"/>
              <w:right w:val="nil"/>
            </w:tcBorders>
            <w:shd w:val="clear" w:color="auto" w:fill="auto"/>
            <w:vAlign w:val="center"/>
            <w:hideMark/>
          </w:tcPr>
          <w:p w14:paraId="5E86968F" w14:textId="77777777" w:rsidR="0097090C" w:rsidRPr="008F31A0" w:rsidRDefault="0097090C" w:rsidP="0097090C">
            <w:pPr>
              <w:pStyle w:val="Heading5"/>
            </w:pPr>
            <w:r w:rsidRPr="008F31A0">
              <w:t>13(c) Reserves</w:t>
            </w:r>
          </w:p>
        </w:tc>
        <w:tc>
          <w:tcPr>
            <w:tcW w:w="720" w:type="dxa"/>
            <w:tcBorders>
              <w:top w:val="nil"/>
              <w:left w:val="nil"/>
              <w:bottom w:val="nil"/>
              <w:right w:val="nil"/>
            </w:tcBorders>
            <w:shd w:val="clear" w:color="auto" w:fill="auto"/>
            <w:vAlign w:val="center"/>
            <w:hideMark/>
          </w:tcPr>
          <w:p w14:paraId="6C4AD0A7"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D33754E" w14:textId="77777777" w:rsidR="0097090C" w:rsidRPr="008F31A0" w:rsidRDefault="0097090C" w:rsidP="0097090C">
            <w:pPr>
              <w:jc w:val="right"/>
              <w:rPr>
                <w:rFonts w:cs="Arial"/>
                <w:color w:val="000000"/>
              </w:rPr>
            </w:pPr>
            <w:r w:rsidRPr="008F31A0">
              <w:rPr>
                <w:rFonts w:cs="Arial"/>
                <w:color w:val="000000"/>
              </w:rPr>
              <w:t> </w:t>
            </w:r>
          </w:p>
        </w:tc>
        <w:tc>
          <w:tcPr>
            <w:tcW w:w="1260" w:type="dxa"/>
            <w:tcBorders>
              <w:top w:val="nil"/>
              <w:left w:val="nil"/>
              <w:bottom w:val="nil"/>
              <w:right w:val="nil"/>
            </w:tcBorders>
            <w:shd w:val="clear" w:color="auto" w:fill="auto"/>
            <w:vAlign w:val="center"/>
            <w:hideMark/>
          </w:tcPr>
          <w:p w14:paraId="0A27F4B3" w14:textId="77777777" w:rsidR="0097090C" w:rsidRPr="008F31A0" w:rsidRDefault="0097090C" w:rsidP="0097090C">
            <w:pPr>
              <w:jc w:val="right"/>
              <w:rPr>
                <w:rFonts w:cs="Arial"/>
                <w:color w:val="000000"/>
              </w:rPr>
            </w:pPr>
          </w:p>
        </w:tc>
      </w:tr>
      <w:tr w:rsidR="0097090C" w:rsidRPr="008F31A0" w14:paraId="20E08174"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5C947501" w14:textId="77777777" w:rsidR="0097090C" w:rsidRPr="008F31A0" w:rsidRDefault="0097090C" w:rsidP="0097090C">
            <w:pPr>
              <w:rPr>
                <w:rFonts w:cs="Arial"/>
                <w:b/>
                <w:bCs/>
                <w:color w:val="000000"/>
              </w:rPr>
            </w:pPr>
            <w:r w:rsidRPr="008F31A0">
              <w:rPr>
                <w:rFonts w:cs="Arial"/>
                <w:b/>
                <w:bCs/>
                <w:color w:val="000000"/>
              </w:rPr>
              <w:t>Trust Funds*</w:t>
            </w:r>
          </w:p>
        </w:tc>
        <w:tc>
          <w:tcPr>
            <w:tcW w:w="720" w:type="dxa"/>
            <w:tcBorders>
              <w:top w:val="single" w:sz="4" w:space="0" w:color="auto"/>
              <w:left w:val="nil"/>
              <w:bottom w:val="nil"/>
              <w:right w:val="nil"/>
            </w:tcBorders>
            <w:shd w:val="clear" w:color="auto" w:fill="auto"/>
            <w:vAlign w:val="center"/>
            <w:hideMark/>
          </w:tcPr>
          <w:p w14:paraId="46599EA6" w14:textId="77777777" w:rsidR="0097090C" w:rsidRPr="008F31A0" w:rsidRDefault="0097090C" w:rsidP="0097090C">
            <w:pPr>
              <w:jc w:val="center"/>
              <w:rPr>
                <w:rFonts w:cs="Arial"/>
                <w:color w:val="000000"/>
              </w:rPr>
            </w:pPr>
            <w:r w:rsidRPr="008F31A0">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772826BC" w14:textId="77777777" w:rsidR="0097090C" w:rsidRPr="008F31A0" w:rsidRDefault="0097090C" w:rsidP="0097090C">
            <w:pPr>
              <w:jc w:val="right"/>
              <w:rPr>
                <w:rFonts w:cs="Arial"/>
                <w:color w:val="000000"/>
              </w:rPr>
            </w:pPr>
            <w:r w:rsidRPr="008F31A0">
              <w:rPr>
                <w:rFonts w:cs="Arial"/>
                <w:color w:val="000000"/>
              </w:rPr>
              <w:t> </w:t>
            </w:r>
          </w:p>
        </w:tc>
        <w:tc>
          <w:tcPr>
            <w:tcW w:w="1260" w:type="dxa"/>
            <w:tcBorders>
              <w:top w:val="single" w:sz="4" w:space="0" w:color="auto"/>
              <w:left w:val="nil"/>
              <w:bottom w:val="nil"/>
              <w:right w:val="nil"/>
            </w:tcBorders>
            <w:shd w:val="clear" w:color="auto" w:fill="auto"/>
            <w:vAlign w:val="center"/>
            <w:hideMark/>
          </w:tcPr>
          <w:p w14:paraId="5A62F1BB" w14:textId="77777777" w:rsidR="0097090C" w:rsidRPr="008F31A0" w:rsidRDefault="0097090C" w:rsidP="0097090C">
            <w:pPr>
              <w:jc w:val="right"/>
              <w:rPr>
                <w:rFonts w:cs="Arial"/>
                <w:color w:val="000000"/>
              </w:rPr>
            </w:pPr>
            <w:r w:rsidRPr="008F31A0">
              <w:rPr>
                <w:rFonts w:cs="Arial"/>
                <w:color w:val="000000"/>
              </w:rPr>
              <w:t> </w:t>
            </w:r>
          </w:p>
        </w:tc>
      </w:tr>
      <w:tr w:rsidR="0097090C" w:rsidRPr="008F31A0" w14:paraId="5FD6327C" w14:textId="77777777" w:rsidTr="0097090C">
        <w:trPr>
          <w:trHeight w:val="255"/>
        </w:trPr>
        <w:tc>
          <w:tcPr>
            <w:tcW w:w="6120" w:type="dxa"/>
            <w:tcBorders>
              <w:top w:val="nil"/>
              <w:left w:val="nil"/>
              <w:bottom w:val="nil"/>
              <w:right w:val="nil"/>
            </w:tcBorders>
            <w:shd w:val="clear" w:color="auto" w:fill="auto"/>
            <w:vAlign w:val="center"/>
            <w:hideMark/>
          </w:tcPr>
          <w:p w14:paraId="5FD315E8" w14:textId="77777777" w:rsidR="0097090C" w:rsidRPr="008F31A0" w:rsidRDefault="0097090C" w:rsidP="0097090C">
            <w:pPr>
              <w:rPr>
                <w:rFonts w:cs="Arial"/>
                <w:color w:val="000000"/>
              </w:rPr>
            </w:pPr>
            <w:r w:rsidRPr="008F31A0">
              <w:rPr>
                <w:rFonts w:cs="Arial"/>
                <w:color w:val="000000"/>
              </w:rPr>
              <w:t>Balance at beginning of financial year</w:t>
            </w:r>
          </w:p>
        </w:tc>
        <w:tc>
          <w:tcPr>
            <w:tcW w:w="720" w:type="dxa"/>
            <w:tcBorders>
              <w:top w:val="nil"/>
              <w:left w:val="nil"/>
              <w:bottom w:val="nil"/>
              <w:right w:val="nil"/>
            </w:tcBorders>
            <w:shd w:val="clear" w:color="auto" w:fill="auto"/>
            <w:vAlign w:val="center"/>
            <w:hideMark/>
          </w:tcPr>
          <w:p w14:paraId="3FFC4C28" w14:textId="77777777" w:rsidR="0097090C" w:rsidRPr="008F31A0"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4D02836E" w14:textId="77777777" w:rsidR="0097090C" w:rsidRPr="008F31A0" w:rsidRDefault="0097090C" w:rsidP="0097090C">
            <w:pPr>
              <w:jc w:val="right"/>
              <w:rPr>
                <w:rFonts w:cs="Arial"/>
                <w:color w:val="000000"/>
              </w:rPr>
            </w:pPr>
            <w:r w:rsidRPr="008F31A0">
              <w:rPr>
                <w:rFonts w:cs="Arial"/>
                <w:color w:val="000000"/>
              </w:rPr>
              <w:t>7,260</w:t>
            </w:r>
          </w:p>
        </w:tc>
        <w:tc>
          <w:tcPr>
            <w:tcW w:w="1260" w:type="dxa"/>
            <w:tcBorders>
              <w:top w:val="nil"/>
              <w:left w:val="nil"/>
              <w:bottom w:val="nil"/>
              <w:right w:val="nil"/>
            </w:tcBorders>
            <w:shd w:val="clear" w:color="auto" w:fill="auto"/>
            <w:vAlign w:val="center"/>
            <w:hideMark/>
          </w:tcPr>
          <w:p w14:paraId="7478F830" w14:textId="77777777" w:rsidR="0097090C" w:rsidRPr="008F31A0" w:rsidRDefault="0097090C" w:rsidP="0097090C">
            <w:pPr>
              <w:jc w:val="right"/>
              <w:rPr>
                <w:rFonts w:cs="Arial"/>
                <w:color w:val="000000"/>
              </w:rPr>
            </w:pPr>
            <w:r w:rsidRPr="008F31A0">
              <w:rPr>
                <w:rFonts w:cs="Arial"/>
                <w:color w:val="000000"/>
              </w:rPr>
              <w:t>8,261</w:t>
            </w:r>
          </w:p>
        </w:tc>
      </w:tr>
      <w:tr w:rsidR="0097090C" w:rsidRPr="008F31A0" w14:paraId="501D7E7B"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375BB25D" w14:textId="77777777" w:rsidR="0097090C" w:rsidRPr="008F31A0" w:rsidRDefault="0097090C" w:rsidP="0097090C">
            <w:pPr>
              <w:rPr>
                <w:rFonts w:cs="Arial"/>
                <w:color w:val="000000"/>
              </w:rPr>
            </w:pPr>
            <w:r w:rsidRPr="008F31A0">
              <w:rPr>
                <w:rFonts w:cs="Arial"/>
                <w:color w:val="000000"/>
              </w:rPr>
              <w:t>Transfer (to)/from Accumulated Deficit</w:t>
            </w:r>
          </w:p>
        </w:tc>
        <w:tc>
          <w:tcPr>
            <w:tcW w:w="720" w:type="dxa"/>
            <w:tcBorders>
              <w:top w:val="nil"/>
              <w:left w:val="nil"/>
              <w:bottom w:val="single" w:sz="4" w:space="0" w:color="auto"/>
              <w:right w:val="nil"/>
            </w:tcBorders>
            <w:shd w:val="clear" w:color="auto" w:fill="auto"/>
            <w:vAlign w:val="center"/>
            <w:hideMark/>
          </w:tcPr>
          <w:p w14:paraId="53D6622A" w14:textId="77777777" w:rsidR="0097090C" w:rsidRPr="008F31A0" w:rsidRDefault="0097090C" w:rsidP="0097090C">
            <w:pPr>
              <w:jc w:val="center"/>
              <w:rPr>
                <w:rFonts w:cs="Arial"/>
                <w:color w:val="000000"/>
              </w:rPr>
            </w:pPr>
            <w:r w:rsidRPr="008F31A0">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6280D0EE" w14:textId="77777777" w:rsidR="0097090C" w:rsidRPr="008F31A0" w:rsidRDefault="0097090C" w:rsidP="0097090C">
            <w:pPr>
              <w:jc w:val="right"/>
              <w:rPr>
                <w:rFonts w:cs="Arial"/>
                <w:color w:val="000000"/>
              </w:rPr>
            </w:pPr>
            <w:r w:rsidRPr="008F31A0">
              <w:rPr>
                <w:rFonts w:cs="Arial"/>
                <w:color w:val="000000"/>
              </w:rPr>
              <w:t>85</w:t>
            </w:r>
          </w:p>
        </w:tc>
        <w:tc>
          <w:tcPr>
            <w:tcW w:w="1260" w:type="dxa"/>
            <w:tcBorders>
              <w:top w:val="nil"/>
              <w:left w:val="nil"/>
              <w:bottom w:val="single" w:sz="4" w:space="0" w:color="auto"/>
              <w:right w:val="nil"/>
            </w:tcBorders>
            <w:shd w:val="clear" w:color="auto" w:fill="auto"/>
            <w:vAlign w:val="center"/>
            <w:hideMark/>
          </w:tcPr>
          <w:p w14:paraId="02DC14FA" w14:textId="77777777" w:rsidR="0097090C" w:rsidRPr="008F31A0" w:rsidRDefault="0097090C" w:rsidP="0097090C">
            <w:pPr>
              <w:jc w:val="right"/>
              <w:rPr>
                <w:rFonts w:cs="Arial"/>
                <w:color w:val="000000"/>
              </w:rPr>
            </w:pPr>
            <w:r w:rsidRPr="008F31A0">
              <w:rPr>
                <w:rFonts w:cs="Arial"/>
                <w:color w:val="000000"/>
              </w:rPr>
              <w:t>(1,001)</w:t>
            </w:r>
          </w:p>
        </w:tc>
      </w:tr>
      <w:tr w:rsidR="0097090C" w:rsidRPr="008F31A0" w14:paraId="740F8367"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168A0F5A" w14:textId="77777777" w:rsidR="0097090C" w:rsidRPr="008F31A0" w:rsidRDefault="0097090C" w:rsidP="0097090C">
            <w:pPr>
              <w:rPr>
                <w:rFonts w:cs="Arial"/>
                <w:b/>
                <w:bCs/>
                <w:color w:val="000000"/>
              </w:rPr>
            </w:pPr>
            <w:r w:rsidRPr="008F31A0">
              <w:rPr>
                <w:rFonts w:cs="Arial"/>
                <w:b/>
                <w:bCs/>
                <w:color w:val="000000"/>
              </w:rPr>
              <w:t>Balance at end of financial year</w:t>
            </w:r>
          </w:p>
        </w:tc>
        <w:tc>
          <w:tcPr>
            <w:tcW w:w="720" w:type="dxa"/>
            <w:tcBorders>
              <w:top w:val="nil"/>
              <w:left w:val="nil"/>
              <w:bottom w:val="single" w:sz="4" w:space="0" w:color="auto"/>
              <w:right w:val="nil"/>
            </w:tcBorders>
            <w:shd w:val="clear" w:color="auto" w:fill="auto"/>
            <w:vAlign w:val="center"/>
            <w:hideMark/>
          </w:tcPr>
          <w:p w14:paraId="497BB1EF" w14:textId="77777777" w:rsidR="0097090C" w:rsidRPr="008F31A0" w:rsidRDefault="0097090C" w:rsidP="0097090C">
            <w:pPr>
              <w:jc w:val="center"/>
              <w:rPr>
                <w:rFonts w:cs="Arial"/>
                <w:b/>
                <w:bCs/>
                <w:color w:val="000000"/>
              </w:rPr>
            </w:pPr>
            <w:r w:rsidRPr="008F31A0">
              <w:rPr>
                <w:rFonts w:cs="Arial"/>
                <w:b/>
                <w:bCs/>
                <w:color w:val="000000"/>
              </w:rPr>
              <w:t> </w:t>
            </w:r>
          </w:p>
        </w:tc>
        <w:tc>
          <w:tcPr>
            <w:tcW w:w="1260" w:type="dxa"/>
            <w:tcBorders>
              <w:top w:val="nil"/>
              <w:left w:val="nil"/>
              <w:bottom w:val="single" w:sz="4" w:space="0" w:color="auto"/>
              <w:right w:val="nil"/>
            </w:tcBorders>
            <w:shd w:val="clear" w:color="000000" w:fill="D9D9D9"/>
            <w:vAlign w:val="center"/>
            <w:hideMark/>
          </w:tcPr>
          <w:p w14:paraId="2965E72E" w14:textId="77777777" w:rsidR="0097090C" w:rsidRPr="008F31A0" w:rsidRDefault="0097090C" w:rsidP="0097090C">
            <w:pPr>
              <w:jc w:val="right"/>
              <w:rPr>
                <w:rFonts w:cs="Arial"/>
                <w:b/>
                <w:bCs/>
                <w:color w:val="000000"/>
              </w:rPr>
            </w:pPr>
            <w:r w:rsidRPr="008F31A0">
              <w:rPr>
                <w:rFonts w:cs="Arial"/>
                <w:b/>
                <w:bCs/>
                <w:color w:val="000000"/>
              </w:rPr>
              <w:t>7,345</w:t>
            </w:r>
          </w:p>
        </w:tc>
        <w:tc>
          <w:tcPr>
            <w:tcW w:w="1260" w:type="dxa"/>
            <w:tcBorders>
              <w:top w:val="nil"/>
              <w:left w:val="nil"/>
              <w:bottom w:val="single" w:sz="4" w:space="0" w:color="auto"/>
              <w:right w:val="nil"/>
            </w:tcBorders>
            <w:shd w:val="clear" w:color="auto" w:fill="auto"/>
            <w:vAlign w:val="center"/>
            <w:hideMark/>
          </w:tcPr>
          <w:p w14:paraId="4562A2E2" w14:textId="77777777" w:rsidR="0097090C" w:rsidRPr="008F31A0" w:rsidRDefault="0097090C" w:rsidP="0097090C">
            <w:pPr>
              <w:jc w:val="right"/>
              <w:rPr>
                <w:rFonts w:cs="Arial"/>
                <w:b/>
                <w:bCs/>
                <w:color w:val="000000"/>
              </w:rPr>
            </w:pPr>
            <w:r w:rsidRPr="008F31A0">
              <w:rPr>
                <w:rFonts w:cs="Arial"/>
                <w:b/>
                <w:bCs/>
                <w:color w:val="000000"/>
              </w:rPr>
              <w:t>7,260</w:t>
            </w:r>
          </w:p>
        </w:tc>
      </w:tr>
    </w:tbl>
    <w:p w14:paraId="1230F551" w14:textId="77777777" w:rsidR="0097090C" w:rsidRPr="00923A58" w:rsidRDefault="0097090C" w:rsidP="0097090C">
      <w:pPr>
        <w:spacing w:before="60"/>
        <w:rPr>
          <w:rFonts w:cs="Arial"/>
          <w:i/>
          <w:sz w:val="21"/>
          <w:szCs w:val="21"/>
        </w:rPr>
      </w:pPr>
      <w:r w:rsidRPr="00923A58">
        <w:rPr>
          <w:rFonts w:cs="Arial"/>
          <w:i/>
          <w:sz w:val="21"/>
          <w:szCs w:val="21"/>
        </w:rPr>
        <w:t>*Trust Funds consist of those funds which may be used by the Museums Board of Victoria for Museum purposes defined by the relevant Trust deed or will.</w:t>
      </w:r>
    </w:p>
    <w:p w14:paraId="7B3FD14E" w14:textId="77777777" w:rsidR="0097090C" w:rsidRDefault="0097090C" w:rsidP="0097090C">
      <w:pPr>
        <w:spacing w:after="200" w:line="276" w:lineRule="auto"/>
        <w:rPr>
          <w:rFonts w:cs="Arial"/>
        </w:rPr>
      </w:pPr>
    </w:p>
    <w:tbl>
      <w:tblPr>
        <w:tblW w:w="9419" w:type="dxa"/>
        <w:tblLook w:val="04A0" w:firstRow="1" w:lastRow="0" w:firstColumn="1" w:lastColumn="0" w:noHBand="0" w:noVBand="1"/>
      </w:tblPr>
      <w:tblGrid>
        <w:gridCol w:w="6160"/>
        <w:gridCol w:w="828"/>
        <w:gridCol w:w="1260"/>
        <w:gridCol w:w="1260"/>
      </w:tblGrid>
      <w:tr w:rsidR="0097090C" w:rsidRPr="000C0250" w14:paraId="637DDA3D" w14:textId="77777777" w:rsidTr="0097090C">
        <w:trPr>
          <w:trHeight w:val="255"/>
        </w:trPr>
        <w:tc>
          <w:tcPr>
            <w:tcW w:w="6160" w:type="dxa"/>
            <w:tcBorders>
              <w:top w:val="single" w:sz="4" w:space="0" w:color="auto"/>
              <w:left w:val="nil"/>
              <w:bottom w:val="single" w:sz="4" w:space="0" w:color="auto"/>
              <w:right w:val="nil"/>
            </w:tcBorders>
            <w:shd w:val="clear" w:color="auto" w:fill="auto"/>
            <w:noWrap/>
            <w:vAlign w:val="center"/>
            <w:hideMark/>
          </w:tcPr>
          <w:p w14:paraId="5A4D95F8" w14:textId="77777777" w:rsidR="0097090C" w:rsidRPr="000C0250" w:rsidRDefault="0097090C" w:rsidP="0097090C">
            <w:pPr>
              <w:rPr>
                <w:rFonts w:cs="Arial"/>
                <w:color w:val="000000"/>
              </w:rPr>
            </w:pPr>
            <w:r w:rsidRPr="000C0250">
              <w:rPr>
                <w:rFonts w:cs="Arial"/>
                <w:color w:val="000000"/>
              </w:rPr>
              <w:t> </w:t>
            </w:r>
          </w:p>
        </w:tc>
        <w:tc>
          <w:tcPr>
            <w:tcW w:w="739" w:type="dxa"/>
            <w:tcBorders>
              <w:top w:val="single" w:sz="4" w:space="0" w:color="auto"/>
              <w:left w:val="nil"/>
              <w:bottom w:val="single" w:sz="4" w:space="0" w:color="auto"/>
              <w:right w:val="nil"/>
            </w:tcBorders>
            <w:shd w:val="clear" w:color="auto" w:fill="auto"/>
            <w:noWrap/>
            <w:vAlign w:val="center"/>
            <w:hideMark/>
          </w:tcPr>
          <w:p w14:paraId="6D7F3604" w14:textId="77777777" w:rsidR="0097090C" w:rsidRPr="00923A58" w:rsidRDefault="0097090C" w:rsidP="0097090C">
            <w:pPr>
              <w:jc w:val="center"/>
              <w:rPr>
                <w:rFonts w:cs="Arial"/>
                <w:b/>
                <w:color w:val="000000"/>
              </w:rPr>
            </w:pPr>
            <w:r w:rsidRPr="00923A58">
              <w:rPr>
                <w:rFonts w:cs="Arial"/>
                <w:b/>
                <w:color w:val="000000"/>
              </w:rPr>
              <w:t>Notes</w:t>
            </w:r>
          </w:p>
        </w:tc>
        <w:tc>
          <w:tcPr>
            <w:tcW w:w="1260" w:type="dxa"/>
            <w:tcBorders>
              <w:top w:val="single" w:sz="4" w:space="0" w:color="auto"/>
              <w:left w:val="nil"/>
              <w:bottom w:val="single" w:sz="4" w:space="0" w:color="auto"/>
              <w:right w:val="nil"/>
            </w:tcBorders>
            <w:shd w:val="clear" w:color="000000" w:fill="D9D9D9"/>
            <w:noWrap/>
            <w:vAlign w:val="center"/>
            <w:hideMark/>
          </w:tcPr>
          <w:p w14:paraId="44481903" w14:textId="77777777" w:rsidR="0097090C" w:rsidRPr="00923A58" w:rsidRDefault="0097090C" w:rsidP="0097090C">
            <w:pPr>
              <w:jc w:val="right"/>
              <w:rPr>
                <w:rFonts w:cs="Arial"/>
                <w:b/>
                <w:color w:val="000000"/>
              </w:rPr>
            </w:pPr>
            <w:r w:rsidRPr="00923A58">
              <w:rPr>
                <w:rFonts w:cs="Arial"/>
                <w:b/>
                <w:color w:val="000000"/>
              </w:rPr>
              <w:t>2016</w:t>
            </w:r>
          </w:p>
        </w:tc>
        <w:tc>
          <w:tcPr>
            <w:tcW w:w="1260" w:type="dxa"/>
            <w:tcBorders>
              <w:top w:val="single" w:sz="4" w:space="0" w:color="auto"/>
              <w:left w:val="nil"/>
              <w:bottom w:val="single" w:sz="4" w:space="0" w:color="auto"/>
              <w:right w:val="nil"/>
            </w:tcBorders>
            <w:shd w:val="clear" w:color="auto" w:fill="auto"/>
            <w:noWrap/>
            <w:vAlign w:val="center"/>
            <w:hideMark/>
          </w:tcPr>
          <w:p w14:paraId="1CF44EC0" w14:textId="77777777" w:rsidR="0097090C" w:rsidRPr="00923A58" w:rsidRDefault="0097090C" w:rsidP="0097090C">
            <w:pPr>
              <w:jc w:val="right"/>
              <w:rPr>
                <w:rFonts w:cs="Arial"/>
                <w:b/>
                <w:color w:val="000000"/>
              </w:rPr>
            </w:pPr>
            <w:r w:rsidRPr="00923A58">
              <w:rPr>
                <w:rFonts w:cs="Arial"/>
                <w:b/>
                <w:color w:val="000000"/>
              </w:rPr>
              <w:t>2015</w:t>
            </w:r>
          </w:p>
        </w:tc>
      </w:tr>
      <w:tr w:rsidR="0097090C" w:rsidRPr="000C0250" w14:paraId="0327D11A" w14:textId="77777777" w:rsidTr="0097090C">
        <w:trPr>
          <w:trHeight w:val="255"/>
        </w:trPr>
        <w:tc>
          <w:tcPr>
            <w:tcW w:w="6160" w:type="dxa"/>
            <w:tcBorders>
              <w:top w:val="nil"/>
              <w:left w:val="nil"/>
              <w:bottom w:val="single" w:sz="4" w:space="0" w:color="auto"/>
              <w:right w:val="nil"/>
            </w:tcBorders>
            <w:shd w:val="clear" w:color="auto" w:fill="auto"/>
            <w:noWrap/>
            <w:vAlign w:val="center"/>
            <w:hideMark/>
          </w:tcPr>
          <w:p w14:paraId="6E2A42BB" w14:textId="77777777" w:rsidR="0097090C" w:rsidRPr="000C0250" w:rsidRDefault="0097090C" w:rsidP="0097090C">
            <w:pPr>
              <w:rPr>
                <w:rFonts w:cs="Arial"/>
                <w:color w:val="000000"/>
              </w:rPr>
            </w:pPr>
            <w:r w:rsidRPr="000C0250">
              <w:rPr>
                <w:rFonts w:cs="Arial"/>
                <w:color w:val="000000"/>
              </w:rPr>
              <w:t> </w:t>
            </w:r>
          </w:p>
        </w:tc>
        <w:tc>
          <w:tcPr>
            <w:tcW w:w="739" w:type="dxa"/>
            <w:tcBorders>
              <w:top w:val="nil"/>
              <w:left w:val="nil"/>
              <w:bottom w:val="single" w:sz="4" w:space="0" w:color="auto"/>
              <w:right w:val="nil"/>
            </w:tcBorders>
            <w:shd w:val="clear" w:color="auto" w:fill="auto"/>
            <w:noWrap/>
            <w:vAlign w:val="center"/>
            <w:hideMark/>
          </w:tcPr>
          <w:p w14:paraId="664EE157" w14:textId="77777777" w:rsidR="0097090C" w:rsidRPr="00923A58" w:rsidRDefault="0097090C" w:rsidP="0097090C">
            <w:pPr>
              <w:rPr>
                <w:rFonts w:cs="Arial"/>
                <w:b/>
                <w:color w:val="000000"/>
              </w:rPr>
            </w:pPr>
            <w:r w:rsidRPr="00923A58">
              <w:rPr>
                <w:rFonts w:cs="Arial"/>
                <w:b/>
                <w:color w:val="000000"/>
              </w:rPr>
              <w:t> </w:t>
            </w:r>
          </w:p>
        </w:tc>
        <w:tc>
          <w:tcPr>
            <w:tcW w:w="1260" w:type="dxa"/>
            <w:tcBorders>
              <w:top w:val="nil"/>
              <w:left w:val="nil"/>
              <w:bottom w:val="single" w:sz="4" w:space="0" w:color="auto"/>
              <w:right w:val="nil"/>
            </w:tcBorders>
            <w:shd w:val="clear" w:color="000000" w:fill="D9D9D9"/>
            <w:noWrap/>
            <w:vAlign w:val="center"/>
            <w:hideMark/>
          </w:tcPr>
          <w:p w14:paraId="7B27A589" w14:textId="77777777" w:rsidR="0097090C" w:rsidRPr="00923A58" w:rsidRDefault="0097090C" w:rsidP="0097090C">
            <w:pPr>
              <w:jc w:val="right"/>
              <w:rPr>
                <w:rFonts w:cs="Arial"/>
                <w:b/>
                <w:color w:val="000000"/>
              </w:rPr>
            </w:pPr>
            <w:r w:rsidRPr="00923A58">
              <w:rPr>
                <w:rFonts w:cs="Arial"/>
                <w:b/>
                <w:color w:val="000000"/>
              </w:rPr>
              <w:t>$'000</w:t>
            </w:r>
          </w:p>
        </w:tc>
        <w:tc>
          <w:tcPr>
            <w:tcW w:w="1260" w:type="dxa"/>
            <w:tcBorders>
              <w:top w:val="nil"/>
              <w:left w:val="nil"/>
              <w:bottom w:val="single" w:sz="4" w:space="0" w:color="auto"/>
              <w:right w:val="nil"/>
            </w:tcBorders>
            <w:shd w:val="clear" w:color="auto" w:fill="auto"/>
            <w:noWrap/>
            <w:vAlign w:val="center"/>
            <w:hideMark/>
          </w:tcPr>
          <w:p w14:paraId="3B067E4B" w14:textId="77777777" w:rsidR="0097090C" w:rsidRPr="00923A58" w:rsidRDefault="0097090C" w:rsidP="0097090C">
            <w:pPr>
              <w:jc w:val="right"/>
              <w:rPr>
                <w:rFonts w:cs="Arial"/>
                <w:b/>
                <w:color w:val="000000"/>
              </w:rPr>
            </w:pPr>
            <w:r w:rsidRPr="00923A58">
              <w:rPr>
                <w:rFonts w:cs="Arial"/>
                <w:b/>
                <w:color w:val="000000"/>
              </w:rPr>
              <w:t>$'000</w:t>
            </w:r>
          </w:p>
        </w:tc>
      </w:tr>
    </w:tbl>
    <w:p w14:paraId="298D7B5C" w14:textId="77777777" w:rsidR="0097090C" w:rsidRDefault="0097090C" w:rsidP="0097090C">
      <w:pPr>
        <w:pStyle w:val="NormalIndent"/>
        <w:ind w:left="357" w:hanging="357"/>
        <w:jc w:val="both"/>
        <w:rPr>
          <w:b/>
          <w:sz w:val="22"/>
          <w:szCs w:val="22"/>
        </w:rPr>
      </w:pPr>
    </w:p>
    <w:tbl>
      <w:tblPr>
        <w:tblW w:w="9360" w:type="dxa"/>
        <w:tblInd w:w="108" w:type="dxa"/>
        <w:tblLook w:val="04A0" w:firstRow="1" w:lastRow="0" w:firstColumn="1" w:lastColumn="0" w:noHBand="0" w:noVBand="1"/>
      </w:tblPr>
      <w:tblGrid>
        <w:gridCol w:w="6120"/>
        <w:gridCol w:w="720"/>
        <w:gridCol w:w="1260"/>
        <w:gridCol w:w="1260"/>
      </w:tblGrid>
      <w:tr w:rsidR="0097090C" w:rsidRPr="00B81481" w14:paraId="4A5394EE"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33C232A5" w14:textId="77777777" w:rsidR="0097090C" w:rsidRPr="00B81481" w:rsidRDefault="0097090C" w:rsidP="0097090C">
            <w:pPr>
              <w:rPr>
                <w:rFonts w:cs="Arial"/>
                <w:b/>
                <w:bCs/>
                <w:color w:val="000000"/>
              </w:rPr>
            </w:pPr>
            <w:r w:rsidRPr="00B81481">
              <w:rPr>
                <w:rFonts w:cs="Arial"/>
                <w:b/>
                <w:bCs/>
                <w:color w:val="000000"/>
              </w:rPr>
              <w:t>Externally Funded Special Projects*</w:t>
            </w:r>
          </w:p>
        </w:tc>
        <w:tc>
          <w:tcPr>
            <w:tcW w:w="720" w:type="dxa"/>
            <w:tcBorders>
              <w:top w:val="single" w:sz="4" w:space="0" w:color="auto"/>
              <w:left w:val="nil"/>
              <w:bottom w:val="nil"/>
              <w:right w:val="nil"/>
            </w:tcBorders>
            <w:shd w:val="clear" w:color="auto" w:fill="auto"/>
            <w:vAlign w:val="center"/>
            <w:hideMark/>
          </w:tcPr>
          <w:p w14:paraId="3C1DB397" w14:textId="77777777" w:rsidR="0097090C" w:rsidRPr="00B81481" w:rsidRDefault="0097090C" w:rsidP="0097090C">
            <w:pPr>
              <w:jc w:val="center"/>
              <w:rPr>
                <w:rFonts w:cs="Arial"/>
                <w:color w:val="000000"/>
              </w:rPr>
            </w:pPr>
            <w:r w:rsidRPr="00B81481">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5A7F84EA"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single" w:sz="4" w:space="0" w:color="auto"/>
              <w:left w:val="nil"/>
              <w:bottom w:val="nil"/>
              <w:right w:val="nil"/>
            </w:tcBorders>
            <w:shd w:val="clear" w:color="auto" w:fill="auto"/>
            <w:vAlign w:val="center"/>
            <w:hideMark/>
          </w:tcPr>
          <w:p w14:paraId="691AF5C6" w14:textId="77777777" w:rsidR="0097090C" w:rsidRPr="00B81481" w:rsidRDefault="0097090C" w:rsidP="0097090C">
            <w:pPr>
              <w:jc w:val="right"/>
              <w:rPr>
                <w:rFonts w:cs="Arial"/>
                <w:color w:val="000000"/>
              </w:rPr>
            </w:pPr>
            <w:r w:rsidRPr="00B81481">
              <w:rPr>
                <w:rFonts w:cs="Arial"/>
                <w:color w:val="000000"/>
              </w:rPr>
              <w:t> </w:t>
            </w:r>
          </w:p>
        </w:tc>
      </w:tr>
      <w:tr w:rsidR="0097090C" w:rsidRPr="00B81481" w14:paraId="160DCAB4" w14:textId="77777777" w:rsidTr="0097090C">
        <w:trPr>
          <w:trHeight w:val="255"/>
        </w:trPr>
        <w:tc>
          <w:tcPr>
            <w:tcW w:w="6120" w:type="dxa"/>
            <w:tcBorders>
              <w:top w:val="nil"/>
              <w:left w:val="nil"/>
              <w:bottom w:val="nil"/>
              <w:right w:val="nil"/>
            </w:tcBorders>
            <w:shd w:val="clear" w:color="auto" w:fill="auto"/>
            <w:vAlign w:val="center"/>
            <w:hideMark/>
          </w:tcPr>
          <w:p w14:paraId="03854CCD" w14:textId="77777777" w:rsidR="0097090C" w:rsidRPr="00B81481" w:rsidRDefault="0097090C" w:rsidP="0097090C">
            <w:pPr>
              <w:rPr>
                <w:rFonts w:cs="Arial"/>
                <w:color w:val="000000"/>
              </w:rPr>
            </w:pPr>
            <w:r w:rsidRPr="00B81481">
              <w:rPr>
                <w:rFonts w:cs="Arial"/>
                <w:color w:val="000000"/>
              </w:rPr>
              <w:t>Balance at beginning of financial year</w:t>
            </w:r>
          </w:p>
        </w:tc>
        <w:tc>
          <w:tcPr>
            <w:tcW w:w="720" w:type="dxa"/>
            <w:tcBorders>
              <w:top w:val="nil"/>
              <w:left w:val="nil"/>
              <w:bottom w:val="nil"/>
              <w:right w:val="nil"/>
            </w:tcBorders>
            <w:shd w:val="clear" w:color="auto" w:fill="auto"/>
            <w:vAlign w:val="center"/>
            <w:hideMark/>
          </w:tcPr>
          <w:p w14:paraId="2BDFFBE3"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4ACEFBC5" w14:textId="77777777" w:rsidR="0097090C" w:rsidRPr="00B81481" w:rsidRDefault="0097090C" w:rsidP="0097090C">
            <w:pPr>
              <w:jc w:val="right"/>
              <w:rPr>
                <w:rFonts w:cs="Arial"/>
                <w:color w:val="000000"/>
              </w:rPr>
            </w:pPr>
            <w:r w:rsidRPr="00B81481">
              <w:rPr>
                <w:rFonts w:cs="Arial"/>
                <w:color w:val="000000"/>
              </w:rPr>
              <w:t>9,156</w:t>
            </w:r>
          </w:p>
        </w:tc>
        <w:tc>
          <w:tcPr>
            <w:tcW w:w="1260" w:type="dxa"/>
            <w:tcBorders>
              <w:top w:val="nil"/>
              <w:left w:val="nil"/>
              <w:bottom w:val="nil"/>
              <w:right w:val="nil"/>
            </w:tcBorders>
            <w:shd w:val="clear" w:color="auto" w:fill="auto"/>
            <w:vAlign w:val="center"/>
            <w:hideMark/>
          </w:tcPr>
          <w:p w14:paraId="019D9946" w14:textId="77777777" w:rsidR="0097090C" w:rsidRPr="00B81481" w:rsidRDefault="0097090C" w:rsidP="0097090C">
            <w:pPr>
              <w:jc w:val="right"/>
              <w:rPr>
                <w:rFonts w:cs="Arial"/>
                <w:color w:val="000000"/>
              </w:rPr>
            </w:pPr>
            <w:r w:rsidRPr="00B81481">
              <w:rPr>
                <w:rFonts w:cs="Arial"/>
                <w:color w:val="000000"/>
              </w:rPr>
              <w:t>10,754</w:t>
            </w:r>
          </w:p>
        </w:tc>
      </w:tr>
      <w:tr w:rsidR="0097090C" w:rsidRPr="00B81481" w14:paraId="24F55DF6" w14:textId="77777777" w:rsidTr="0097090C">
        <w:trPr>
          <w:trHeight w:val="255"/>
        </w:trPr>
        <w:tc>
          <w:tcPr>
            <w:tcW w:w="6120" w:type="dxa"/>
            <w:tcBorders>
              <w:top w:val="nil"/>
              <w:left w:val="nil"/>
              <w:bottom w:val="nil"/>
              <w:right w:val="nil"/>
            </w:tcBorders>
            <w:shd w:val="clear" w:color="auto" w:fill="auto"/>
            <w:vAlign w:val="center"/>
            <w:hideMark/>
          </w:tcPr>
          <w:p w14:paraId="2A261EAE" w14:textId="77777777" w:rsidR="0097090C" w:rsidRPr="00B81481" w:rsidRDefault="0097090C" w:rsidP="0097090C">
            <w:pPr>
              <w:rPr>
                <w:rFonts w:cs="Arial"/>
                <w:color w:val="000000"/>
              </w:rPr>
            </w:pPr>
            <w:r w:rsidRPr="00B81481">
              <w:rPr>
                <w:rFonts w:cs="Arial"/>
                <w:color w:val="000000"/>
              </w:rPr>
              <w:t>Transfer (to)/from Accumulated Deficit</w:t>
            </w:r>
          </w:p>
        </w:tc>
        <w:tc>
          <w:tcPr>
            <w:tcW w:w="720" w:type="dxa"/>
            <w:tcBorders>
              <w:top w:val="nil"/>
              <w:left w:val="nil"/>
              <w:bottom w:val="nil"/>
              <w:right w:val="nil"/>
            </w:tcBorders>
            <w:shd w:val="clear" w:color="auto" w:fill="auto"/>
            <w:vAlign w:val="center"/>
            <w:hideMark/>
          </w:tcPr>
          <w:p w14:paraId="1373BC89"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A14A241" w14:textId="77777777" w:rsidR="0097090C" w:rsidRPr="00B81481" w:rsidRDefault="0097090C" w:rsidP="0097090C">
            <w:pPr>
              <w:jc w:val="right"/>
              <w:rPr>
                <w:rFonts w:cs="Arial"/>
                <w:color w:val="000000"/>
              </w:rPr>
            </w:pPr>
            <w:r w:rsidRPr="00B81481">
              <w:rPr>
                <w:rFonts w:cs="Arial"/>
                <w:color w:val="000000"/>
              </w:rPr>
              <w:t>(3,238)</w:t>
            </w:r>
          </w:p>
        </w:tc>
        <w:tc>
          <w:tcPr>
            <w:tcW w:w="1260" w:type="dxa"/>
            <w:tcBorders>
              <w:top w:val="nil"/>
              <w:left w:val="nil"/>
              <w:bottom w:val="nil"/>
              <w:right w:val="nil"/>
            </w:tcBorders>
            <w:shd w:val="clear" w:color="auto" w:fill="auto"/>
            <w:vAlign w:val="center"/>
            <w:hideMark/>
          </w:tcPr>
          <w:p w14:paraId="64A18EEF" w14:textId="77777777" w:rsidR="0097090C" w:rsidRPr="00B81481" w:rsidRDefault="0097090C" w:rsidP="0097090C">
            <w:pPr>
              <w:jc w:val="right"/>
              <w:rPr>
                <w:rFonts w:cs="Arial"/>
                <w:color w:val="000000"/>
              </w:rPr>
            </w:pPr>
            <w:r w:rsidRPr="00B81481">
              <w:rPr>
                <w:rFonts w:cs="Arial"/>
                <w:color w:val="000000"/>
              </w:rPr>
              <w:t>(1,598)</w:t>
            </w:r>
          </w:p>
        </w:tc>
      </w:tr>
      <w:tr w:rsidR="0097090C" w:rsidRPr="00B81481" w14:paraId="61A1DAF4" w14:textId="77777777" w:rsidTr="0097090C">
        <w:trPr>
          <w:trHeight w:val="285"/>
        </w:trPr>
        <w:tc>
          <w:tcPr>
            <w:tcW w:w="6120" w:type="dxa"/>
            <w:tcBorders>
              <w:top w:val="single" w:sz="4" w:space="0" w:color="auto"/>
              <w:left w:val="nil"/>
              <w:bottom w:val="single" w:sz="4" w:space="0" w:color="auto"/>
              <w:right w:val="nil"/>
            </w:tcBorders>
            <w:shd w:val="clear" w:color="auto" w:fill="auto"/>
            <w:vAlign w:val="center"/>
            <w:hideMark/>
          </w:tcPr>
          <w:p w14:paraId="742278DC" w14:textId="77777777" w:rsidR="0097090C" w:rsidRPr="00B81481" w:rsidRDefault="0097090C" w:rsidP="0097090C">
            <w:pPr>
              <w:rPr>
                <w:rFonts w:cs="Arial"/>
                <w:b/>
                <w:bCs/>
                <w:color w:val="000000"/>
              </w:rPr>
            </w:pPr>
            <w:r w:rsidRPr="00B81481">
              <w:rPr>
                <w:rFonts w:cs="Arial"/>
                <w:b/>
                <w:bCs/>
                <w:color w:val="000000"/>
              </w:rPr>
              <w:t>Balance at end of financial year</w:t>
            </w:r>
          </w:p>
        </w:tc>
        <w:tc>
          <w:tcPr>
            <w:tcW w:w="720" w:type="dxa"/>
            <w:tcBorders>
              <w:top w:val="single" w:sz="4" w:space="0" w:color="auto"/>
              <w:left w:val="nil"/>
              <w:bottom w:val="single" w:sz="4" w:space="0" w:color="auto"/>
              <w:right w:val="nil"/>
            </w:tcBorders>
            <w:shd w:val="clear" w:color="auto" w:fill="auto"/>
            <w:vAlign w:val="center"/>
            <w:hideMark/>
          </w:tcPr>
          <w:p w14:paraId="69838F99" w14:textId="77777777" w:rsidR="0097090C" w:rsidRPr="00B81481" w:rsidRDefault="0097090C" w:rsidP="0097090C">
            <w:pPr>
              <w:jc w:val="center"/>
              <w:rPr>
                <w:rFonts w:cs="Arial"/>
                <w:b/>
                <w:bCs/>
                <w:color w:val="000000"/>
              </w:rPr>
            </w:pPr>
            <w:r w:rsidRPr="00B81481">
              <w:rPr>
                <w:rFonts w:cs="Arial"/>
                <w:b/>
                <w:bCs/>
                <w:color w:val="000000"/>
              </w:rPr>
              <w:t> </w:t>
            </w:r>
          </w:p>
        </w:tc>
        <w:tc>
          <w:tcPr>
            <w:tcW w:w="1260" w:type="dxa"/>
            <w:tcBorders>
              <w:top w:val="single" w:sz="4" w:space="0" w:color="auto"/>
              <w:left w:val="nil"/>
              <w:bottom w:val="single" w:sz="4" w:space="0" w:color="auto"/>
              <w:right w:val="nil"/>
            </w:tcBorders>
            <w:shd w:val="clear" w:color="000000" w:fill="D9D9D9"/>
            <w:vAlign w:val="center"/>
            <w:hideMark/>
          </w:tcPr>
          <w:p w14:paraId="7728CE33" w14:textId="77777777" w:rsidR="0097090C" w:rsidRPr="00B81481" w:rsidRDefault="0097090C" w:rsidP="0097090C">
            <w:pPr>
              <w:jc w:val="right"/>
              <w:rPr>
                <w:rFonts w:cs="Arial"/>
                <w:b/>
                <w:bCs/>
                <w:color w:val="000000"/>
              </w:rPr>
            </w:pPr>
            <w:r w:rsidRPr="00B81481">
              <w:rPr>
                <w:rFonts w:cs="Arial"/>
                <w:b/>
                <w:bCs/>
                <w:color w:val="000000"/>
              </w:rPr>
              <w:t>5,918</w:t>
            </w:r>
          </w:p>
        </w:tc>
        <w:tc>
          <w:tcPr>
            <w:tcW w:w="1260" w:type="dxa"/>
            <w:tcBorders>
              <w:top w:val="single" w:sz="4" w:space="0" w:color="auto"/>
              <w:left w:val="nil"/>
              <w:bottom w:val="single" w:sz="4" w:space="0" w:color="auto"/>
              <w:right w:val="nil"/>
            </w:tcBorders>
            <w:shd w:val="clear" w:color="auto" w:fill="auto"/>
            <w:vAlign w:val="center"/>
            <w:hideMark/>
          </w:tcPr>
          <w:p w14:paraId="737B70C3" w14:textId="77777777" w:rsidR="0097090C" w:rsidRPr="00B81481" w:rsidRDefault="0097090C" w:rsidP="0097090C">
            <w:pPr>
              <w:jc w:val="right"/>
              <w:rPr>
                <w:rFonts w:cs="Arial"/>
                <w:b/>
                <w:bCs/>
                <w:color w:val="000000"/>
              </w:rPr>
            </w:pPr>
            <w:r w:rsidRPr="00B81481">
              <w:rPr>
                <w:rFonts w:cs="Arial"/>
                <w:b/>
                <w:bCs/>
                <w:color w:val="000000"/>
              </w:rPr>
              <w:t>9,156</w:t>
            </w:r>
          </w:p>
        </w:tc>
      </w:tr>
      <w:tr w:rsidR="0097090C" w:rsidRPr="00B81481" w14:paraId="33667D26" w14:textId="77777777" w:rsidTr="0097090C">
        <w:trPr>
          <w:trHeight w:val="255"/>
        </w:trPr>
        <w:tc>
          <w:tcPr>
            <w:tcW w:w="6120" w:type="dxa"/>
            <w:tcBorders>
              <w:top w:val="nil"/>
              <w:left w:val="nil"/>
              <w:bottom w:val="nil"/>
              <w:right w:val="nil"/>
            </w:tcBorders>
            <w:shd w:val="clear" w:color="auto" w:fill="auto"/>
            <w:vAlign w:val="center"/>
            <w:hideMark/>
          </w:tcPr>
          <w:p w14:paraId="1959B50F" w14:textId="77777777" w:rsidR="0097090C" w:rsidRPr="00B81481" w:rsidRDefault="0097090C" w:rsidP="0097090C">
            <w:pPr>
              <w:rPr>
                <w:rFonts w:cs="Arial"/>
                <w:color w:val="000000"/>
              </w:rPr>
            </w:pPr>
          </w:p>
        </w:tc>
        <w:tc>
          <w:tcPr>
            <w:tcW w:w="720" w:type="dxa"/>
            <w:tcBorders>
              <w:top w:val="nil"/>
              <w:left w:val="nil"/>
              <w:bottom w:val="nil"/>
              <w:right w:val="nil"/>
            </w:tcBorders>
            <w:shd w:val="clear" w:color="auto" w:fill="auto"/>
            <w:vAlign w:val="center"/>
            <w:hideMark/>
          </w:tcPr>
          <w:p w14:paraId="2183C1F0"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6B3E496"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4E552482" w14:textId="77777777" w:rsidR="0097090C" w:rsidRPr="00B81481" w:rsidRDefault="0097090C" w:rsidP="0097090C">
            <w:pPr>
              <w:jc w:val="right"/>
              <w:rPr>
                <w:rFonts w:cs="Arial"/>
                <w:color w:val="000000"/>
              </w:rPr>
            </w:pPr>
          </w:p>
        </w:tc>
      </w:tr>
      <w:tr w:rsidR="0097090C" w:rsidRPr="00B81481" w14:paraId="1C390A6F" w14:textId="77777777" w:rsidTr="0097090C">
        <w:trPr>
          <w:trHeight w:val="255"/>
        </w:trPr>
        <w:tc>
          <w:tcPr>
            <w:tcW w:w="6120" w:type="dxa"/>
            <w:tcBorders>
              <w:top w:val="nil"/>
              <w:left w:val="nil"/>
              <w:bottom w:val="nil"/>
              <w:right w:val="nil"/>
            </w:tcBorders>
            <w:shd w:val="clear" w:color="auto" w:fill="auto"/>
            <w:vAlign w:val="center"/>
            <w:hideMark/>
          </w:tcPr>
          <w:p w14:paraId="7DDBE02F" w14:textId="77777777" w:rsidR="0097090C" w:rsidRPr="00B81481" w:rsidRDefault="0097090C" w:rsidP="0097090C">
            <w:pPr>
              <w:rPr>
                <w:rFonts w:cs="Arial"/>
                <w:b/>
                <w:bCs/>
                <w:color w:val="000000"/>
              </w:rPr>
            </w:pPr>
            <w:r w:rsidRPr="00B81481">
              <w:rPr>
                <w:rFonts w:cs="Arial"/>
                <w:b/>
                <w:bCs/>
                <w:color w:val="000000"/>
              </w:rPr>
              <w:t>Physical Asset Revaluation Surplus</w:t>
            </w:r>
          </w:p>
        </w:tc>
        <w:tc>
          <w:tcPr>
            <w:tcW w:w="720" w:type="dxa"/>
            <w:tcBorders>
              <w:top w:val="nil"/>
              <w:left w:val="nil"/>
              <w:bottom w:val="nil"/>
              <w:right w:val="nil"/>
            </w:tcBorders>
            <w:shd w:val="clear" w:color="auto" w:fill="auto"/>
            <w:vAlign w:val="center"/>
            <w:hideMark/>
          </w:tcPr>
          <w:p w14:paraId="773472EB"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3229875A"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7E3A4369" w14:textId="77777777" w:rsidR="0097090C" w:rsidRPr="00B81481" w:rsidRDefault="0097090C" w:rsidP="0097090C">
            <w:pPr>
              <w:jc w:val="right"/>
              <w:rPr>
                <w:rFonts w:cs="Arial"/>
                <w:color w:val="000000"/>
              </w:rPr>
            </w:pPr>
          </w:p>
        </w:tc>
      </w:tr>
      <w:tr w:rsidR="0097090C" w:rsidRPr="00B81481" w14:paraId="005D2089" w14:textId="77777777" w:rsidTr="0097090C">
        <w:trPr>
          <w:trHeight w:val="255"/>
        </w:trPr>
        <w:tc>
          <w:tcPr>
            <w:tcW w:w="6120" w:type="dxa"/>
            <w:tcBorders>
              <w:top w:val="nil"/>
              <w:left w:val="nil"/>
              <w:bottom w:val="nil"/>
              <w:right w:val="nil"/>
            </w:tcBorders>
            <w:shd w:val="clear" w:color="auto" w:fill="auto"/>
            <w:vAlign w:val="center"/>
            <w:hideMark/>
          </w:tcPr>
          <w:p w14:paraId="5351FE65" w14:textId="77777777" w:rsidR="0097090C" w:rsidRPr="00B81481" w:rsidRDefault="0097090C" w:rsidP="0097090C">
            <w:pPr>
              <w:rPr>
                <w:rFonts w:cs="Arial"/>
                <w:color w:val="000000"/>
              </w:rPr>
            </w:pPr>
            <w:r w:rsidRPr="00B81481">
              <w:rPr>
                <w:rFonts w:cs="Arial"/>
                <w:color w:val="000000"/>
              </w:rPr>
              <w:t>Balance at beginning of financial year</w:t>
            </w:r>
          </w:p>
        </w:tc>
        <w:tc>
          <w:tcPr>
            <w:tcW w:w="720" w:type="dxa"/>
            <w:tcBorders>
              <w:top w:val="nil"/>
              <w:left w:val="nil"/>
              <w:bottom w:val="nil"/>
              <w:right w:val="nil"/>
            </w:tcBorders>
            <w:shd w:val="clear" w:color="auto" w:fill="auto"/>
            <w:vAlign w:val="center"/>
            <w:hideMark/>
          </w:tcPr>
          <w:p w14:paraId="0B9939C4"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1049DC36" w14:textId="77777777" w:rsidR="0097090C" w:rsidRPr="00B81481" w:rsidRDefault="0097090C" w:rsidP="0097090C">
            <w:pPr>
              <w:jc w:val="right"/>
              <w:rPr>
                <w:rFonts w:cs="Arial"/>
                <w:color w:val="000000"/>
              </w:rPr>
            </w:pPr>
            <w:r w:rsidRPr="00B81481">
              <w:rPr>
                <w:rFonts w:cs="Arial"/>
                <w:color w:val="000000"/>
              </w:rPr>
              <w:t>545,888</w:t>
            </w:r>
          </w:p>
        </w:tc>
        <w:tc>
          <w:tcPr>
            <w:tcW w:w="1260" w:type="dxa"/>
            <w:tcBorders>
              <w:top w:val="nil"/>
              <w:left w:val="nil"/>
              <w:bottom w:val="nil"/>
              <w:right w:val="nil"/>
            </w:tcBorders>
            <w:shd w:val="clear" w:color="auto" w:fill="auto"/>
            <w:vAlign w:val="center"/>
            <w:hideMark/>
          </w:tcPr>
          <w:p w14:paraId="7C91CC72" w14:textId="77777777" w:rsidR="0097090C" w:rsidRPr="00B81481" w:rsidRDefault="0097090C" w:rsidP="0097090C">
            <w:pPr>
              <w:jc w:val="right"/>
              <w:rPr>
                <w:rFonts w:cs="Arial"/>
                <w:color w:val="000000"/>
              </w:rPr>
            </w:pPr>
            <w:r w:rsidRPr="00B81481">
              <w:rPr>
                <w:rFonts w:cs="Arial"/>
                <w:color w:val="000000"/>
              </w:rPr>
              <w:t>545,888</w:t>
            </w:r>
          </w:p>
        </w:tc>
      </w:tr>
      <w:tr w:rsidR="0097090C" w:rsidRPr="00B81481" w14:paraId="2042B58F" w14:textId="77777777" w:rsidTr="0097090C">
        <w:trPr>
          <w:trHeight w:val="255"/>
        </w:trPr>
        <w:tc>
          <w:tcPr>
            <w:tcW w:w="6120" w:type="dxa"/>
            <w:tcBorders>
              <w:top w:val="nil"/>
              <w:left w:val="nil"/>
              <w:bottom w:val="nil"/>
              <w:right w:val="nil"/>
            </w:tcBorders>
            <w:shd w:val="clear" w:color="auto" w:fill="auto"/>
            <w:vAlign w:val="center"/>
            <w:hideMark/>
          </w:tcPr>
          <w:p w14:paraId="0FB5E9A3" w14:textId="77777777" w:rsidR="0097090C" w:rsidRPr="00B81481" w:rsidRDefault="0097090C" w:rsidP="0097090C">
            <w:pPr>
              <w:rPr>
                <w:rFonts w:cs="Arial"/>
                <w:color w:val="000000"/>
              </w:rPr>
            </w:pPr>
            <w:r w:rsidRPr="00B81481">
              <w:rPr>
                <w:rFonts w:cs="Arial"/>
                <w:color w:val="000000"/>
              </w:rPr>
              <w:t>Asset revaluation increases</w:t>
            </w:r>
          </w:p>
        </w:tc>
        <w:tc>
          <w:tcPr>
            <w:tcW w:w="720" w:type="dxa"/>
            <w:tcBorders>
              <w:top w:val="nil"/>
              <w:left w:val="nil"/>
              <w:bottom w:val="nil"/>
              <w:right w:val="nil"/>
            </w:tcBorders>
            <w:shd w:val="clear" w:color="auto" w:fill="auto"/>
            <w:vAlign w:val="center"/>
            <w:hideMark/>
          </w:tcPr>
          <w:p w14:paraId="50D0B8BB"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724BADB6" w14:textId="77777777" w:rsidR="0097090C" w:rsidRPr="00B81481" w:rsidRDefault="0097090C" w:rsidP="0097090C">
            <w:pPr>
              <w:jc w:val="right"/>
              <w:rPr>
                <w:rFonts w:cs="Arial"/>
                <w:color w:val="000000"/>
              </w:rPr>
            </w:pPr>
            <w:r>
              <w:rPr>
                <w:rFonts w:cs="Arial"/>
                <w:color w:val="000000"/>
              </w:rPr>
              <w:t>644,064</w:t>
            </w:r>
          </w:p>
        </w:tc>
        <w:tc>
          <w:tcPr>
            <w:tcW w:w="1260" w:type="dxa"/>
            <w:tcBorders>
              <w:top w:val="nil"/>
              <w:left w:val="nil"/>
              <w:bottom w:val="nil"/>
              <w:right w:val="nil"/>
            </w:tcBorders>
            <w:shd w:val="clear" w:color="auto" w:fill="auto"/>
            <w:vAlign w:val="center"/>
            <w:hideMark/>
          </w:tcPr>
          <w:p w14:paraId="5C5411FB" w14:textId="77777777" w:rsidR="0097090C" w:rsidRPr="00B81481" w:rsidRDefault="0097090C" w:rsidP="0097090C">
            <w:pPr>
              <w:jc w:val="right"/>
              <w:rPr>
                <w:rFonts w:cs="Arial"/>
                <w:color w:val="000000"/>
              </w:rPr>
            </w:pPr>
            <w:r w:rsidRPr="00B81481">
              <w:rPr>
                <w:rFonts w:cs="Arial"/>
                <w:color w:val="000000"/>
              </w:rPr>
              <w:t>0</w:t>
            </w:r>
          </w:p>
        </w:tc>
      </w:tr>
      <w:tr w:rsidR="0097090C" w:rsidRPr="00B81481" w14:paraId="5B0F5EAA" w14:textId="77777777" w:rsidTr="0097090C">
        <w:trPr>
          <w:trHeight w:val="285"/>
        </w:trPr>
        <w:tc>
          <w:tcPr>
            <w:tcW w:w="6120" w:type="dxa"/>
            <w:tcBorders>
              <w:top w:val="single" w:sz="4" w:space="0" w:color="auto"/>
              <w:left w:val="nil"/>
              <w:bottom w:val="single" w:sz="4" w:space="0" w:color="auto"/>
              <w:right w:val="nil"/>
            </w:tcBorders>
            <w:shd w:val="clear" w:color="auto" w:fill="auto"/>
            <w:vAlign w:val="center"/>
            <w:hideMark/>
          </w:tcPr>
          <w:p w14:paraId="3A3BED97" w14:textId="77777777" w:rsidR="0097090C" w:rsidRPr="00B81481" w:rsidRDefault="0097090C" w:rsidP="0097090C">
            <w:pPr>
              <w:rPr>
                <w:rFonts w:cs="Arial"/>
                <w:b/>
                <w:bCs/>
                <w:color w:val="000000"/>
              </w:rPr>
            </w:pPr>
            <w:r w:rsidRPr="00B81481">
              <w:rPr>
                <w:rFonts w:cs="Arial"/>
                <w:b/>
                <w:bCs/>
                <w:color w:val="000000"/>
              </w:rPr>
              <w:t>Balance at end of financial year</w:t>
            </w:r>
          </w:p>
        </w:tc>
        <w:tc>
          <w:tcPr>
            <w:tcW w:w="720" w:type="dxa"/>
            <w:tcBorders>
              <w:top w:val="single" w:sz="4" w:space="0" w:color="auto"/>
              <w:left w:val="nil"/>
              <w:bottom w:val="single" w:sz="4" w:space="0" w:color="auto"/>
              <w:right w:val="nil"/>
            </w:tcBorders>
            <w:shd w:val="clear" w:color="auto" w:fill="auto"/>
            <w:vAlign w:val="center"/>
            <w:hideMark/>
          </w:tcPr>
          <w:p w14:paraId="28168E00" w14:textId="77777777" w:rsidR="0097090C" w:rsidRPr="00B81481" w:rsidRDefault="0097090C" w:rsidP="0097090C">
            <w:pPr>
              <w:jc w:val="center"/>
              <w:rPr>
                <w:rFonts w:cs="Arial"/>
                <w:b/>
                <w:bCs/>
                <w:color w:val="000000"/>
              </w:rPr>
            </w:pPr>
            <w:r w:rsidRPr="00B81481">
              <w:rPr>
                <w:rFonts w:cs="Arial"/>
                <w:b/>
                <w:bCs/>
                <w:color w:val="000000"/>
              </w:rPr>
              <w:t> </w:t>
            </w:r>
          </w:p>
        </w:tc>
        <w:tc>
          <w:tcPr>
            <w:tcW w:w="1260" w:type="dxa"/>
            <w:tcBorders>
              <w:top w:val="single" w:sz="4" w:space="0" w:color="auto"/>
              <w:left w:val="nil"/>
              <w:bottom w:val="single" w:sz="4" w:space="0" w:color="auto"/>
              <w:right w:val="nil"/>
            </w:tcBorders>
            <w:shd w:val="clear" w:color="000000" w:fill="D9D9D9"/>
            <w:vAlign w:val="center"/>
            <w:hideMark/>
          </w:tcPr>
          <w:p w14:paraId="04526F2B" w14:textId="77777777" w:rsidR="0097090C" w:rsidRPr="00B81481" w:rsidRDefault="0097090C" w:rsidP="0097090C">
            <w:pPr>
              <w:jc w:val="right"/>
              <w:rPr>
                <w:rFonts w:cs="Arial"/>
                <w:b/>
                <w:bCs/>
                <w:color w:val="000000"/>
              </w:rPr>
            </w:pPr>
            <w:r>
              <w:rPr>
                <w:rFonts w:cs="Arial"/>
                <w:b/>
                <w:bCs/>
                <w:color w:val="000000"/>
              </w:rPr>
              <w:t>1,189,952</w:t>
            </w:r>
          </w:p>
        </w:tc>
        <w:tc>
          <w:tcPr>
            <w:tcW w:w="1260" w:type="dxa"/>
            <w:tcBorders>
              <w:top w:val="single" w:sz="4" w:space="0" w:color="auto"/>
              <w:left w:val="nil"/>
              <w:bottom w:val="single" w:sz="4" w:space="0" w:color="auto"/>
              <w:right w:val="nil"/>
            </w:tcBorders>
            <w:shd w:val="clear" w:color="auto" w:fill="auto"/>
            <w:vAlign w:val="center"/>
            <w:hideMark/>
          </w:tcPr>
          <w:p w14:paraId="697F7DF0" w14:textId="77777777" w:rsidR="0097090C" w:rsidRPr="00B81481" w:rsidRDefault="0097090C" w:rsidP="0097090C">
            <w:pPr>
              <w:jc w:val="right"/>
              <w:rPr>
                <w:rFonts w:cs="Arial"/>
                <w:b/>
                <w:bCs/>
                <w:color w:val="000000"/>
              </w:rPr>
            </w:pPr>
            <w:r w:rsidRPr="00B81481">
              <w:rPr>
                <w:rFonts w:cs="Arial"/>
                <w:b/>
                <w:bCs/>
                <w:color w:val="000000"/>
              </w:rPr>
              <w:t>545,888</w:t>
            </w:r>
          </w:p>
        </w:tc>
      </w:tr>
    </w:tbl>
    <w:p w14:paraId="77AF90F9" w14:textId="77777777" w:rsidR="0097090C" w:rsidRPr="00C851C2" w:rsidRDefault="0097090C" w:rsidP="0097090C">
      <w:pPr>
        <w:spacing w:before="60"/>
        <w:rPr>
          <w:rFonts w:cs="Arial"/>
          <w:i/>
          <w:sz w:val="21"/>
          <w:szCs w:val="21"/>
        </w:rPr>
      </w:pPr>
      <w:r w:rsidRPr="00C851C2">
        <w:rPr>
          <w:rFonts w:cs="Arial"/>
          <w:i/>
          <w:sz w:val="21"/>
          <w:szCs w:val="21"/>
        </w:rPr>
        <w:t>*Externally Funded Special Projects consists of unexpended Government and other grants tied to a specific purpose.</w:t>
      </w:r>
    </w:p>
    <w:p w14:paraId="25598BE8" w14:textId="77777777" w:rsidR="0097090C" w:rsidRDefault="0097090C" w:rsidP="0097090C">
      <w:pPr>
        <w:rPr>
          <w:rFonts w:cs="Arial"/>
        </w:rPr>
      </w:pPr>
    </w:p>
    <w:p w14:paraId="77590909" w14:textId="77777777" w:rsidR="0097090C" w:rsidRPr="00922501" w:rsidRDefault="0097090C" w:rsidP="0097090C">
      <w:pPr>
        <w:pStyle w:val="Heading4"/>
      </w:pPr>
      <w:r>
        <w:t xml:space="preserve">14. </w:t>
      </w:r>
      <w:r w:rsidRPr="00922501">
        <w:t>Contingent Assets and Liabilities</w:t>
      </w:r>
    </w:p>
    <w:p w14:paraId="2DBCA298" w14:textId="77777777" w:rsidR="0097090C" w:rsidRDefault="0097090C" w:rsidP="0097090C">
      <w:pPr>
        <w:rPr>
          <w:rFonts w:cs="Arial"/>
        </w:rPr>
      </w:pPr>
      <w:r w:rsidRPr="00EE51EF">
        <w:rPr>
          <w:rFonts w:cs="Arial"/>
        </w:rPr>
        <w:t>Museum Victoria believes that there are no contingent assets or contingent liabilities</w:t>
      </w:r>
      <w:r>
        <w:rPr>
          <w:rFonts w:cs="Arial"/>
        </w:rPr>
        <w:t xml:space="preserve"> (2014/2015</w:t>
      </w:r>
      <w:r w:rsidRPr="00922501">
        <w:rPr>
          <w:rFonts w:cs="Arial"/>
        </w:rPr>
        <w:t>: Nil).</w:t>
      </w:r>
    </w:p>
    <w:p w14:paraId="38B672AB" w14:textId="77777777" w:rsidR="0097090C" w:rsidRDefault="0097090C" w:rsidP="0097090C">
      <w:pPr>
        <w:rPr>
          <w:rFonts w:cs="Arial"/>
        </w:rPr>
      </w:pPr>
      <w:r>
        <w:rPr>
          <w:rFonts w:cs="Arial"/>
        </w:rPr>
        <w:br w:type="page"/>
      </w:r>
    </w:p>
    <w:p w14:paraId="4A59CE9B" w14:textId="77777777" w:rsidR="0097090C" w:rsidRDefault="0097090C" w:rsidP="0097090C">
      <w:pPr>
        <w:rPr>
          <w:rFonts w:cs="Arial"/>
        </w:rPr>
      </w:pPr>
    </w:p>
    <w:p w14:paraId="7257EAE5" w14:textId="77777777" w:rsidR="0097090C" w:rsidRPr="0074451D" w:rsidRDefault="0097090C" w:rsidP="0097090C">
      <w:pPr>
        <w:pStyle w:val="Heading4"/>
      </w:pPr>
      <w:r>
        <w:t xml:space="preserve">15. </w:t>
      </w:r>
      <w:r w:rsidRPr="0074451D">
        <w:t>Notes to the Cash Flow Statement</w:t>
      </w:r>
    </w:p>
    <w:p w14:paraId="31DB442F" w14:textId="77777777" w:rsidR="0097090C" w:rsidRPr="008B4EB4" w:rsidRDefault="0097090C" w:rsidP="0097090C">
      <w:pPr>
        <w:pStyle w:val="Heading5"/>
        <w:rPr>
          <w:lang w:val="en-GB"/>
        </w:rPr>
      </w:pPr>
      <w:r w:rsidRPr="008B4EB4">
        <w:rPr>
          <w:lang w:val="en-GB"/>
        </w:rPr>
        <w:t>15(a) Reconciliation of Cash</w:t>
      </w:r>
    </w:p>
    <w:p w14:paraId="43D3959E" w14:textId="77777777" w:rsidR="0097090C" w:rsidRDefault="0097090C" w:rsidP="0097090C">
      <w:pPr>
        <w:spacing w:after="60"/>
        <w:rPr>
          <w:rFonts w:cs="Arial"/>
        </w:rPr>
      </w:pPr>
      <w:r w:rsidRPr="0074451D">
        <w:rPr>
          <w:rFonts w:cs="Arial"/>
        </w:rPr>
        <w:t>For the purposes of the Cash Flow Statement, Museum Victoria considers cash to include cash on hand and in banks. Cash at the end of the reporting period, as shown in the Cash Flow Statement, is reconciled to the related items in the Balance Sheet as follows:</w:t>
      </w:r>
    </w:p>
    <w:tbl>
      <w:tblPr>
        <w:tblW w:w="9360" w:type="dxa"/>
        <w:tblInd w:w="108" w:type="dxa"/>
        <w:tblLook w:val="04A0" w:firstRow="1" w:lastRow="0" w:firstColumn="1" w:lastColumn="0" w:noHBand="0" w:noVBand="1"/>
      </w:tblPr>
      <w:tblGrid>
        <w:gridCol w:w="6120"/>
        <w:gridCol w:w="720"/>
        <w:gridCol w:w="1260"/>
        <w:gridCol w:w="1260"/>
      </w:tblGrid>
      <w:tr w:rsidR="0097090C" w:rsidRPr="00B81481" w14:paraId="7404DDC0" w14:textId="77777777" w:rsidTr="0097090C">
        <w:trPr>
          <w:trHeight w:val="255"/>
        </w:trPr>
        <w:tc>
          <w:tcPr>
            <w:tcW w:w="6120" w:type="dxa"/>
            <w:tcBorders>
              <w:top w:val="single" w:sz="4" w:space="0" w:color="auto"/>
              <w:left w:val="nil"/>
              <w:bottom w:val="nil"/>
              <w:right w:val="nil"/>
            </w:tcBorders>
            <w:shd w:val="clear" w:color="auto" w:fill="auto"/>
            <w:vAlign w:val="center"/>
            <w:hideMark/>
          </w:tcPr>
          <w:p w14:paraId="271FA05F" w14:textId="77777777" w:rsidR="0097090C" w:rsidRPr="00B81481" w:rsidRDefault="0097090C" w:rsidP="0097090C">
            <w:pPr>
              <w:rPr>
                <w:rFonts w:cs="Arial"/>
                <w:color w:val="000000"/>
              </w:rPr>
            </w:pPr>
            <w:r w:rsidRPr="00B81481">
              <w:rPr>
                <w:rFonts w:cs="Arial"/>
                <w:color w:val="000000"/>
              </w:rPr>
              <w:t>Cash</w:t>
            </w:r>
          </w:p>
        </w:tc>
        <w:tc>
          <w:tcPr>
            <w:tcW w:w="720" w:type="dxa"/>
            <w:tcBorders>
              <w:top w:val="single" w:sz="4" w:space="0" w:color="auto"/>
              <w:left w:val="nil"/>
              <w:bottom w:val="nil"/>
              <w:right w:val="nil"/>
            </w:tcBorders>
            <w:shd w:val="clear" w:color="auto" w:fill="auto"/>
            <w:vAlign w:val="center"/>
            <w:hideMark/>
          </w:tcPr>
          <w:p w14:paraId="03582B6A" w14:textId="77777777" w:rsidR="0097090C" w:rsidRPr="00B81481" w:rsidRDefault="0097090C" w:rsidP="0097090C">
            <w:pPr>
              <w:jc w:val="center"/>
              <w:rPr>
                <w:rFonts w:cs="Arial"/>
                <w:color w:val="000000"/>
              </w:rPr>
            </w:pPr>
            <w:r w:rsidRPr="00B81481">
              <w:rPr>
                <w:rFonts w:cs="Arial"/>
                <w:color w:val="000000"/>
              </w:rPr>
              <w:t> </w:t>
            </w:r>
          </w:p>
        </w:tc>
        <w:tc>
          <w:tcPr>
            <w:tcW w:w="1260" w:type="dxa"/>
            <w:tcBorders>
              <w:top w:val="single" w:sz="4" w:space="0" w:color="auto"/>
              <w:left w:val="nil"/>
              <w:bottom w:val="nil"/>
              <w:right w:val="nil"/>
            </w:tcBorders>
            <w:shd w:val="clear" w:color="000000" w:fill="D9D9D9"/>
            <w:vAlign w:val="center"/>
            <w:hideMark/>
          </w:tcPr>
          <w:p w14:paraId="68863F3F" w14:textId="77777777" w:rsidR="0097090C" w:rsidRPr="00B81481" w:rsidRDefault="0097090C" w:rsidP="0097090C">
            <w:pPr>
              <w:jc w:val="right"/>
              <w:rPr>
                <w:rFonts w:cs="Arial"/>
                <w:color w:val="000000"/>
              </w:rPr>
            </w:pPr>
            <w:r w:rsidRPr="00B81481">
              <w:rPr>
                <w:rFonts w:cs="Arial"/>
                <w:color w:val="000000"/>
              </w:rPr>
              <w:t>39,000</w:t>
            </w:r>
          </w:p>
        </w:tc>
        <w:tc>
          <w:tcPr>
            <w:tcW w:w="1260" w:type="dxa"/>
            <w:tcBorders>
              <w:top w:val="single" w:sz="4" w:space="0" w:color="auto"/>
              <w:left w:val="nil"/>
              <w:bottom w:val="nil"/>
              <w:right w:val="nil"/>
            </w:tcBorders>
            <w:shd w:val="clear" w:color="auto" w:fill="auto"/>
            <w:vAlign w:val="center"/>
            <w:hideMark/>
          </w:tcPr>
          <w:p w14:paraId="01354781" w14:textId="77777777" w:rsidR="0097090C" w:rsidRPr="00B81481" w:rsidRDefault="0097090C" w:rsidP="0097090C">
            <w:pPr>
              <w:jc w:val="right"/>
              <w:rPr>
                <w:rFonts w:cs="Arial"/>
                <w:color w:val="000000"/>
              </w:rPr>
            </w:pPr>
            <w:r w:rsidRPr="00B81481">
              <w:rPr>
                <w:rFonts w:cs="Arial"/>
                <w:color w:val="000000"/>
              </w:rPr>
              <w:t>836</w:t>
            </w:r>
          </w:p>
        </w:tc>
      </w:tr>
      <w:tr w:rsidR="0097090C" w:rsidRPr="00B81481" w14:paraId="4A2ACE03"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79BC104D" w14:textId="77777777" w:rsidR="0097090C" w:rsidRPr="00B81481" w:rsidRDefault="0097090C" w:rsidP="0097090C">
            <w:pPr>
              <w:rPr>
                <w:rFonts w:cs="Arial"/>
                <w:color w:val="000000"/>
              </w:rPr>
            </w:pPr>
            <w:r w:rsidRPr="00B81481">
              <w:rPr>
                <w:rFonts w:cs="Arial"/>
                <w:color w:val="000000"/>
              </w:rPr>
              <w:t xml:space="preserve">Interest Bearing Deposits </w:t>
            </w:r>
          </w:p>
        </w:tc>
        <w:tc>
          <w:tcPr>
            <w:tcW w:w="720" w:type="dxa"/>
            <w:tcBorders>
              <w:top w:val="nil"/>
              <w:left w:val="nil"/>
              <w:bottom w:val="single" w:sz="4" w:space="0" w:color="auto"/>
              <w:right w:val="nil"/>
            </w:tcBorders>
            <w:shd w:val="clear" w:color="auto" w:fill="auto"/>
            <w:vAlign w:val="center"/>
            <w:hideMark/>
          </w:tcPr>
          <w:p w14:paraId="3ECA4199" w14:textId="77777777" w:rsidR="0097090C" w:rsidRPr="00B81481" w:rsidRDefault="0097090C" w:rsidP="0097090C">
            <w:pPr>
              <w:jc w:val="center"/>
              <w:rPr>
                <w:rFonts w:cs="Arial"/>
                <w:color w:val="000000"/>
              </w:rPr>
            </w:pPr>
            <w:r w:rsidRPr="00B81481">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70436C83" w14:textId="77777777" w:rsidR="0097090C" w:rsidRPr="00B81481" w:rsidRDefault="0097090C" w:rsidP="0097090C">
            <w:pPr>
              <w:jc w:val="right"/>
              <w:rPr>
                <w:rFonts w:cs="Arial"/>
                <w:color w:val="000000"/>
              </w:rPr>
            </w:pPr>
            <w:r w:rsidRPr="00B81481">
              <w:rPr>
                <w:rFonts w:cs="Arial"/>
                <w:color w:val="000000"/>
              </w:rPr>
              <w:t>1,789</w:t>
            </w:r>
          </w:p>
        </w:tc>
        <w:tc>
          <w:tcPr>
            <w:tcW w:w="1260" w:type="dxa"/>
            <w:tcBorders>
              <w:top w:val="nil"/>
              <w:left w:val="nil"/>
              <w:bottom w:val="single" w:sz="4" w:space="0" w:color="auto"/>
              <w:right w:val="nil"/>
            </w:tcBorders>
            <w:shd w:val="clear" w:color="auto" w:fill="auto"/>
            <w:vAlign w:val="center"/>
            <w:hideMark/>
          </w:tcPr>
          <w:p w14:paraId="65A6C6F0" w14:textId="77777777" w:rsidR="0097090C" w:rsidRPr="00B81481" w:rsidRDefault="0097090C" w:rsidP="0097090C">
            <w:pPr>
              <w:jc w:val="right"/>
              <w:rPr>
                <w:rFonts w:cs="Arial"/>
                <w:color w:val="000000"/>
              </w:rPr>
            </w:pPr>
            <w:r w:rsidRPr="00B81481">
              <w:rPr>
                <w:rFonts w:cs="Arial"/>
                <w:color w:val="000000"/>
              </w:rPr>
              <w:t>29,400</w:t>
            </w:r>
          </w:p>
        </w:tc>
      </w:tr>
      <w:tr w:rsidR="0097090C" w:rsidRPr="00B81481" w14:paraId="18DE37C7"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672E2759" w14:textId="77777777" w:rsidR="0097090C" w:rsidRPr="00B81481" w:rsidRDefault="0097090C" w:rsidP="0097090C">
            <w:pPr>
              <w:rPr>
                <w:rFonts w:cs="Arial"/>
                <w:b/>
                <w:bCs/>
                <w:color w:val="000000"/>
              </w:rPr>
            </w:pPr>
            <w:r w:rsidRPr="00B81481">
              <w:rPr>
                <w:rFonts w:cs="Arial"/>
                <w:b/>
                <w:bCs/>
                <w:color w:val="000000"/>
              </w:rPr>
              <w:t>Total (refer to Note 6)</w:t>
            </w:r>
          </w:p>
        </w:tc>
        <w:tc>
          <w:tcPr>
            <w:tcW w:w="720" w:type="dxa"/>
            <w:tcBorders>
              <w:top w:val="nil"/>
              <w:left w:val="nil"/>
              <w:bottom w:val="single" w:sz="4" w:space="0" w:color="auto"/>
              <w:right w:val="nil"/>
            </w:tcBorders>
            <w:shd w:val="clear" w:color="auto" w:fill="auto"/>
            <w:vAlign w:val="center"/>
            <w:hideMark/>
          </w:tcPr>
          <w:p w14:paraId="70A86E80" w14:textId="77777777" w:rsidR="0097090C" w:rsidRPr="00B81481" w:rsidRDefault="0097090C" w:rsidP="0097090C">
            <w:pPr>
              <w:jc w:val="center"/>
              <w:rPr>
                <w:rFonts w:cs="Arial"/>
                <w:b/>
                <w:bCs/>
                <w:color w:val="000000"/>
              </w:rPr>
            </w:pPr>
            <w:r w:rsidRPr="00B81481">
              <w:rPr>
                <w:rFonts w:cs="Arial"/>
                <w:b/>
                <w:bCs/>
                <w:color w:val="000000"/>
              </w:rPr>
              <w:t> </w:t>
            </w:r>
          </w:p>
        </w:tc>
        <w:tc>
          <w:tcPr>
            <w:tcW w:w="1260" w:type="dxa"/>
            <w:tcBorders>
              <w:top w:val="nil"/>
              <w:left w:val="nil"/>
              <w:bottom w:val="single" w:sz="4" w:space="0" w:color="auto"/>
              <w:right w:val="nil"/>
            </w:tcBorders>
            <w:shd w:val="clear" w:color="000000" w:fill="D9D9D9"/>
            <w:vAlign w:val="center"/>
            <w:hideMark/>
          </w:tcPr>
          <w:p w14:paraId="08A4174B" w14:textId="77777777" w:rsidR="0097090C" w:rsidRPr="00B81481" w:rsidRDefault="0097090C" w:rsidP="0097090C">
            <w:pPr>
              <w:jc w:val="right"/>
              <w:rPr>
                <w:rFonts w:cs="Arial"/>
                <w:b/>
                <w:bCs/>
                <w:color w:val="000000"/>
              </w:rPr>
            </w:pPr>
            <w:r w:rsidRPr="00B81481">
              <w:rPr>
                <w:rFonts w:cs="Arial"/>
                <w:b/>
                <w:bCs/>
                <w:color w:val="000000"/>
              </w:rPr>
              <w:t>40,789</w:t>
            </w:r>
          </w:p>
        </w:tc>
        <w:tc>
          <w:tcPr>
            <w:tcW w:w="1260" w:type="dxa"/>
            <w:tcBorders>
              <w:top w:val="nil"/>
              <w:left w:val="nil"/>
              <w:bottom w:val="single" w:sz="4" w:space="0" w:color="auto"/>
              <w:right w:val="nil"/>
            </w:tcBorders>
            <w:shd w:val="clear" w:color="auto" w:fill="auto"/>
            <w:vAlign w:val="center"/>
            <w:hideMark/>
          </w:tcPr>
          <w:p w14:paraId="1A1E5637" w14:textId="77777777" w:rsidR="0097090C" w:rsidRPr="00B81481" w:rsidRDefault="0097090C" w:rsidP="0097090C">
            <w:pPr>
              <w:jc w:val="right"/>
              <w:rPr>
                <w:rFonts w:cs="Arial"/>
                <w:b/>
                <w:bCs/>
                <w:color w:val="000000"/>
              </w:rPr>
            </w:pPr>
            <w:r w:rsidRPr="00B81481">
              <w:rPr>
                <w:rFonts w:cs="Arial"/>
                <w:b/>
                <w:bCs/>
                <w:color w:val="000000"/>
              </w:rPr>
              <w:t>30,236</w:t>
            </w:r>
          </w:p>
        </w:tc>
      </w:tr>
      <w:tr w:rsidR="0097090C" w:rsidRPr="00B81481" w14:paraId="68C4D315" w14:textId="77777777" w:rsidTr="0097090C">
        <w:trPr>
          <w:trHeight w:val="255"/>
        </w:trPr>
        <w:tc>
          <w:tcPr>
            <w:tcW w:w="6120" w:type="dxa"/>
            <w:tcBorders>
              <w:top w:val="nil"/>
              <w:left w:val="nil"/>
              <w:bottom w:val="nil"/>
              <w:right w:val="nil"/>
            </w:tcBorders>
            <w:shd w:val="clear" w:color="auto" w:fill="auto"/>
            <w:vAlign w:val="center"/>
            <w:hideMark/>
          </w:tcPr>
          <w:p w14:paraId="200E7ED3" w14:textId="77777777" w:rsidR="0097090C" w:rsidRPr="00B81481" w:rsidRDefault="0097090C" w:rsidP="0097090C">
            <w:pPr>
              <w:rPr>
                <w:rFonts w:cs="Arial"/>
                <w:color w:val="000000"/>
              </w:rPr>
            </w:pPr>
          </w:p>
        </w:tc>
        <w:tc>
          <w:tcPr>
            <w:tcW w:w="720" w:type="dxa"/>
            <w:tcBorders>
              <w:top w:val="nil"/>
              <w:left w:val="nil"/>
              <w:bottom w:val="nil"/>
              <w:right w:val="nil"/>
            </w:tcBorders>
            <w:shd w:val="clear" w:color="auto" w:fill="auto"/>
            <w:vAlign w:val="center"/>
            <w:hideMark/>
          </w:tcPr>
          <w:p w14:paraId="67241A99"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F1D5764"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53AE822D" w14:textId="77777777" w:rsidR="0097090C" w:rsidRPr="00B81481" w:rsidRDefault="0097090C" w:rsidP="0097090C">
            <w:pPr>
              <w:jc w:val="right"/>
              <w:rPr>
                <w:rFonts w:cs="Arial"/>
                <w:color w:val="000000"/>
              </w:rPr>
            </w:pPr>
          </w:p>
        </w:tc>
      </w:tr>
      <w:tr w:rsidR="0097090C" w:rsidRPr="00B81481" w14:paraId="5758EE51" w14:textId="77777777" w:rsidTr="0097090C">
        <w:trPr>
          <w:trHeight w:val="510"/>
        </w:trPr>
        <w:tc>
          <w:tcPr>
            <w:tcW w:w="6120" w:type="dxa"/>
            <w:tcBorders>
              <w:top w:val="nil"/>
              <w:left w:val="nil"/>
              <w:bottom w:val="nil"/>
              <w:right w:val="nil"/>
            </w:tcBorders>
            <w:shd w:val="clear" w:color="auto" w:fill="auto"/>
            <w:vAlign w:val="center"/>
            <w:hideMark/>
          </w:tcPr>
          <w:p w14:paraId="61E2CB8E" w14:textId="77777777" w:rsidR="0097090C" w:rsidRPr="00B81481" w:rsidRDefault="0097090C" w:rsidP="0097090C">
            <w:pPr>
              <w:rPr>
                <w:rFonts w:cs="Arial"/>
                <w:b/>
                <w:bCs/>
                <w:color w:val="000000"/>
              </w:rPr>
            </w:pPr>
            <w:r w:rsidRPr="00B81481">
              <w:rPr>
                <w:rFonts w:cs="Arial"/>
                <w:b/>
                <w:bCs/>
                <w:color w:val="000000"/>
              </w:rPr>
              <w:t>15 (b) Reconciliation of Net Result to Net Cash Flows from Operating Activities</w:t>
            </w:r>
          </w:p>
        </w:tc>
        <w:tc>
          <w:tcPr>
            <w:tcW w:w="720" w:type="dxa"/>
            <w:tcBorders>
              <w:top w:val="nil"/>
              <w:left w:val="nil"/>
              <w:bottom w:val="nil"/>
              <w:right w:val="nil"/>
            </w:tcBorders>
            <w:shd w:val="clear" w:color="auto" w:fill="auto"/>
            <w:vAlign w:val="center"/>
            <w:hideMark/>
          </w:tcPr>
          <w:p w14:paraId="54A7FB40"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4B5E98F8"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071F5051" w14:textId="77777777" w:rsidR="0097090C" w:rsidRPr="00B81481" w:rsidRDefault="0097090C" w:rsidP="0097090C">
            <w:pPr>
              <w:jc w:val="right"/>
              <w:rPr>
                <w:rFonts w:cs="Arial"/>
                <w:color w:val="000000"/>
              </w:rPr>
            </w:pPr>
          </w:p>
        </w:tc>
      </w:tr>
      <w:tr w:rsidR="0097090C" w:rsidRPr="00B81481" w14:paraId="1BCC1C79" w14:textId="77777777" w:rsidTr="0097090C">
        <w:trPr>
          <w:trHeight w:val="255"/>
        </w:trPr>
        <w:tc>
          <w:tcPr>
            <w:tcW w:w="6120" w:type="dxa"/>
            <w:tcBorders>
              <w:top w:val="nil"/>
              <w:left w:val="nil"/>
              <w:bottom w:val="nil"/>
              <w:right w:val="nil"/>
            </w:tcBorders>
            <w:shd w:val="clear" w:color="auto" w:fill="auto"/>
            <w:vAlign w:val="center"/>
            <w:hideMark/>
          </w:tcPr>
          <w:p w14:paraId="09BB90CA" w14:textId="77777777" w:rsidR="0097090C" w:rsidRPr="00B81481" w:rsidRDefault="0097090C" w:rsidP="0097090C">
            <w:pPr>
              <w:rPr>
                <w:rFonts w:cs="Arial"/>
                <w:color w:val="000000"/>
              </w:rPr>
            </w:pPr>
            <w:r w:rsidRPr="00B81481">
              <w:rPr>
                <w:rFonts w:cs="Arial"/>
                <w:color w:val="000000"/>
              </w:rPr>
              <w:t>Net result for the year</w:t>
            </w:r>
          </w:p>
        </w:tc>
        <w:tc>
          <w:tcPr>
            <w:tcW w:w="720" w:type="dxa"/>
            <w:tcBorders>
              <w:top w:val="nil"/>
              <w:left w:val="nil"/>
              <w:bottom w:val="nil"/>
              <w:right w:val="nil"/>
            </w:tcBorders>
            <w:shd w:val="clear" w:color="auto" w:fill="auto"/>
            <w:vAlign w:val="center"/>
            <w:hideMark/>
          </w:tcPr>
          <w:p w14:paraId="7BAE566B"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A363A2F" w14:textId="77777777" w:rsidR="0097090C" w:rsidRPr="00B81481" w:rsidRDefault="0097090C" w:rsidP="0097090C">
            <w:pPr>
              <w:jc w:val="right"/>
              <w:rPr>
                <w:rFonts w:cs="Arial"/>
                <w:color w:val="000000"/>
              </w:rPr>
            </w:pPr>
            <w:r w:rsidRPr="00B81481">
              <w:rPr>
                <w:rFonts w:cs="Arial"/>
                <w:color w:val="000000"/>
              </w:rPr>
              <w:t>(11,943)</w:t>
            </w:r>
          </w:p>
        </w:tc>
        <w:tc>
          <w:tcPr>
            <w:tcW w:w="1260" w:type="dxa"/>
            <w:tcBorders>
              <w:top w:val="nil"/>
              <w:left w:val="nil"/>
              <w:bottom w:val="nil"/>
              <w:right w:val="nil"/>
            </w:tcBorders>
            <w:shd w:val="clear" w:color="auto" w:fill="auto"/>
            <w:vAlign w:val="center"/>
            <w:hideMark/>
          </w:tcPr>
          <w:p w14:paraId="3D630BE5" w14:textId="77777777" w:rsidR="0097090C" w:rsidRPr="00B81481" w:rsidRDefault="0097090C" w:rsidP="0097090C">
            <w:pPr>
              <w:jc w:val="right"/>
              <w:rPr>
                <w:rFonts w:cs="Arial"/>
                <w:color w:val="000000"/>
              </w:rPr>
            </w:pPr>
            <w:r w:rsidRPr="00B81481">
              <w:rPr>
                <w:rFonts w:cs="Arial"/>
                <w:color w:val="000000"/>
              </w:rPr>
              <w:t>(13,510)</w:t>
            </w:r>
          </w:p>
        </w:tc>
      </w:tr>
      <w:tr w:rsidR="0097090C" w:rsidRPr="00B81481" w14:paraId="731CFC4C" w14:textId="77777777" w:rsidTr="0097090C">
        <w:trPr>
          <w:trHeight w:val="255"/>
        </w:trPr>
        <w:tc>
          <w:tcPr>
            <w:tcW w:w="6120" w:type="dxa"/>
            <w:tcBorders>
              <w:top w:val="nil"/>
              <w:left w:val="nil"/>
              <w:bottom w:val="nil"/>
              <w:right w:val="nil"/>
            </w:tcBorders>
            <w:shd w:val="clear" w:color="auto" w:fill="auto"/>
            <w:vAlign w:val="center"/>
            <w:hideMark/>
          </w:tcPr>
          <w:p w14:paraId="006CFDFE" w14:textId="77777777" w:rsidR="0097090C" w:rsidRPr="00B81481" w:rsidRDefault="0097090C" w:rsidP="0097090C">
            <w:pPr>
              <w:rPr>
                <w:rFonts w:cs="Arial"/>
                <w:color w:val="000000"/>
              </w:rPr>
            </w:pPr>
            <w:r w:rsidRPr="00B81481">
              <w:rPr>
                <w:rFonts w:cs="Arial"/>
                <w:color w:val="000000"/>
              </w:rPr>
              <w:t>Loss /(Gain) on Sale of Non-Current Assets</w:t>
            </w:r>
          </w:p>
        </w:tc>
        <w:tc>
          <w:tcPr>
            <w:tcW w:w="720" w:type="dxa"/>
            <w:tcBorders>
              <w:top w:val="nil"/>
              <w:left w:val="nil"/>
              <w:bottom w:val="nil"/>
              <w:right w:val="nil"/>
            </w:tcBorders>
            <w:shd w:val="clear" w:color="auto" w:fill="auto"/>
            <w:vAlign w:val="center"/>
            <w:hideMark/>
          </w:tcPr>
          <w:p w14:paraId="705896F1"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11A3990F" w14:textId="77777777" w:rsidR="0097090C" w:rsidRPr="00B81481" w:rsidRDefault="0097090C" w:rsidP="0097090C">
            <w:pPr>
              <w:jc w:val="right"/>
              <w:rPr>
                <w:rFonts w:cs="Arial"/>
                <w:color w:val="000000"/>
              </w:rPr>
            </w:pPr>
            <w:r w:rsidRPr="00B81481">
              <w:rPr>
                <w:rFonts w:cs="Arial"/>
                <w:color w:val="000000"/>
              </w:rPr>
              <w:t>(145)</w:t>
            </w:r>
          </w:p>
        </w:tc>
        <w:tc>
          <w:tcPr>
            <w:tcW w:w="1260" w:type="dxa"/>
            <w:tcBorders>
              <w:top w:val="nil"/>
              <w:left w:val="nil"/>
              <w:bottom w:val="nil"/>
              <w:right w:val="nil"/>
            </w:tcBorders>
            <w:shd w:val="clear" w:color="auto" w:fill="auto"/>
            <w:vAlign w:val="center"/>
            <w:hideMark/>
          </w:tcPr>
          <w:p w14:paraId="4C339D0E" w14:textId="77777777" w:rsidR="0097090C" w:rsidRPr="00B81481" w:rsidRDefault="0097090C" w:rsidP="0097090C">
            <w:pPr>
              <w:jc w:val="right"/>
              <w:rPr>
                <w:rFonts w:cs="Arial"/>
                <w:color w:val="000000"/>
              </w:rPr>
            </w:pPr>
            <w:r w:rsidRPr="00B81481">
              <w:rPr>
                <w:rFonts w:cs="Arial"/>
                <w:color w:val="000000"/>
              </w:rPr>
              <w:t>11</w:t>
            </w:r>
          </w:p>
        </w:tc>
      </w:tr>
      <w:tr w:rsidR="0097090C" w:rsidRPr="00B81481" w14:paraId="0D94DA27" w14:textId="77777777" w:rsidTr="0097090C">
        <w:trPr>
          <w:trHeight w:val="255"/>
        </w:trPr>
        <w:tc>
          <w:tcPr>
            <w:tcW w:w="6120" w:type="dxa"/>
            <w:tcBorders>
              <w:top w:val="nil"/>
              <w:left w:val="nil"/>
              <w:bottom w:val="nil"/>
              <w:right w:val="nil"/>
            </w:tcBorders>
            <w:shd w:val="clear" w:color="auto" w:fill="auto"/>
            <w:vAlign w:val="center"/>
            <w:hideMark/>
          </w:tcPr>
          <w:p w14:paraId="3A07E420" w14:textId="77777777" w:rsidR="0097090C" w:rsidRPr="00B81481" w:rsidRDefault="0097090C" w:rsidP="0097090C">
            <w:pPr>
              <w:rPr>
                <w:rFonts w:cs="Arial"/>
                <w:color w:val="000000"/>
              </w:rPr>
            </w:pPr>
            <w:r w:rsidRPr="00B81481">
              <w:rPr>
                <w:rFonts w:cs="Arial"/>
                <w:color w:val="000000"/>
              </w:rPr>
              <w:t>Non-cash movements:</w:t>
            </w:r>
          </w:p>
        </w:tc>
        <w:tc>
          <w:tcPr>
            <w:tcW w:w="720" w:type="dxa"/>
            <w:tcBorders>
              <w:top w:val="nil"/>
              <w:left w:val="nil"/>
              <w:bottom w:val="nil"/>
              <w:right w:val="nil"/>
            </w:tcBorders>
            <w:shd w:val="clear" w:color="auto" w:fill="auto"/>
            <w:vAlign w:val="center"/>
            <w:hideMark/>
          </w:tcPr>
          <w:p w14:paraId="5BC7647C"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B66C01E"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7FE4F4EB" w14:textId="77777777" w:rsidR="0097090C" w:rsidRPr="00B81481" w:rsidRDefault="0097090C" w:rsidP="0097090C">
            <w:pPr>
              <w:jc w:val="right"/>
              <w:rPr>
                <w:rFonts w:cs="Arial"/>
                <w:color w:val="000000"/>
              </w:rPr>
            </w:pPr>
          </w:p>
        </w:tc>
      </w:tr>
      <w:tr w:rsidR="0097090C" w:rsidRPr="00B81481" w14:paraId="72BE38DF" w14:textId="77777777" w:rsidTr="0097090C">
        <w:trPr>
          <w:trHeight w:val="255"/>
        </w:trPr>
        <w:tc>
          <w:tcPr>
            <w:tcW w:w="6120" w:type="dxa"/>
            <w:tcBorders>
              <w:top w:val="nil"/>
              <w:left w:val="nil"/>
              <w:bottom w:val="nil"/>
              <w:right w:val="nil"/>
            </w:tcBorders>
            <w:shd w:val="clear" w:color="auto" w:fill="auto"/>
            <w:vAlign w:val="center"/>
            <w:hideMark/>
          </w:tcPr>
          <w:p w14:paraId="2281CA89" w14:textId="77777777" w:rsidR="0097090C" w:rsidRPr="00B81481" w:rsidRDefault="0097090C" w:rsidP="0097090C">
            <w:pPr>
              <w:rPr>
                <w:rFonts w:cs="Arial"/>
                <w:color w:val="000000"/>
              </w:rPr>
            </w:pPr>
            <w:r w:rsidRPr="00B81481">
              <w:rPr>
                <w:rFonts w:cs="Arial"/>
                <w:color w:val="000000"/>
              </w:rPr>
              <w:t xml:space="preserve">Depreciation </w:t>
            </w:r>
          </w:p>
        </w:tc>
        <w:tc>
          <w:tcPr>
            <w:tcW w:w="720" w:type="dxa"/>
            <w:tcBorders>
              <w:top w:val="nil"/>
              <w:left w:val="nil"/>
              <w:bottom w:val="nil"/>
              <w:right w:val="nil"/>
            </w:tcBorders>
            <w:shd w:val="clear" w:color="auto" w:fill="auto"/>
            <w:vAlign w:val="center"/>
            <w:hideMark/>
          </w:tcPr>
          <w:p w14:paraId="68439E5E"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051F699F" w14:textId="77777777" w:rsidR="0097090C" w:rsidRPr="00B81481" w:rsidRDefault="0097090C" w:rsidP="0097090C">
            <w:pPr>
              <w:jc w:val="right"/>
              <w:rPr>
                <w:rFonts w:cs="Arial"/>
                <w:color w:val="000000"/>
              </w:rPr>
            </w:pPr>
            <w:r w:rsidRPr="00B81481">
              <w:rPr>
                <w:rFonts w:cs="Arial"/>
                <w:color w:val="000000"/>
              </w:rPr>
              <w:t>17,814</w:t>
            </w:r>
          </w:p>
        </w:tc>
        <w:tc>
          <w:tcPr>
            <w:tcW w:w="1260" w:type="dxa"/>
            <w:tcBorders>
              <w:top w:val="nil"/>
              <w:left w:val="nil"/>
              <w:bottom w:val="nil"/>
              <w:right w:val="nil"/>
            </w:tcBorders>
            <w:shd w:val="clear" w:color="auto" w:fill="auto"/>
            <w:vAlign w:val="center"/>
            <w:hideMark/>
          </w:tcPr>
          <w:p w14:paraId="2123BAB3" w14:textId="77777777" w:rsidR="0097090C" w:rsidRPr="00B81481" w:rsidRDefault="0097090C" w:rsidP="0097090C">
            <w:pPr>
              <w:jc w:val="right"/>
              <w:rPr>
                <w:rFonts w:cs="Arial"/>
                <w:color w:val="000000"/>
              </w:rPr>
            </w:pPr>
            <w:r w:rsidRPr="00B81481">
              <w:rPr>
                <w:rFonts w:cs="Arial"/>
                <w:color w:val="000000"/>
              </w:rPr>
              <w:t>17,944</w:t>
            </w:r>
          </w:p>
        </w:tc>
      </w:tr>
      <w:tr w:rsidR="0097090C" w:rsidRPr="00B81481" w14:paraId="4D2EE86B"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0698A6AC" w14:textId="77777777" w:rsidR="0097090C" w:rsidRPr="00B81481" w:rsidRDefault="0097090C" w:rsidP="0097090C">
            <w:pPr>
              <w:rPr>
                <w:rFonts w:cs="Arial"/>
                <w:color w:val="000000"/>
              </w:rPr>
            </w:pPr>
            <w:r w:rsidRPr="00B81481">
              <w:rPr>
                <w:rFonts w:cs="Arial"/>
                <w:color w:val="000000"/>
              </w:rPr>
              <w:t>Doubtful Debt Expense</w:t>
            </w:r>
          </w:p>
        </w:tc>
        <w:tc>
          <w:tcPr>
            <w:tcW w:w="720" w:type="dxa"/>
            <w:tcBorders>
              <w:top w:val="nil"/>
              <w:left w:val="nil"/>
              <w:bottom w:val="single" w:sz="4" w:space="0" w:color="auto"/>
              <w:right w:val="nil"/>
            </w:tcBorders>
            <w:shd w:val="clear" w:color="auto" w:fill="auto"/>
            <w:vAlign w:val="center"/>
            <w:hideMark/>
          </w:tcPr>
          <w:p w14:paraId="293EB814" w14:textId="77777777" w:rsidR="0097090C" w:rsidRPr="00B81481" w:rsidRDefault="0097090C" w:rsidP="0097090C">
            <w:pPr>
              <w:jc w:val="center"/>
              <w:rPr>
                <w:rFonts w:cs="Arial"/>
                <w:color w:val="000000"/>
              </w:rPr>
            </w:pPr>
            <w:r w:rsidRPr="00B81481">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66289574" w14:textId="77777777" w:rsidR="0097090C" w:rsidRPr="00B81481" w:rsidRDefault="0097090C" w:rsidP="0097090C">
            <w:pPr>
              <w:jc w:val="right"/>
              <w:rPr>
                <w:rFonts w:cs="Arial"/>
                <w:color w:val="000000"/>
              </w:rPr>
            </w:pPr>
            <w:r w:rsidRPr="00B81481">
              <w:rPr>
                <w:rFonts w:cs="Arial"/>
                <w:color w:val="000000"/>
              </w:rPr>
              <w:t>0</w:t>
            </w:r>
          </w:p>
        </w:tc>
        <w:tc>
          <w:tcPr>
            <w:tcW w:w="1260" w:type="dxa"/>
            <w:tcBorders>
              <w:top w:val="nil"/>
              <w:left w:val="nil"/>
              <w:bottom w:val="single" w:sz="4" w:space="0" w:color="auto"/>
              <w:right w:val="nil"/>
            </w:tcBorders>
            <w:shd w:val="clear" w:color="auto" w:fill="auto"/>
            <w:vAlign w:val="center"/>
            <w:hideMark/>
          </w:tcPr>
          <w:p w14:paraId="3DFA7A34" w14:textId="77777777" w:rsidR="0097090C" w:rsidRPr="00B81481" w:rsidRDefault="0097090C" w:rsidP="0097090C">
            <w:pPr>
              <w:jc w:val="right"/>
              <w:rPr>
                <w:rFonts w:cs="Arial"/>
                <w:color w:val="000000"/>
              </w:rPr>
            </w:pPr>
            <w:r w:rsidRPr="00B81481">
              <w:rPr>
                <w:rFonts w:cs="Arial"/>
                <w:color w:val="000000"/>
              </w:rPr>
              <w:t>0</w:t>
            </w:r>
          </w:p>
        </w:tc>
      </w:tr>
      <w:tr w:rsidR="0097090C" w:rsidRPr="00B81481" w14:paraId="78D5C8FE" w14:textId="77777777" w:rsidTr="0097090C">
        <w:trPr>
          <w:trHeight w:val="510"/>
        </w:trPr>
        <w:tc>
          <w:tcPr>
            <w:tcW w:w="6120" w:type="dxa"/>
            <w:tcBorders>
              <w:top w:val="nil"/>
              <w:left w:val="nil"/>
              <w:bottom w:val="nil"/>
              <w:right w:val="nil"/>
            </w:tcBorders>
            <w:shd w:val="clear" w:color="auto" w:fill="auto"/>
            <w:vAlign w:val="center"/>
            <w:hideMark/>
          </w:tcPr>
          <w:p w14:paraId="1B972E4F" w14:textId="77777777" w:rsidR="0097090C" w:rsidRPr="00B81481" w:rsidRDefault="0097090C" w:rsidP="0097090C">
            <w:pPr>
              <w:rPr>
                <w:rFonts w:cs="Arial"/>
                <w:b/>
                <w:bCs/>
                <w:color w:val="000000"/>
              </w:rPr>
            </w:pPr>
            <w:r w:rsidRPr="00B81481">
              <w:rPr>
                <w:rFonts w:cs="Arial"/>
                <w:b/>
                <w:bCs/>
                <w:color w:val="000000"/>
              </w:rPr>
              <w:t>Net cash provided by operating activities before change in assets and liabilities</w:t>
            </w:r>
          </w:p>
        </w:tc>
        <w:tc>
          <w:tcPr>
            <w:tcW w:w="720" w:type="dxa"/>
            <w:tcBorders>
              <w:top w:val="nil"/>
              <w:left w:val="nil"/>
              <w:bottom w:val="nil"/>
              <w:right w:val="nil"/>
            </w:tcBorders>
            <w:shd w:val="clear" w:color="auto" w:fill="auto"/>
            <w:vAlign w:val="center"/>
            <w:hideMark/>
          </w:tcPr>
          <w:p w14:paraId="11D85396" w14:textId="77777777" w:rsidR="0097090C" w:rsidRPr="00B81481" w:rsidRDefault="0097090C" w:rsidP="0097090C">
            <w:pPr>
              <w:jc w:val="center"/>
              <w:rPr>
                <w:rFonts w:cs="Arial"/>
                <w:b/>
                <w:bCs/>
                <w:color w:val="000000"/>
              </w:rPr>
            </w:pPr>
          </w:p>
        </w:tc>
        <w:tc>
          <w:tcPr>
            <w:tcW w:w="1260" w:type="dxa"/>
            <w:tcBorders>
              <w:top w:val="nil"/>
              <w:left w:val="nil"/>
              <w:bottom w:val="nil"/>
              <w:right w:val="nil"/>
            </w:tcBorders>
            <w:shd w:val="clear" w:color="000000" w:fill="D9D9D9"/>
            <w:vAlign w:val="center"/>
            <w:hideMark/>
          </w:tcPr>
          <w:p w14:paraId="330B4E86" w14:textId="77777777" w:rsidR="0097090C" w:rsidRPr="00B81481" w:rsidRDefault="0097090C" w:rsidP="0097090C">
            <w:pPr>
              <w:jc w:val="right"/>
              <w:rPr>
                <w:rFonts w:cs="Arial"/>
                <w:b/>
                <w:bCs/>
                <w:color w:val="000000"/>
              </w:rPr>
            </w:pPr>
            <w:r w:rsidRPr="00B81481">
              <w:rPr>
                <w:rFonts w:cs="Arial"/>
                <w:b/>
                <w:bCs/>
                <w:color w:val="000000"/>
              </w:rPr>
              <w:t>5,726</w:t>
            </w:r>
          </w:p>
        </w:tc>
        <w:tc>
          <w:tcPr>
            <w:tcW w:w="1260" w:type="dxa"/>
            <w:tcBorders>
              <w:top w:val="nil"/>
              <w:left w:val="nil"/>
              <w:bottom w:val="nil"/>
              <w:right w:val="nil"/>
            </w:tcBorders>
            <w:shd w:val="clear" w:color="auto" w:fill="auto"/>
            <w:vAlign w:val="center"/>
            <w:hideMark/>
          </w:tcPr>
          <w:p w14:paraId="53D04AE3" w14:textId="77777777" w:rsidR="0097090C" w:rsidRPr="00B81481" w:rsidRDefault="0097090C" w:rsidP="0097090C">
            <w:pPr>
              <w:jc w:val="right"/>
              <w:rPr>
                <w:rFonts w:cs="Arial"/>
                <w:b/>
                <w:bCs/>
                <w:color w:val="000000"/>
              </w:rPr>
            </w:pPr>
            <w:r w:rsidRPr="00B81481">
              <w:rPr>
                <w:rFonts w:cs="Arial"/>
                <w:b/>
                <w:bCs/>
                <w:color w:val="000000"/>
              </w:rPr>
              <w:t>4,445</w:t>
            </w:r>
          </w:p>
        </w:tc>
      </w:tr>
      <w:tr w:rsidR="0097090C" w:rsidRPr="00B81481" w14:paraId="0C70F683" w14:textId="77777777" w:rsidTr="0097090C">
        <w:trPr>
          <w:trHeight w:val="255"/>
        </w:trPr>
        <w:tc>
          <w:tcPr>
            <w:tcW w:w="6120" w:type="dxa"/>
            <w:tcBorders>
              <w:top w:val="nil"/>
              <w:left w:val="nil"/>
              <w:bottom w:val="nil"/>
              <w:right w:val="nil"/>
            </w:tcBorders>
            <w:shd w:val="clear" w:color="auto" w:fill="auto"/>
            <w:vAlign w:val="center"/>
            <w:hideMark/>
          </w:tcPr>
          <w:p w14:paraId="3C8CB302" w14:textId="77777777" w:rsidR="0097090C" w:rsidRPr="00B81481" w:rsidRDefault="0097090C" w:rsidP="0097090C">
            <w:pPr>
              <w:rPr>
                <w:rFonts w:cs="Arial"/>
                <w:b/>
                <w:bCs/>
                <w:color w:val="000000"/>
              </w:rPr>
            </w:pPr>
            <w:r w:rsidRPr="00B81481">
              <w:rPr>
                <w:rFonts w:cs="Arial"/>
                <w:b/>
                <w:bCs/>
                <w:color w:val="000000"/>
              </w:rPr>
              <w:t>Movement in assets and liabilities:</w:t>
            </w:r>
          </w:p>
        </w:tc>
        <w:tc>
          <w:tcPr>
            <w:tcW w:w="720" w:type="dxa"/>
            <w:tcBorders>
              <w:top w:val="nil"/>
              <w:left w:val="nil"/>
              <w:bottom w:val="nil"/>
              <w:right w:val="nil"/>
            </w:tcBorders>
            <w:shd w:val="clear" w:color="auto" w:fill="auto"/>
            <w:vAlign w:val="center"/>
            <w:hideMark/>
          </w:tcPr>
          <w:p w14:paraId="7CBC1B94"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77B0462"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25641B1D" w14:textId="77777777" w:rsidR="0097090C" w:rsidRPr="00B81481" w:rsidRDefault="0097090C" w:rsidP="0097090C">
            <w:pPr>
              <w:jc w:val="right"/>
              <w:rPr>
                <w:rFonts w:cs="Arial"/>
                <w:color w:val="000000"/>
              </w:rPr>
            </w:pPr>
          </w:p>
        </w:tc>
      </w:tr>
      <w:tr w:rsidR="0097090C" w:rsidRPr="00B81481" w14:paraId="2C53B551" w14:textId="77777777" w:rsidTr="0097090C">
        <w:trPr>
          <w:trHeight w:val="255"/>
        </w:trPr>
        <w:tc>
          <w:tcPr>
            <w:tcW w:w="6120" w:type="dxa"/>
            <w:tcBorders>
              <w:top w:val="nil"/>
              <w:left w:val="nil"/>
              <w:bottom w:val="nil"/>
              <w:right w:val="nil"/>
            </w:tcBorders>
            <w:shd w:val="clear" w:color="auto" w:fill="auto"/>
            <w:vAlign w:val="center"/>
            <w:hideMark/>
          </w:tcPr>
          <w:p w14:paraId="64ADC44C" w14:textId="77777777" w:rsidR="0097090C" w:rsidRPr="00B81481" w:rsidRDefault="0097090C" w:rsidP="0097090C">
            <w:pPr>
              <w:rPr>
                <w:rFonts w:cs="Arial"/>
                <w:color w:val="000000"/>
              </w:rPr>
            </w:pPr>
            <w:r w:rsidRPr="00B81481">
              <w:rPr>
                <w:rFonts w:cs="Arial"/>
                <w:color w:val="000000"/>
              </w:rPr>
              <w:t>Decrease/(Increase) in Receivables</w:t>
            </w:r>
          </w:p>
        </w:tc>
        <w:tc>
          <w:tcPr>
            <w:tcW w:w="720" w:type="dxa"/>
            <w:tcBorders>
              <w:top w:val="nil"/>
              <w:left w:val="nil"/>
              <w:bottom w:val="nil"/>
              <w:right w:val="nil"/>
            </w:tcBorders>
            <w:shd w:val="clear" w:color="auto" w:fill="auto"/>
            <w:vAlign w:val="center"/>
            <w:hideMark/>
          </w:tcPr>
          <w:p w14:paraId="79508719"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15BD514" w14:textId="77777777" w:rsidR="0097090C" w:rsidRPr="00B81481" w:rsidRDefault="0097090C" w:rsidP="0097090C">
            <w:pPr>
              <w:jc w:val="right"/>
              <w:rPr>
                <w:rFonts w:cs="Arial"/>
                <w:color w:val="000000"/>
              </w:rPr>
            </w:pPr>
            <w:r>
              <w:rPr>
                <w:rFonts w:cs="Arial"/>
                <w:color w:val="000000"/>
              </w:rPr>
              <w:t>1,555</w:t>
            </w:r>
          </w:p>
        </w:tc>
        <w:tc>
          <w:tcPr>
            <w:tcW w:w="1260" w:type="dxa"/>
            <w:tcBorders>
              <w:top w:val="nil"/>
              <w:left w:val="nil"/>
              <w:bottom w:val="nil"/>
              <w:right w:val="nil"/>
            </w:tcBorders>
            <w:shd w:val="clear" w:color="auto" w:fill="auto"/>
            <w:vAlign w:val="center"/>
            <w:hideMark/>
          </w:tcPr>
          <w:p w14:paraId="5B0A11A4" w14:textId="77777777" w:rsidR="0097090C" w:rsidRPr="00B81481" w:rsidRDefault="0097090C" w:rsidP="0097090C">
            <w:pPr>
              <w:jc w:val="right"/>
              <w:rPr>
                <w:rFonts w:cs="Arial"/>
                <w:color w:val="000000"/>
              </w:rPr>
            </w:pPr>
            <w:r w:rsidRPr="00B81481">
              <w:rPr>
                <w:rFonts w:cs="Arial"/>
                <w:color w:val="000000"/>
              </w:rPr>
              <w:t>(428)</w:t>
            </w:r>
          </w:p>
        </w:tc>
      </w:tr>
      <w:tr w:rsidR="0097090C" w:rsidRPr="00B81481" w14:paraId="734A519F" w14:textId="77777777" w:rsidTr="0097090C">
        <w:trPr>
          <w:trHeight w:val="255"/>
        </w:trPr>
        <w:tc>
          <w:tcPr>
            <w:tcW w:w="6120" w:type="dxa"/>
            <w:tcBorders>
              <w:top w:val="nil"/>
              <w:left w:val="nil"/>
              <w:bottom w:val="nil"/>
              <w:right w:val="nil"/>
            </w:tcBorders>
            <w:shd w:val="clear" w:color="auto" w:fill="auto"/>
            <w:vAlign w:val="center"/>
            <w:hideMark/>
          </w:tcPr>
          <w:p w14:paraId="225FBE1E" w14:textId="77777777" w:rsidR="0097090C" w:rsidRPr="00B81481" w:rsidRDefault="0097090C" w:rsidP="0097090C">
            <w:pPr>
              <w:rPr>
                <w:rFonts w:cs="Arial"/>
                <w:color w:val="000000"/>
              </w:rPr>
            </w:pPr>
            <w:r w:rsidRPr="00B81481">
              <w:rPr>
                <w:rFonts w:cs="Arial"/>
                <w:color w:val="000000"/>
              </w:rPr>
              <w:t>Decrease/(Increase) in Prepayments</w:t>
            </w:r>
          </w:p>
        </w:tc>
        <w:tc>
          <w:tcPr>
            <w:tcW w:w="720" w:type="dxa"/>
            <w:tcBorders>
              <w:top w:val="nil"/>
              <w:left w:val="nil"/>
              <w:bottom w:val="nil"/>
              <w:right w:val="nil"/>
            </w:tcBorders>
            <w:shd w:val="clear" w:color="auto" w:fill="auto"/>
            <w:vAlign w:val="center"/>
            <w:hideMark/>
          </w:tcPr>
          <w:p w14:paraId="4E0D48A2"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EA8507B" w14:textId="77777777" w:rsidR="0097090C" w:rsidRPr="00B81481" w:rsidRDefault="0097090C" w:rsidP="0097090C">
            <w:pPr>
              <w:jc w:val="right"/>
              <w:rPr>
                <w:rFonts w:cs="Arial"/>
                <w:color w:val="000000"/>
              </w:rPr>
            </w:pPr>
            <w:r>
              <w:rPr>
                <w:rFonts w:cs="Arial"/>
                <w:color w:val="000000"/>
              </w:rPr>
              <w:t>1</w:t>
            </w:r>
          </w:p>
        </w:tc>
        <w:tc>
          <w:tcPr>
            <w:tcW w:w="1260" w:type="dxa"/>
            <w:tcBorders>
              <w:top w:val="nil"/>
              <w:left w:val="nil"/>
              <w:bottom w:val="nil"/>
              <w:right w:val="nil"/>
            </w:tcBorders>
            <w:shd w:val="clear" w:color="auto" w:fill="auto"/>
            <w:vAlign w:val="center"/>
            <w:hideMark/>
          </w:tcPr>
          <w:p w14:paraId="4A247286" w14:textId="77777777" w:rsidR="0097090C" w:rsidRPr="00B81481" w:rsidRDefault="0097090C" w:rsidP="0097090C">
            <w:pPr>
              <w:jc w:val="right"/>
              <w:rPr>
                <w:rFonts w:cs="Arial"/>
                <w:color w:val="000000"/>
              </w:rPr>
            </w:pPr>
            <w:r w:rsidRPr="00B81481">
              <w:rPr>
                <w:rFonts w:cs="Arial"/>
                <w:color w:val="000000"/>
              </w:rPr>
              <w:t>(95)</w:t>
            </w:r>
          </w:p>
        </w:tc>
      </w:tr>
      <w:tr w:rsidR="0097090C" w:rsidRPr="00B81481" w14:paraId="23702926" w14:textId="77777777" w:rsidTr="0097090C">
        <w:trPr>
          <w:trHeight w:val="255"/>
        </w:trPr>
        <w:tc>
          <w:tcPr>
            <w:tcW w:w="6120" w:type="dxa"/>
            <w:tcBorders>
              <w:top w:val="nil"/>
              <w:left w:val="nil"/>
              <w:bottom w:val="nil"/>
              <w:right w:val="nil"/>
            </w:tcBorders>
            <w:shd w:val="clear" w:color="auto" w:fill="auto"/>
            <w:vAlign w:val="center"/>
            <w:hideMark/>
          </w:tcPr>
          <w:p w14:paraId="052A43E4" w14:textId="77777777" w:rsidR="0097090C" w:rsidRPr="00B81481" w:rsidRDefault="0097090C" w:rsidP="0097090C">
            <w:pPr>
              <w:rPr>
                <w:rFonts w:cs="Arial"/>
                <w:color w:val="000000"/>
              </w:rPr>
            </w:pPr>
            <w:r w:rsidRPr="00B81481">
              <w:rPr>
                <w:rFonts w:cs="Arial"/>
                <w:color w:val="000000"/>
              </w:rPr>
              <w:t>Decrease/(Increase) in Inventories</w:t>
            </w:r>
          </w:p>
        </w:tc>
        <w:tc>
          <w:tcPr>
            <w:tcW w:w="720" w:type="dxa"/>
            <w:tcBorders>
              <w:top w:val="nil"/>
              <w:left w:val="nil"/>
              <w:bottom w:val="nil"/>
              <w:right w:val="nil"/>
            </w:tcBorders>
            <w:shd w:val="clear" w:color="auto" w:fill="auto"/>
            <w:vAlign w:val="center"/>
            <w:hideMark/>
          </w:tcPr>
          <w:p w14:paraId="417B3082"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E00CB49" w14:textId="77777777" w:rsidR="0097090C" w:rsidRPr="00B81481" w:rsidRDefault="0097090C" w:rsidP="0097090C">
            <w:pPr>
              <w:jc w:val="right"/>
              <w:rPr>
                <w:rFonts w:cs="Arial"/>
                <w:color w:val="000000"/>
              </w:rPr>
            </w:pPr>
            <w:r w:rsidRPr="00B81481">
              <w:rPr>
                <w:rFonts w:cs="Arial"/>
                <w:color w:val="000000"/>
              </w:rPr>
              <w:t>70</w:t>
            </w:r>
          </w:p>
        </w:tc>
        <w:tc>
          <w:tcPr>
            <w:tcW w:w="1260" w:type="dxa"/>
            <w:tcBorders>
              <w:top w:val="nil"/>
              <w:left w:val="nil"/>
              <w:bottom w:val="nil"/>
              <w:right w:val="nil"/>
            </w:tcBorders>
            <w:shd w:val="clear" w:color="auto" w:fill="auto"/>
            <w:vAlign w:val="center"/>
            <w:hideMark/>
          </w:tcPr>
          <w:p w14:paraId="6F83841C" w14:textId="77777777" w:rsidR="0097090C" w:rsidRPr="00B81481" w:rsidRDefault="0097090C" w:rsidP="0097090C">
            <w:pPr>
              <w:jc w:val="right"/>
              <w:rPr>
                <w:rFonts w:cs="Arial"/>
                <w:color w:val="000000"/>
              </w:rPr>
            </w:pPr>
            <w:r w:rsidRPr="00B81481">
              <w:rPr>
                <w:rFonts w:cs="Arial"/>
                <w:color w:val="000000"/>
              </w:rPr>
              <w:t>243</w:t>
            </w:r>
          </w:p>
        </w:tc>
      </w:tr>
      <w:tr w:rsidR="0097090C" w:rsidRPr="00B81481" w14:paraId="7465A76A" w14:textId="77777777" w:rsidTr="0097090C">
        <w:trPr>
          <w:trHeight w:val="255"/>
        </w:trPr>
        <w:tc>
          <w:tcPr>
            <w:tcW w:w="6120" w:type="dxa"/>
            <w:tcBorders>
              <w:top w:val="nil"/>
              <w:left w:val="nil"/>
              <w:bottom w:val="nil"/>
              <w:right w:val="nil"/>
            </w:tcBorders>
            <w:shd w:val="clear" w:color="auto" w:fill="auto"/>
            <w:vAlign w:val="center"/>
            <w:hideMark/>
          </w:tcPr>
          <w:p w14:paraId="20E75DC4" w14:textId="77777777" w:rsidR="0097090C" w:rsidRPr="00B81481" w:rsidRDefault="0097090C" w:rsidP="0097090C">
            <w:pPr>
              <w:rPr>
                <w:rFonts w:cs="Arial"/>
                <w:color w:val="000000"/>
              </w:rPr>
            </w:pPr>
            <w:r w:rsidRPr="00B81481">
              <w:rPr>
                <w:rFonts w:cs="Arial"/>
                <w:color w:val="000000"/>
              </w:rPr>
              <w:t>Increase/(Decrease) in Payables</w:t>
            </w:r>
          </w:p>
        </w:tc>
        <w:tc>
          <w:tcPr>
            <w:tcW w:w="720" w:type="dxa"/>
            <w:tcBorders>
              <w:top w:val="nil"/>
              <w:left w:val="nil"/>
              <w:bottom w:val="nil"/>
              <w:right w:val="nil"/>
            </w:tcBorders>
            <w:shd w:val="clear" w:color="auto" w:fill="auto"/>
            <w:vAlign w:val="center"/>
            <w:hideMark/>
          </w:tcPr>
          <w:p w14:paraId="6704DC34"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408092FA" w14:textId="77777777" w:rsidR="0097090C" w:rsidRPr="00B81481" w:rsidRDefault="0097090C" w:rsidP="0097090C">
            <w:pPr>
              <w:jc w:val="right"/>
              <w:rPr>
                <w:rFonts w:cs="Arial"/>
                <w:color w:val="000000"/>
              </w:rPr>
            </w:pPr>
            <w:r>
              <w:rPr>
                <w:rFonts w:cs="Arial"/>
                <w:color w:val="000000"/>
              </w:rPr>
              <w:t>7770</w:t>
            </w:r>
          </w:p>
        </w:tc>
        <w:tc>
          <w:tcPr>
            <w:tcW w:w="1260" w:type="dxa"/>
            <w:tcBorders>
              <w:top w:val="nil"/>
              <w:left w:val="nil"/>
              <w:bottom w:val="nil"/>
              <w:right w:val="nil"/>
            </w:tcBorders>
            <w:shd w:val="clear" w:color="auto" w:fill="auto"/>
            <w:vAlign w:val="center"/>
            <w:hideMark/>
          </w:tcPr>
          <w:p w14:paraId="1F9363BA" w14:textId="77777777" w:rsidR="0097090C" w:rsidRPr="00B81481" w:rsidRDefault="0097090C" w:rsidP="0097090C">
            <w:pPr>
              <w:jc w:val="right"/>
              <w:rPr>
                <w:rFonts w:cs="Arial"/>
                <w:color w:val="000000"/>
              </w:rPr>
            </w:pPr>
            <w:r w:rsidRPr="00B81481">
              <w:rPr>
                <w:rFonts w:cs="Arial"/>
                <w:color w:val="000000"/>
              </w:rPr>
              <w:t>2,078</w:t>
            </w:r>
          </w:p>
        </w:tc>
      </w:tr>
      <w:tr w:rsidR="0097090C" w:rsidRPr="00B81481" w14:paraId="625B0FBC" w14:textId="77777777" w:rsidTr="0097090C">
        <w:trPr>
          <w:trHeight w:val="255"/>
        </w:trPr>
        <w:tc>
          <w:tcPr>
            <w:tcW w:w="6120" w:type="dxa"/>
            <w:tcBorders>
              <w:top w:val="nil"/>
              <w:left w:val="nil"/>
              <w:bottom w:val="nil"/>
              <w:right w:val="nil"/>
            </w:tcBorders>
            <w:shd w:val="clear" w:color="auto" w:fill="auto"/>
            <w:vAlign w:val="center"/>
            <w:hideMark/>
          </w:tcPr>
          <w:p w14:paraId="7AD48D55" w14:textId="77777777" w:rsidR="0097090C" w:rsidRPr="00B81481" w:rsidRDefault="0097090C" w:rsidP="0097090C">
            <w:pPr>
              <w:rPr>
                <w:rFonts w:cs="Arial"/>
                <w:color w:val="000000"/>
              </w:rPr>
            </w:pPr>
            <w:r w:rsidRPr="00B81481">
              <w:rPr>
                <w:rFonts w:cs="Arial"/>
                <w:color w:val="000000"/>
              </w:rPr>
              <w:t xml:space="preserve">Increase/(Decrease) in Provisions </w:t>
            </w:r>
          </w:p>
        </w:tc>
        <w:tc>
          <w:tcPr>
            <w:tcW w:w="720" w:type="dxa"/>
            <w:tcBorders>
              <w:top w:val="nil"/>
              <w:left w:val="nil"/>
              <w:bottom w:val="nil"/>
              <w:right w:val="nil"/>
            </w:tcBorders>
            <w:shd w:val="clear" w:color="auto" w:fill="auto"/>
            <w:vAlign w:val="center"/>
            <w:hideMark/>
          </w:tcPr>
          <w:p w14:paraId="473EF196"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4C6DD22" w14:textId="77777777" w:rsidR="0097090C" w:rsidRPr="00B81481" w:rsidRDefault="0097090C" w:rsidP="0097090C">
            <w:pPr>
              <w:jc w:val="right"/>
              <w:rPr>
                <w:rFonts w:cs="Arial"/>
                <w:color w:val="000000"/>
              </w:rPr>
            </w:pPr>
            <w:r w:rsidRPr="00B81481">
              <w:rPr>
                <w:rFonts w:cs="Arial"/>
                <w:color w:val="000000"/>
              </w:rPr>
              <w:t>1,241</w:t>
            </w:r>
          </w:p>
        </w:tc>
        <w:tc>
          <w:tcPr>
            <w:tcW w:w="1260" w:type="dxa"/>
            <w:tcBorders>
              <w:top w:val="nil"/>
              <w:left w:val="nil"/>
              <w:bottom w:val="nil"/>
              <w:right w:val="nil"/>
            </w:tcBorders>
            <w:shd w:val="clear" w:color="auto" w:fill="auto"/>
            <w:vAlign w:val="center"/>
            <w:hideMark/>
          </w:tcPr>
          <w:p w14:paraId="6C1E52CA" w14:textId="77777777" w:rsidR="0097090C" w:rsidRPr="00B81481" w:rsidRDefault="0097090C" w:rsidP="0097090C">
            <w:pPr>
              <w:jc w:val="right"/>
              <w:rPr>
                <w:rFonts w:cs="Arial"/>
                <w:color w:val="000000"/>
              </w:rPr>
            </w:pPr>
            <w:r w:rsidRPr="00B81481">
              <w:rPr>
                <w:rFonts w:cs="Arial"/>
                <w:color w:val="000000"/>
              </w:rPr>
              <w:t>329</w:t>
            </w:r>
          </w:p>
        </w:tc>
      </w:tr>
      <w:tr w:rsidR="0097090C" w:rsidRPr="00B81481" w14:paraId="107CE80F" w14:textId="77777777" w:rsidTr="0097090C">
        <w:trPr>
          <w:trHeight w:val="285"/>
        </w:trPr>
        <w:tc>
          <w:tcPr>
            <w:tcW w:w="6120" w:type="dxa"/>
            <w:tcBorders>
              <w:top w:val="single" w:sz="4" w:space="0" w:color="auto"/>
              <w:left w:val="nil"/>
              <w:bottom w:val="single" w:sz="4" w:space="0" w:color="auto"/>
              <w:right w:val="nil"/>
            </w:tcBorders>
            <w:shd w:val="clear" w:color="auto" w:fill="auto"/>
            <w:vAlign w:val="center"/>
            <w:hideMark/>
          </w:tcPr>
          <w:p w14:paraId="5A777EFB" w14:textId="77777777" w:rsidR="0097090C" w:rsidRPr="00B81481" w:rsidRDefault="0097090C" w:rsidP="0097090C">
            <w:pPr>
              <w:rPr>
                <w:rFonts w:cs="Arial"/>
                <w:b/>
                <w:bCs/>
                <w:color w:val="000000"/>
              </w:rPr>
            </w:pPr>
            <w:r w:rsidRPr="00B81481">
              <w:rPr>
                <w:rFonts w:cs="Arial"/>
                <w:b/>
                <w:bCs/>
                <w:color w:val="000000"/>
              </w:rPr>
              <w:t>Net cash provided by operating activities</w:t>
            </w:r>
          </w:p>
        </w:tc>
        <w:tc>
          <w:tcPr>
            <w:tcW w:w="720" w:type="dxa"/>
            <w:tcBorders>
              <w:top w:val="single" w:sz="4" w:space="0" w:color="auto"/>
              <w:left w:val="nil"/>
              <w:bottom w:val="single" w:sz="4" w:space="0" w:color="auto"/>
              <w:right w:val="nil"/>
            </w:tcBorders>
            <w:shd w:val="clear" w:color="auto" w:fill="auto"/>
            <w:vAlign w:val="center"/>
            <w:hideMark/>
          </w:tcPr>
          <w:p w14:paraId="354F3B4D" w14:textId="77777777" w:rsidR="0097090C" w:rsidRPr="00B81481" w:rsidRDefault="0097090C" w:rsidP="0097090C">
            <w:pPr>
              <w:jc w:val="center"/>
              <w:rPr>
                <w:rFonts w:cs="Arial"/>
                <w:b/>
                <w:bCs/>
                <w:color w:val="000000"/>
              </w:rPr>
            </w:pPr>
            <w:r w:rsidRPr="00B81481">
              <w:rPr>
                <w:rFonts w:cs="Arial"/>
                <w:b/>
                <w:bCs/>
                <w:color w:val="000000"/>
              </w:rPr>
              <w:t> </w:t>
            </w:r>
          </w:p>
        </w:tc>
        <w:tc>
          <w:tcPr>
            <w:tcW w:w="1260" w:type="dxa"/>
            <w:tcBorders>
              <w:top w:val="single" w:sz="4" w:space="0" w:color="auto"/>
              <w:left w:val="nil"/>
              <w:bottom w:val="single" w:sz="4" w:space="0" w:color="auto"/>
              <w:right w:val="nil"/>
            </w:tcBorders>
            <w:shd w:val="clear" w:color="000000" w:fill="D9D9D9"/>
            <w:vAlign w:val="center"/>
            <w:hideMark/>
          </w:tcPr>
          <w:p w14:paraId="3BA2C3D4" w14:textId="77777777" w:rsidR="0097090C" w:rsidRPr="00B81481" w:rsidRDefault="0097090C" w:rsidP="0097090C">
            <w:pPr>
              <w:jc w:val="right"/>
              <w:rPr>
                <w:rFonts w:cs="Arial"/>
                <w:b/>
                <w:bCs/>
                <w:color w:val="000000"/>
              </w:rPr>
            </w:pPr>
            <w:r w:rsidRPr="00B81481">
              <w:rPr>
                <w:rFonts w:cs="Arial"/>
                <w:b/>
                <w:bCs/>
                <w:color w:val="000000"/>
              </w:rPr>
              <w:t>16,363</w:t>
            </w:r>
          </w:p>
        </w:tc>
        <w:tc>
          <w:tcPr>
            <w:tcW w:w="1260" w:type="dxa"/>
            <w:tcBorders>
              <w:top w:val="single" w:sz="4" w:space="0" w:color="auto"/>
              <w:left w:val="nil"/>
              <w:bottom w:val="single" w:sz="4" w:space="0" w:color="auto"/>
              <w:right w:val="nil"/>
            </w:tcBorders>
            <w:shd w:val="clear" w:color="auto" w:fill="auto"/>
            <w:vAlign w:val="center"/>
            <w:hideMark/>
          </w:tcPr>
          <w:p w14:paraId="6E3F6119" w14:textId="77777777" w:rsidR="0097090C" w:rsidRPr="00B81481" w:rsidRDefault="0097090C" w:rsidP="0097090C">
            <w:pPr>
              <w:jc w:val="right"/>
              <w:rPr>
                <w:rFonts w:cs="Arial"/>
                <w:b/>
                <w:bCs/>
                <w:color w:val="000000"/>
              </w:rPr>
            </w:pPr>
            <w:r w:rsidRPr="00B81481">
              <w:rPr>
                <w:rFonts w:cs="Arial"/>
                <w:b/>
                <w:bCs/>
                <w:color w:val="000000"/>
              </w:rPr>
              <w:t>6,572</w:t>
            </w:r>
          </w:p>
        </w:tc>
      </w:tr>
      <w:tr w:rsidR="0097090C" w:rsidRPr="00B81481" w14:paraId="17BB6738" w14:textId="77777777" w:rsidTr="0097090C">
        <w:trPr>
          <w:trHeight w:val="255"/>
        </w:trPr>
        <w:tc>
          <w:tcPr>
            <w:tcW w:w="6120" w:type="dxa"/>
            <w:tcBorders>
              <w:top w:val="nil"/>
              <w:left w:val="nil"/>
              <w:bottom w:val="nil"/>
              <w:right w:val="nil"/>
            </w:tcBorders>
            <w:shd w:val="clear" w:color="auto" w:fill="auto"/>
            <w:vAlign w:val="center"/>
            <w:hideMark/>
          </w:tcPr>
          <w:p w14:paraId="22DF3130" w14:textId="77777777" w:rsidR="0097090C" w:rsidRPr="00B81481" w:rsidRDefault="0097090C" w:rsidP="0097090C">
            <w:pPr>
              <w:rPr>
                <w:rFonts w:cs="Arial"/>
                <w:color w:val="000000"/>
              </w:rPr>
            </w:pPr>
          </w:p>
        </w:tc>
        <w:tc>
          <w:tcPr>
            <w:tcW w:w="720" w:type="dxa"/>
            <w:tcBorders>
              <w:top w:val="nil"/>
              <w:left w:val="nil"/>
              <w:bottom w:val="nil"/>
              <w:right w:val="nil"/>
            </w:tcBorders>
            <w:shd w:val="clear" w:color="auto" w:fill="auto"/>
            <w:vAlign w:val="center"/>
            <w:hideMark/>
          </w:tcPr>
          <w:p w14:paraId="676EB894"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1DAC042C"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6B28CFDE" w14:textId="77777777" w:rsidR="0097090C" w:rsidRPr="00B81481" w:rsidRDefault="0097090C" w:rsidP="0097090C">
            <w:pPr>
              <w:jc w:val="right"/>
              <w:rPr>
                <w:rFonts w:cs="Arial"/>
                <w:color w:val="000000"/>
              </w:rPr>
            </w:pPr>
          </w:p>
        </w:tc>
      </w:tr>
      <w:tr w:rsidR="0097090C" w:rsidRPr="00B81481" w14:paraId="100FB3D7" w14:textId="77777777" w:rsidTr="0097090C">
        <w:trPr>
          <w:trHeight w:val="255"/>
        </w:trPr>
        <w:tc>
          <w:tcPr>
            <w:tcW w:w="6120" w:type="dxa"/>
            <w:tcBorders>
              <w:top w:val="nil"/>
              <w:left w:val="nil"/>
              <w:bottom w:val="nil"/>
              <w:right w:val="nil"/>
            </w:tcBorders>
            <w:shd w:val="clear" w:color="auto" w:fill="auto"/>
            <w:vAlign w:val="center"/>
            <w:hideMark/>
          </w:tcPr>
          <w:p w14:paraId="0B7394A8" w14:textId="77777777" w:rsidR="0097090C" w:rsidRPr="00B81481" w:rsidRDefault="0097090C" w:rsidP="0097090C">
            <w:pPr>
              <w:rPr>
                <w:rFonts w:cs="Arial"/>
                <w:b/>
                <w:bCs/>
                <w:color w:val="000000"/>
              </w:rPr>
            </w:pPr>
            <w:r w:rsidRPr="00B81481">
              <w:rPr>
                <w:rFonts w:cs="Arial"/>
                <w:b/>
                <w:bCs/>
                <w:color w:val="000000"/>
              </w:rPr>
              <w:t>15(c)   Non-cash financing and investing activities</w:t>
            </w:r>
          </w:p>
        </w:tc>
        <w:tc>
          <w:tcPr>
            <w:tcW w:w="720" w:type="dxa"/>
            <w:tcBorders>
              <w:top w:val="nil"/>
              <w:left w:val="nil"/>
              <w:bottom w:val="nil"/>
              <w:right w:val="nil"/>
            </w:tcBorders>
            <w:shd w:val="clear" w:color="auto" w:fill="auto"/>
            <w:vAlign w:val="center"/>
            <w:hideMark/>
          </w:tcPr>
          <w:p w14:paraId="6C1AA52E"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553FBFBC"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09AB6A0A" w14:textId="77777777" w:rsidR="0097090C" w:rsidRPr="00B81481" w:rsidRDefault="0097090C" w:rsidP="0097090C">
            <w:pPr>
              <w:jc w:val="right"/>
              <w:rPr>
                <w:rFonts w:cs="Arial"/>
                <w:color w:val="000000"/>
              </w:rPr>
            </w:pPr>
          </w:p>
        </w:tc>
      </w:tr>
      <w:tr w:rsidR="0097090C" w:rsidRPr="00B81481" w14:paraId="2B24BE85" w14:textId="77777777" w:rsidTr="0097090C">
        <w:trPr>
          <w:trHeight w:val="255"/>
        </w:trPr>
        <w:tc>
          <w:tcPr>
            <w:tcW w:w="6120" w:type="dxa"/>
            <w:tcBorders>
              <w:top w:val="nil"/>
              <w:left w:val="nil"/>
              <w:bottom w:val="nil"/>
              <w:right w:val="nil"/>
            </w:tcBorders>
            <w:shd w:val="clear" w:color="auto" w:fill="auto"/>
            <w:vAlign w:val="center"/>
            <w:hideMark/>
          </w:tcPr>
          <w:p w14:paraId="4572E70B" w14:textId="77777777" w:rsidR="0097090C" w:rsidRPr="00B81481" w:rsidRDefault="0097090C" w:rsidP="0097090C">
            <w:pPr>
              <w:rPr>
                <w:rFonts w:cs="Arial"/>
                <w:b/>
                <w:bCs/>
                <w:color w:val="000000"/>
              </w:rPr>
            </w:pPr>
            <w:r w:rsidRPr="00B81481">
              <w:rPr>
                <w:rFonts w:cs="Arial"/>
                <w:b/>
                <w:bCs/>
                <w:color w:val="000000"/>
              </w:rPr>
              <w:t xml:space="preserve">Financing Facilities </w:t>
            </w:r>
          </w:p>
        </w:tc>
        <w:tc>
          <w:tcPr>
            <w:tcW w:w="720" w:type="dxa"/>
            <w:tcBorders>
              <w:top w:val="nil"/>
              <w:left w:val="nil"/>
              <w:bottom w:val="nil"/>
              <w:right w:val="nil"/>
            </w:tcBorders>
            <w:shd w:val="clear" w:color="auto" w:fill="auto"/>
            <w:vAlign w:val="center"/>
            <w:hideMark/>
          </w:tcPr>
          <w:p w14:paraId="641663B7"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49FC51B3"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6FD72148" w14:textId="77777777" w:rsidR="0097090C" w:rsidRPr="00B81481" w:rsidRDefault="0097090C" w:rsidP="0097090C">
            <w:pPr>
              <w:jc w:val="right"/>
              <w:rPr>
                <w:rFonts w:cs="Arial"/>
                <w:color w:val="000000"/>
              </w:rPr>
            </w:pPr>
          </w:p>
        </w:tc>
      </w:tr>
      <w:tr w:rsidR="0097090C" w:rsidRPr="00B81481" w14:paraId="54D615BC" w14:textId="77777777" w:rsidTr="0097090C">
        <w:trPr>
          <w:trHeight w:val="255"/>
        </w:trPr>
        <w:tc>
          <w:tcPr>
            <w:tcW w:w="6120" w:type="dxa"/>
            <w:tcBorders>
              <w:top w:val="nil"/>
              <w:left w:val="nil"/>
              <w:bottom w:val="nil"/>
              <w:right w:val="nil"/>
            </w:tcBorders>
            <w:shd w:val="clear" w:color="auto" w:fill="auto"/>
            <w:vAlign w:val="center"/>
            <w:hideMark/>
          </w:tcPr>
          <w:p w14:paraId="3BADB56E" w14:textId="77777777" w:rsidR="0097090C" w:rsidRPr="00B81481" w:rsidRDefault="0097090C" w:rsidP="0097090C">
            <w:pPr>
              <w:rPr>
                <w:rFonts w:cs="Arial"/>
                <w:b/>
                <w:bCs/>
                <w:color w:val="000000"/>
              </w:rPr>
            </w:pPr>
            <w:r w:rsidRPr="00B81481">
              <w:rPr>
                <w:rFonts w:cs="Arial"/>
                <w:b/>
                <w:bCs/>
                <w:color w:val="000000"/>
              </w:rPr>
              <w:t>Finance Lease Assets</w:t>
            </w:r>
          </w:p>
        </w:tc>
        <w:tc>
          <w:tcPr>
            <w:tcW w:w="720" w:type="dxa"/>
            <w:tcBorders>
              <w:top w:val="nil"/>
              <w:left w:val="nil"/>
              <w:bottom w:val="nil"/>
              <w:right w:val="nil"/>
            </w:tcBorders>
            <w:shd w:val="clear" w:color="auto" w:fill="auto"/>
            <w:vAlign w:val="center"/>
            <w:hideMark/>
          </w:tcPr>
          <w:p w14:paraId="121610E2"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7392725C" w14:textId="77777777" w:rsidR="0097090C" w:rsidRPr="00B81481" w:rsidRDefault="0097090C" w:rsidP="0097090C">
            <w:pPr>
              <w:jc w:val="right"/>
              <w:rPr>
                <w:rFonts w:cs="Arial"/>
                <w:color w:val="000000"/>
              </w:rPr>
            </w:pPr>
            <w:r w:rsidRPr="00B81481">
              <w:rPr>
                <w:rFonts w:cs="Arial"/>
                <w:color w:val="000000"/>
              </w:rPr>
              <w:t> </w:t>
            </w:r>
          </w:p>
        </w:tc>
        <w:tc>
          <w:tcPr>
            <w:tcW w:w="1260" w:type="dxa"/>
            <w:tcBorders>
              <w:top w:val="nil"/>
              <w:left w:val="nil"/>
              <w:bottom w:val="nil"/>
              <w:right w:val="nil"/>
            </w:tcBorders>
            <w:shd w:val="clear" w:color="auto" w:fill="auto"/>
            <w:vAlign w:val="center"/>
            <w:hideMark/>
          </w:tcPr>
          <w:p w14:paraId="543A1F78" w14:textId="77777777" w:rsidR="0097090C" w:rsidRPr="00B81481" w:rsidRDefault="0097090C" w:rsidP="0097090C">
            <w:pPr>
              <w:jc w:val="right"/>
              <w:rPr>
                <w:rFonts w:cs="Arial"/>
                <w:color w:val="000000"/>
              </w:rPr>
            </w:pPr>
          </w:p>
        </w:tc>
      </w:tr>
      <w:tr w:rsidR="0097090C" w:rsidRPr="00B81481" w14:paraId="3D92AF23" w14:textId="77777777" w:rsidTr="0097090C">
        <w:trPr>
          <w:trHeight w:val="255"/>
        </w:trPr>
        <w:tc>
          <w:tcPr>
            <w:tcW w:w="6120" w:type="dxa"/>
            <w:tcBorders>
              <w:top w:val="nil"/>
              <w:left w:val="nil"/>
              <w:bottom w:val="nil"/>
              <w:right w:val="nil"/>
            </w:tcBorders>
            <w:shd w:val="clear" w:color="auto" w:fill="auto"/>
            <w:vAlign w:val="center"/>
            <w:hideMark/>
          </w:tcPr>
          <w:p w14:paraId="340CB0A7" w14:textId="77777777" w:rsidR="0097090C" w:rsidRPr="00B81481" w:rsidRDefault="0097090C" w:rsidP="0097090C">
            <w:pPr>
              <w:rPr>
                <w:rFonts w:cs="Arial"/>
                <w:color w:val="000000"/>
              </w:rPr>
            </w:pPr>
            <w:r w:rsidRPr="00B81481">
              <w:rPr>
                <w:rFonts w:cs="Arial"/>
                <w:color w:val="000000"/>
              </w:rPr>
              <w:t>Acquisitions</w:t>
            </w:r>
          </w:p>
        </w:tc>
        <w:tc>
          <w:tcPr>
            <w:tcW w:w="720" w:type="dxa"/>
            <w:tcBorders>
              <w:top w:val="nil"/>
              <w:left w:val="nil"/>
              <w:bottom w:val="nil"/>
              <w:right w:val="nil"/>
            </w:tcBorders>
            <w:shd w:val="clear" w:color="auto" w:fill="auto"/>
            <w:vAlign w:val="center"/>
            <w:hideMark/>
          </w:tcPr>
          <w:p w14:paraId="65E1CAF6"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22342678" w14:textId="77777777" w:rsidR="0097090C" w:rsidRPr="00B81481" w:rsidRDefault="0097090C" w:rsidP="0097090C">
            <w:pPr>
              <w:jc w:val="right"/>
              <w:rPr>
                <w:rFonts w:cs="Arial"/>
                <w:color w:val="000000"/>
              </w:rPr>
            </w:pPr>
            <w:r w:rsidRPr="00B81481">
              <w:rPr>
                <w:rFonts w:cs="Arial"/>
                <w:color w:val="000000"/>
              </w:rPr>
              <w:t>304</w:t>
            </w:r>
          </w:p>
        </w:tc>
        <w:tc>
          <w:tcPr>
            <w:tcW w:w="1260" w:type="dxa"/>
            <w:tcBorders>
              <w:top w:val="nil"/>
              <w:left w:val="nil"/>
              <w:bottom w:val="nil"/>
              <w:right w:val="nil"/>
            </w:tcBorders>
            <w:shd w:val="clear" w:color="auto" w:fill="auto"/>
            <w:vAlign w:val="center"/>
            <w:hideMark/>
          </w:tcPr>
          <w:p w14:paraId="45B4A109" w14:textId="77777777" w:rsidR="0097090C" w:rsidRPr="00B81481" w:rsidRDefault="0097090C" w:rsidP="0097090C">
            <w:pPr>
              <w:jc w:val="right"/>
              <w:rPr>
                <w:rFonts w:cs="Arial"/>
                <w:color w:val="000000"/>
              </w:rPr>
            </w:pPr>
            <w:r w:rsidRPr="00B81481">
              <w:rPr>
                <w:rFonts w:cs="Arial"/>
                <w:color w:val="000000"/>
              </w:rPr>
              <w:t>64</w:t>
            </w:r>
          </w:p>
        </w:tc>
      </w:tr>
      <w:tr w:rsidR="0097090C" w:rsidRPr="00B81481" w14:paraId="3954294B" w14:textId="77777777" w:rsidTr="0097090C">
        <w:trPr>
          <w:trHeight w:val="255"/>
        </w:trPr>
        <w:tc>
          <w:tcPr>
            <w:tcW w:w="6120" w:type="dxa"/>
            <w:tcBorders>
              <w:top w:val="nil"/>
              <w:left w:val="nil"/>
              <w:bottom w:val="nil"/>
              <w:right w:val="nil"/>
            </w:tcBorders>
            <w:shd w:val="clear" w:color="auto" w:fill="auto"/>
            <w:vAlign w:val="center"/>
            <w:hideMark/>
          </w:tcPr>
          <w:p w14:paraId="3F559586" w14:textId="77777777" w:rsidR="0097090C" w:rsidRPr="00B81481" w:rsidRDefault="0097090C" w:rsidP="0097090C">
            <w:pPr>
              <w:rPr>
                <w:rFonts w:cs="Arial"/>
                <w:color w:val="000000"/>
              </w:rPr>
            </w:pPr>
            <w:r w:rsidRPr="00B81481">
              <w:rPr>
                <w:rFonts w:cs="Arial"/>
                <w:color w:val="000000"/>
              </w:rPr>
              <w:t>Disposals</w:t>
            </w:r>
          </w:p>
        </w:tc>
        <w:tc>
          <w:tcPr>
            <w:tcW w:w="720" w:type="dxa"/>
            <w:tcBorders>
              <w:top w:val="nil"/>
              <w:left w:val="nil"/>
              <w:bottom w:val="nil"/>
              <w:right w:val="nil"/>
            </w:tcBorders>
            <w:shd w:val="clear" w:color="auto" w:fill="auto"/>
            <w:vAlign w:val="center"/>
            <w:hideMark/>
          </w:tcPr>
          <w:p w14:paraId="51561E47" w14:textId="77777777" w:rsidR="0097090C" w:rsidRPr="00B81481" w:rsidRDefault="0097090C" w:rsidP="0097090C">
            <w:pPr>
              <w:jc w:val="center"/>
              <w:rPr>
                <w:rFonts w:cs="Arial"/>
                <w:color w:val="000000"/>
              </w:rPr>
            </w:pPr>
          </w:p>
        </w:tc>
        <w:tc>
          <w:tcPr>
            <w:tcW w:w="1260" w:type="dxa"/>
            <w:tcBorders>
              <w:top w:val="nil"/>
              <w:left w:val="nil"/>
              <w:bottom w:val="nil"/>
              <w:right w:val="nil"/>
            </w:tcBorders>
            <w:shd w:val="clear" w:color="000000" w:fill="D9D9D9"/>
            <w:vAlign w:val="center"/>
            <w:hideMark/>
          </w:tcPr>
          <w:p w14:paraId="6FD47982" w14:textId="77777777" w:rsidR="0097090C" w:rsidRPr="00B81481" w:rsidRDefault="0097090C" w:rsidP="0097090C">
            <w:pPr>
              <w:jc w:val="right"/>
              <w:rPr>
                <w:rFonts w:cs="Arial"/>
                <w:color w:val="000000"/>
              </w:rPr>
            </w:pPr>
            <w:r w:rsidRPr="00B81481">
              <w:rPr>
                <w:rFonts w:cs="Arial"/>
                <w:color w:val="000000"/>
              </w:rPr>
              <w:t>(285)</w:t>
            </w:r>
          </w:p>
        </w:tc>
        <w:tc>
          <w:tcPr>
            <w:tcW w:w="1260" w:type="dxa"/>
            <w:tcBorders>
              <w:top w:val="nil"/>
              <w:left w:val="nil"/>
              <w:bottom w:val="nil"/>
              <w:right w:val="nil"/>
            </w:tcBorders>
            <w:shd w:val="clear" w:color="auto" w:fill="auto"/>
            <w:vAlign w:val="center"/>
            <w:hideMark/>
          </w:tcPr>
          <w:p w14:paraId="454669C3" w14:textId="77777777" w:rsidR="0097090C" w:rsidRPr="00B81481" w:rsidRDefault="0097090C" w:rsidP="0097090C">
            <w:pPr>
              <w:jc w:val="right"/>
              <w:rPr>
                <w:rFonts w:cs="Arial"/>
                <w:color w:val="000000"/>
              </w:rPr>
            </w:pPr>
            <w:r w:rsidRPr="00B81481">
              <w:rPr>
                <w:rFonts w:cs="Arial"/>
                <w:color w:val="000000"/>
              </w:rPr>
              <w:t>(31)</w:t>
            </w:r>
          </w:p>
        </w:tc>
      </w:tr>
      <w:tr w:rsidR="0097090C" w:rsidRPr="00B81481" w14:paraId="710F84F1" w14:textId="77777777" w:rsidTr="0097090C">
        <w:trPr>
          <w:trHeight w:val="285"/>
        </w:trPr>
        <w:tc>
          <w:tcPr>
            <w:tcW w:w="6120" w:type="dxa"/>
            <w:tcBorders>
              <w:top w:val="single" w:sz="4" w:space="0" w:color="auto"/>
              <w:left w:val="nil"/>
              <w:bottom w:val="single" w:sz="4" w:space="0" w:color="auto"/>
              <w:right w:val="nil"/>
            </w:tcBorders>
            <w:shd w:val="clear" w:color="auto" w:fill="auto"/>
            <w:vAlign w:val="center"/>
            <w:hideMark/>
          </w:tcPr>
          <w:p w14:paraId="6CC0F8B6" w14:textId="77777777" w:rsidR="0097090C" w:rsidRPr="00B81481" w:rsidRDefault="0097090C" w:rsidP="0097090C">
            <w:pPr>
              <w:rPr>
                <w:rFonts w:cs="Arial"/>
                <w:b/>
                <w:bCs/>
                <w:color w:val="000000"/>
              </w:rPr>
            </w:pPr>
            <w:r w:rsidRPr="00B81481">
              <w:rPr>
                <w:rFonts w:cs="Arial"/>
                <w:b/>
                <w:bCs/>
                <w:color w:val="000000"/>
              </w:rPr>
              <w:t>Total</w:t>
            </w:r>
          </w:p>
        </w:tc>
        <w:tc>
          <w:tcPr>
            <w:tcW w:w="720" w:type="dxa"/>
            <w:tcBorders>
              <w:top w:val="single" w:sz="4" w:space="0" w:color="auto"/>
              <w:left w:val="nil"/>
              <w:bottom w:val="single" w:sz="4" w:space="0" w:color="auto"/>
              <w:right w:val="nil"/>
            </w:tcBorders>
            <w:shd w:val="clear" w:color="auto" w:fill="auto"/>
            <w:vAlign w:val="center"/>
            <w:hideMark/>
          </w:tcPr>
          <w:p w14:paraId="42124F7C" w14:textId="77777777" w:rsidR="0097090C" w:rsidRPr="00B81481" w:rsidRDefault="0097090C" w:rsidP="0097090C">
            <w:pPr>
              <w:jc w:val="center"/>
              <w:rPr>
                <w:rFonts w:cs="Arial"/>
                <w:b/>
                <w:bCs/>
                <w:color w:val="000000"/>
              </w:rPr>
            </w:pPr>
            <w:r w:rsidRPr="00B81481">
              <w:rPr>
                <w:rFonts w:cs="Arial"/>
                <w:b/>
                <w:bCs/>
                <w:color w:val="000000"/>
              </w:rPr>
              <w:t> </w:t>
            </w:r>
          </w:p>
        </w:tc>
        <w:tc>
          <w:tcPr>
            <w:tcW w:w="1260" w:type="dxa"/>
            <w:tcBorders>
              <w:top w:val="single" w:sz="4" w:space="0" w:color="auto"/>
              <w:left w:val="nil"/>
              <w:bottom w:val="single" w:sz="4" w:space="0" w:color="auto"/>
              <w:right w:val="nil"/>
            </w:tcBorders>
            <w:shd w:val="clear" w:color="000000" w:fill="D9D9D9"/>
            <w:vAlign w:val="center"/>
            <w:hideMark/>
          </w:tcPr>
          <w:p w14:paraId="53801B24" w14:textId="77777777" w:rsidR="0097090C" w:rsidRPr="00B81481" w:rsidRDefault="0097090C" w:rsidP="0097090C">
            <w:pPr>
              <w:jc w:val="right"/>
              <w:rPr>
                <w:rFonts w:cs="Arial"/>
                <w:b/>
                <w:bCs/>
                <w:color w:val="000000"/>
              </w:rPr>
            </w:pPr>
            <w:r w:rsidRPr="00B81481">
              <w:rPr>
                <w:rFonts w:cs="Arial"/>
                <w:b/>
                <w:bCs/>
                <w:color w:val="000000"/>
              </w:rPr>
              <w:t>19</w:t>
            </w:r>
          </w:p>
        </w:tc>
        <w:tc>
          <w:tcPr>
            <w:tcW w:w="1260" w:type="dxa"/>
            <w:tcBorders>
              <w:top w:val="single" w:sz="4" w:space="0" w:color="auto"/>
              <w:left w:val="nil"/>
              <w:bottom w:val="single" w:sz="4" w:space="0" w:color="auto"/>
              <w:right w:val="nil"/>
            </w:tcBorders>
            <w:shd w:val="clear" w:color="auto" w:fill="auto"/>
            <w:vAlign w:val="center"/>
            <w:hideMark/>
          </w:tcPr>
          <w:p w14:paraId="749E1EC6" w14:textId="77777777" w:rsidR="0097090C" w:rsidRPr="00B81481" w:rsidRDefault="0097090C" w:rsidP="0097090C">
            <w:pPr>
              <w:jc w:val="right"/>
              <w:rPr>
                <w:rFonts w:cs="Arial"/>
                <w:b/>
                <w:bCs/>
                <w:color w:val="000000"/>
              </w:rPr>
            </w:pPr>
            <w:r w:rsidRPr="00B81481">
              <w:rPr>
                <w:rFonts w:cs="Arial"/>
                <w:b/>
                <w:bCs/>
                <w:color w:val="000000"/>
              </w:rPr>
              <w:t>33</w:t>
            </w:r>
          </w:p>
        </w:tc>
      </w:tr>
    </w:tbl>
    <w:p w14:paraId="7B6C0ADB" w14:textId="77777777" w:rsidR="0097090C" w:rsidRDefault="0097090C" w:rsidP="0097090C">
      <w:pPr>
        <w:spacing w:after="60"/>
        <w:rPr>
          <w:rFonts w:cs="Arial"/>
        </w:rPr>
      </w:pPr>
    </w:p>
    <w:p w14:paraId="7AE976C1" w14:textId="77777777" w:rsidR="0097090C" w:rsidRPr="00CE6F0D" w:rsidRDefault="0097090C" w:rsidP="0097090C">
      <w:pPr>
        <w:pStyle w:val="Heading4"/>
      </w:pPr>
      <w:r>
        <w:t xml:space="preserve"> </w:t>
      </w:r>
      <w:r w:rsidRPr="00CE6F0D">
        <w:t xml:space="preserve">16. Responsible Persons </w:t>
      </w:r>
    </w:p>
    <w:p w14:paraId="697DCC69" w14:textId="77777777" w:rsidR="0097090C" w:rsidRPr="00A15133" w:rsidRDefault="0097090C" w:rsidP="0097090C">
      <w:pPr>
        <w:pStyle w:val="Heading5"/>
        <w:rPr>
          <w:lang w:val="en-GB"/>
        </w:rPr>
      </w:pPr>
      <w:r w:rsidRPr="008F2B14">
        <w:rPr>
          <w:lang w:val="en-GB"/>
        </w:rPr>
        <w:t>16(a) Re</w:t>
      </w:r>
      <w:r w:rsidRPr="00A15133">
        <w:rPr>
          <w:lang w:val="en-GB"/>
        </w:rPr>
        <w:t>sponsible Persons</w:t>
      </w:r>
    </w:p>
    <w:p w14:paraId="1A17D38E" w14:textId="77777777" w:rsidR="0097090C" w:rsidRPr="00BD4B29" w:rsidRDefault="0097090C" w:rsidP="0097090C">
      <w:pPr>
        <w:spacing w:before="60"/>
        <w:rPr>
          <w:lang w:val="en-GB"/>
        </w:rPr>
      </w:pPr>
      <w:r w:rsidRPr="00BD4B29">
        <w:rPr>
          <w:lang w:val="en-GB"/>
        </w:rPr>
        <w:t>The following disclosures are made regarding responsible persons for the reporting period:</w:t>
      </w:r>
    </w:p>
    <w:p w14:paraId="1F1BA848" w14:textId="77777777" w:rsidR="0097090C" w:rsidRPr="00BD4B29" w:rsidRDefault="0097090C" w:rsidP="0097090C">
      <w:pPr>
        <w:ind w:left="720"/>
        <w:jc w:val="both"/>
        <w:rPr>
          <w:lang w:val="en-GB"/>
        </w:rPr>
      </w:pPr>
      <w:r w:rsidRPr="00BD4B29">
        <w:rPr>
          <w:lang w:val="en-GB"/>
        </w:rPr>
        <w:t xml:space="preserve">Responsible Minister – Mr Martin Foley MP </w:t>
      </w:r>
    </w:p>
    <w:p w14:paraId="0313A6C1" w14:textId="77777777" w:rsidR="0097090C" w:rsidRPr="00BD4B29" w:rsidRDefault="0097090C" w:rsidP="0097090C">
      <w:pPr>
        <w:ind w:left="720"/>
        <w:jc w:val="both"/>
        <w:rPr>
          <w:lang w:val="en-GB"/>
        </w:rPr>
      </w:pPr>
      <w:r w:rsidRPr="00BD4B29">
        <w:rPr>
          <w:lang w:val="en-GB"/>
        </w:rPr>
        <w:t>Accountable Officer – Dr J Patrick Greene OBE</w:t>
      </w:r>
    </w:p>
    <w:p w14:paraId="23F0F05D" w14:textId="77777777" w:rsidR="0097090C" w:rsidRPr="00BD4B29" w:rsidRDefault="0097090C" w:rsidP="0097090C">
      <w:pPr>
        <w:ind w:left="720"/>
        <w:jc w:val="both"/>
        <w:rPr>
          <w:lang w:val="en-GB"/>
        </w:rPr>
      </w:pPr>
      <w:r w:rsidRPr="00BD4B29">
        <w:rPr>
          <w:lang w:val="en-GB"/>
        </w:rPr>
        <w:t>Board Members:</w:t>
      </w:r>
    </w:p>
    <w:p w14:paraId="6D41E6BE" w14:textId="77777777" w:rsidR="0097090C" w:rsidRPr="00BD4B29" w:rsidRDefault="0097090C" w:rsidP="0097090C">
      <w:pPr>
        <w:ind w:left="720"/>
        <w:jc w:val="both"/>
        <w:rPr>
          <w:lang w:val="en-GB"/>
        </w:rPr>
      </w:pPr>
      <w:r w:rsidRPr="00BD4B29">
        <w:rPr>
          <w:lang w:val="en-GB"/>
        </w:rPr>
        <w:t>Professor Margaret Gardner AO (President)</w:t>
      </w:r>
    </w:p>
    <w:p w14:paraId="143DF865" w14:textId="77777777" w:rsidR="0097090C" w:rsidRPr="00BD4B29" w:rsidRDefault="0097090C" w:rsidP="0097090C">
      <w:pPr>
        <w:ind w:left="720"/>
        <w:jc w:val="both"/>
        <w:rPr>
          <w:lang w:val="en-GB"/>
        </w:rPr>
      </w:pPr>
      <w:r w:rsidRPr="00BD4B29">
        <w:rPr>
          <w:lang w:val="en-GB"/>
        </w:rPr>
        <w:t xml:space="preserve">Mr Trevor Tappenden (Treasurer) </w:t>
      </w:r>
    </w:p>
    <w:p w14:paraId="286EE76D" w14:textId="77777777" w:rsidR="0097090C" w:rsidRPr="00BD4B29" w:rsidRDefault="0097090C" w:rsidP="0097090C">
      <w:pPr>
        <w:ind w:left="720"/>
        <w:jc w:val="both"/>
        <w:rPr>
          <w:lang w:val="en-GB"/>
        </w:rPr>
      </w:pPr>
      <w:r w:rsidRPr="00BD4B29">
        <w:rPr>
          <w:lang w:val="en-GB"/>
        </w:rPr>
        <w:t>Mr Andrew Butcher</w:t>
      </w:r>
    </w:p>
    <w:p w14:paraId="41B104EF" w14:textId="77777777" w:rsidR="0097090C" w:rsidRPr="00BD4B29" w:rsidRDefault="0097090C" w:rsidP="0097090C">
      <w:pPr>
        <w:ind w:left="720"/>
        <w:jc w:val="both"/>
        <w:rPr>
          <w:lang w:val="en-GB"/>
        </w:rPr>
      </w:pPr>
      <w:r w:rsidRPr="00BD4B29">
        <w:rPr>
          <w:lang w:val="en-GB"/>
        </w:rPr>
        <w:t>Professor Edwina Cornish AO</w:t>
      </w:r>
    </w:p>
    <w:p w14:paraId="3F17117A" w14:textId="77777777" w:rsidR="0097090C" w:rsidRPr="00BD4B29" w:rsidRDefault="0097090C" w:rsidP="0097090C">
      <w:pPr>
        <w:ind w:left="720"/>
        <w:jc w:val="both"/>
        <w:rPr>
          <w:lang w:val="en-GB"/>
        </w:rPr>
      </w:pPr>
      <w:r w:rsidRPr="00BD4B29">
        <w:rPr>
          <w:lang w:val="en-GB"/>
        </w:rPr>
        <w:t xml:space="preserve">Mr Jim Cousins AO </w:t>
      </w:r>
    </w:p>
    <w:p w14:paraId="73064830" w14:textId="77777777" w:rsidR="0097090C" w:rsidRPr="00BD4B29" w:rsidRDefault="0097090C" w:rsidP="0097090C">
      <w:pPr>
        <w:ind w:left="720"/>
        <w:jc w:val="both"/>
        <w:rPr>
          <w:lang w:val="en-GB"/>
        </w:rPr>
      </w:pPr>
      <w:r w:rsidRPr="00BD4B29">
        <w:rPr>
          <w:lang w:val="en-GB"/>
        </w:rPr>
        <w:t>Ms Sylvia Falzon</w:t>
      </w:r>
    </w:p>
    <w:p w14:paraId="530C5598" w14:textId="77777777" w:rsidR="0097090C" w:rsidRPr="00BD4B29" w:rsidRDefault="0097090C" w:rsidP="0097090C">
      <w:pPr>
        <w:ind w:left="720"/>
        <w:jc w:val="both"/>
        <w:rPr>
          <w:lang w:val="en-GB"/>
        </w:rPr>
      </w:pPr>
      <w:r w:rsidRPr="00BD4B29">
        <w:rPr>
          <w:lang w:val="en-GB"/>
        </w:rPr>
        <w:t>Mr Wilkin Fon (reappointed 4 August 2015)</w:t>
      </w:r>
    </w:p>
    <w:p w14:paraId="1B3C8150" w14:textId="77777777" w:rsidR="0097090C" w:rsidRPr="00BD4B29" w:rsidRDefault="0097090C" w:rsidP="0097090C">
      <w:pPr>
        <w:ind w:left="720"/>
        <w:jc w:val="both"/>
        <w:rPr>
          <w:lang w:val="en-GB"/>
        </w:rPr>
      </w:pPr>
      <w:r w:rsidRPr="00BD4B29">
        <w:rPr>
          <w:lang w:val="en-GB"/>
        </w:rPr>
        <w:t>Mr Colin Golvan QC</w:t>
      </w:r>
    </w:p>
    <w:p w14:paraId="7B398C69" w14:textId="77777777" w:rsidR="0097090C" w:rsidRPr="00BD4B29" w:rsidRDefault="0097090C" w:rsidP="0097090C">
      <w:pPr>
        <w:ind w:left="720"/>
        <w:jc w:val="both"/>
        <w:rPr>
          <w:lang w:val="en-GB"/>
        </w:rPr>
      </w:pPr>
      <w:r w:rsidRPr="00BD4B29">
        <w:rPr>
          <w:lang w:val="en-GB"/>
        </w:rPr>
        <w:t>Dr Alison Inglis (appointed 4 August 2015)</w:t>
      </w:r>
    </w:p>
    <w:p w14:paraId="69CC9ABE" w14:textId="77777777" w:rsidR="0097090C" w:rsidRDefault="0097090C" w:rsidP="0097090C">
      <w:pPr>
        <w:ind w:left="720"/>
        <w:jc w:val="both"/>
        <w:rPr>
          <w:lang w:val="en-GB"/>
        </w:rPr>
      </w:pPr>
      <w:r w:rsidRPr="00BD4B29">
        <w:rPr>
          <w:lang w:val="en-GB"/>
        </w:rPr>
        <w:t>Ms Annette Vickery</w:t>
      </w:r>
    </w:p>
    <w:p w14:paraId="69595BF0" w14:textId="77777777" w:rsidR="0097090C" w:rsidRPr="00922501" w:rsidRDefault="0097090C" w:rsidP="0097090C">
      <w:pPr>
        <w:jc w:val="both"/>
        <w:rPr>
          <w:color w:val="000000"/>
        </w:rPr>
      </w:pPr>
    </w:p>
    <w:p w14:paraId="2428FC20" w14:textId="77777777" w:rsidR="0097090C" w:rsidRPr="00922501" w:rsidRDefault="0097090C" w:rsidP="0097090C">
      <w:pPr>
        <w:pStyle w:val="Heading5"/>
        <w:rPr>
          <w:lang w:val="en-GB"/>
        </w:rPr>
      </w:pPr>
      <w:r w:rsidRPr="00922501">
        <w:rPr>
          <w:lang w:val="en-GB"/>
        </w:rPr>
        <w:t>16(b) Remuneration of Responsible Persons</w:t>
      </w:r>
    </w:p>
    <w:p w14:paraId="535D2DB7" w14:textId="77777777" w:rsidR="0097090C" w:rsidRPr="00922501" w:rsidRDefault="0097090C" w:rsidP="0097090C">
      <w:pPr>
        <w:spacing w:before="60"/>
        <w:rPr>
          <w:lang w:val="en-GB"/>
        </w:rPr>
      </w:pPr>
      <w:r w:rsidRPr="00922501">
        <w:rPr>
          <w:lang w:val="en-GB"/>
        </w:rPr>
        <w:t xml:space="preserve">Members of the Board act in an honorary capacity. </w:t>
      </w:r>
    </w:p>
    <w:p w14:paraId="38AFBA5F" w14:textId="77777777" w:rsidR="0097090C" w:rsidRPr="00922501" w:rsidRDefault="0097090C" w:rsidP="0097090C">
      <w:pPr>
        <w:spacing w:before="60"/>
        <w:rPr>
          <w:lang w:val="en-GB"/>
        </w:rPr>
      </w:pPr>
      <w:r w:rsidRPr="00922501">
        <w:rPr>
          <w:lang w:val="en-GB"/>
        </w:rPr>
        <w:t>Amounts relating to the Responsible Minister are reported in the financial statements of the Department of Premier and Cabinet.</w:t>
      </w:r>
    </w:p>
    <w:p w14:paraId="488D8FC6" w14:textId="77777777" w:rsidR="0097090C" w:rsidRPr="00922501" w:rsidRDefault="0097090C" w:rsidP="0097090C">
      <w:pPr>
        <w:spacing w:before="60"/>
        <w:rPr>
          <w:lang w:val="en-GB"/>
        </w:rPr>
      </w:pPr>
      <w:r w:rsidRPr="00922501">
        <w:rPr>
          <w:lang w:val="en-GB"/>
        </w:rPr>
        <w:t xml:space="preserve">The remuneration of the Accountable Officer, who is not a Member of the Board, during the reporting period, was in the range </w:t>
      </w:r>
      <w:r w:rsidRPr="001547DC">
        <w:rPr>
          <w:lang w:val="en-GB"/>
        </w:rPr>
        <w:t xml:space="preserve">of </w:t>
      </w:r>
      <w:r w:rsidRPr="00E019E6">
        <w:rPr>
          <w:lang w:val="en-GB"/>
        </w:rPr>
        <w:t>$350,000 - $360,000</w:t>
      </w:r>
      <w:r w:rsidRPr="00922501">
        <w:rPr>
          <w:lang w:val="en-GB"/>
        </w:rPr>
        <w:t xml:space="preserve"> ($3</w:t>
      </w:r>
      <w:r>
        <w:rPr>
          <w:lang w:val="en-GB"/>
        </w:rPr>
        <w:t>4</w:t>
      </w:r>
      <w:r w:rsidRPr="00922501">
        <w:rPr>
          <w:lang w:val="en-GB"/>
        </w:rPr>
        <w:t>0,000 - $3</w:t>
      </w:r>
      <w:r>
        <w:rPr>
          <w:lang w:val="en-GB"/>
        </w:rPr>
        <w:t>5</w:t>
      </w:r>
      <w:r w:rsidRPr="00922501">
        <w:rPr>
          <w:lang w:val="en-GB"/>
        </w:rPr>
        <w:t>0,000 in 201</w:t>
      </w:r>
      <w:r>
        <w:rPr>
          <w:lang w:val="en-GB"/>
        </w:rPr>
        <w:t>4</w:t>
      </w:r>
      <w:r w:rsidRPr="00922501">
        <w:rPr>
          <w:lang w:val="en-GB"/>
        </w:rPr>
        <w:t>/201</w:t>
      </w:r>
      <w:r>
        <w:rPr>
          <w:lang w:val="en-GB"/>
        </w:rPr>
        <w:t>5</w:t>
      </w:r>
      <w:r w:rsidRPr="00922501">
        <w:rPr>
          <w:lang w:val="en-GB"/>
        </w:rPr>
        <w:t>). The remuneration of the Accountable Officer is not included in note 16(d) below.</w:t>
      </w:r>
    </w:p>
    <w:p w14:paraId="79D180C8" w14:textId="77777777" w:rsidR="0097090C" w:rsidRDefault="0097090C" w:rsidP="0097090C">
      <w:pPr>
        <w:rPr>
          <w:rFonts w:cs="Arial"/>
        </w:rPr>
      </w:pPr>
    </w:p>
    <w:p w14:paraId="75468166" w14:textId="77777777" w:rsidR="0097090C" w:rsidRPr="0074451D" w:rsidRDefault="0097090C" w:rsidP="0097090C">
      <w:pPr>
        <w:pStyle w:val="Heading5"/>
        <w:rPr>
          <w:lang w:val="en-GB"/>
        </w:rPr>
      </w:pPr>
      <w:r w:rsidRPr="0074451D">
        <w:rPr>
          <w:lang w:val="en-GB"/>
        </w:rPr>
        <w:t>16(c) Related party transactions</w:t>
      </w:r>
    </w:p>
    <w:p w14:paraId="2CDF12ED" w14:textId="77777777" w:rsidR="0097090C" w:rsidRDefault="0097090C" w:rsidP="0097090C">
      <w:pPr>
        <w:rPr>
          <w:rFonts w:cs="Arial"/>
        </w:rPr>
      </w:pPr>
      <w:r>
        <w:rPr>
          <w:rFonts w:cs="Arial"/>
        </w:rPr>
        <w:t>Business transactions were carried out with the following related party entities for Members of the Board.  All transactions were undertaken in the ordinary course of business and were at arm’s length and on normal commercial terms.</w:t>
      </w:r>
    </w:p>
    <w:p w14:paraId="04E5E518" w14:textId="77777777" w:rsidR="0097090C" w:rsidRDefault="0097090C" w:rsidP="0097090C">
      <w:pPr>
        <w:rPr>
          <w:rFonts w:cs="Arial"/>
        </w:rPr>
      </w:pPr>
    </w:p>
    <w:tbl>
      <w:tblPr>
        <w:tblW w:w="8520" w:type="dxa"/>
        <w:tblInd w:w="93" w:type="dxa"/>
        <w:tblLook w:val="04A0" w:firstRow="1" w:lastRow="0" w:firstColumn="1" w:lastColumn="0" w:noHBand="0" w:noVBand="1"/>
      </w:tblPr>
      <w:tblGrid>
        <w:gridCol w:w="3720"/>
        <w:gridCol w:w="1097"/>
        <w:gridCol w:w="1391"/>
        <w:gridCol w:w="1097"/>
        <w:gridCol w:w="1391"/>
      </w:tblGrid>
      <w:tr w:rsidR="0097090C" w:rsidRPr="004623DE" w14:paraId="1A78589E" w14:textId="77777777" w:rsidTr="0097090C">
        <w:trPr>
          <w:trHeight w:val="300"/>
        </w:trPr>
        <w:tc>
          <w:tcPr>
            <w:tcW w:w="3720" w:type="dxa"/>
            <w:tcBorders>
              <w:top w:val="single" w:sz="4" w:space="0" w:color="auto"/>
              <w:left w:val="nil"/>
              <w:bottom w:val="single" w:sz="4" w:space="0" w:color="auto"/>
              <w:right w:val="nil"/>
            </w:tcBorders>
            <w:shd w:val="clear" w:color="auto" w:fill="auto"/>
            <w:noWrap/>
            <w:vAlign w:val="center"/>
            <w:hideMark/>
          </w:tcPr>
          <w:p w14:paraId="029278C7" w14:textId="77777777" w:rsidR="0097090C" w:rsidRPr="004623DE" w:rsidRDefault="0097090C" w:rsidP="0097090C">
            <w:pPr>
              <w:rPr>
                <w:rFonts w:cs="Arial"/>
                <w:color w:val="000000"/>
              </w:rPr>
            </w:pPr>
            <w:r w:rsidRPr="004623DE">
              <w:rPr>
                <w:rFonts w:cs="Arial"/>
                <w:color w:val="000000"/>
              </w:rPr>
              <w:t> </w:t>
            </w:r>
          </w:p>
        </w:tc>
        <w:tc>
          <w:tcPr>
            <w:tcW w:w="2400" w:type="dxa"/>
            <w:gridSpan w:val="2"/>
            <w:tcBorders>
              <w:top w:val="single" w:sz="4" w:space="0" w:color="auto"/>
              <w:left w:val="nil"/>
              <w:bottom w:val="single" w:sz="4" w:space="0" w:color="auto"/>
              <w:right w:val="nil"/>
            </w:tcBorders>
            <w:shd w:val="clear" w:color="000000" w:fill="D9D9D9"/>
            <w:noWrap/>
            <w:vAlign w:val="center"/>
            <w:hideMark/>
          </w:tcPr>
          <w:p w14:paraId="48302077" w14:textId="77777777" w:rsidR="0097090C" w:rsidRPr="004623DE" w:rsidRDefault="0097090C" w:rsidP="0097090C">
            <w:pPr>
              <w:jc w:val="center"/>
              <w:rPr>
                <w:rFonts w:cs="Arial"/>
                <w:color w:val="000000"/>
              </w:rPr>
            </w:pPr>
            <w:r w:rsidRPr="004623DE">
              <w:rPr>
                <w:rFonts w:cs="Arial"/>
                <w:color w:val="000000"/>
              </w:rPr>
              <w:t>2016</w:t>
            </w:r>
          </w:p>
        </w:tc>
        <w:tc>
          <w:tcPr>
            <w:tcW w:w="2400" w:type="dxa"/>
            <w:gridSpan w:val="2"/>
            <w:tcBorders>
              <w:top w:val="single" w:sz="4" w:space="0" w:color="auto"/>
              <w:left w:val="nil"/>
              <w:bottom w:val="single" w:sz="4" w:space="0" w:color="auto"/>
              <w:right w:val="nil"/>
            </w:tcBorders>
            <w:shd w:val="clear" w:color="auto" w:fill="auto"/>
            <w:noWrap/>
            <w:vAlign w:val="center"/>
            <w:hideMark/>
          </w:tcPr>
          <w:p w14:paraId="795A5B95" w14:textId="77777777" w:rsidR="0097090C" w:rsidRPr="004623DE" w:rsidRDefault="0097090C" w:rsidP="0097090C">
            <w:pPr>
              <w:jc w:val="center"/>
              <w:rPr>
                <w:rFonts w:cs="Arial"/>
                <w:color w:val="000000"/>
              </w:rPr>
            </w:pPr>
            <w:r w:rsidRPr="004623DE">
              <w:rPr>
                <w:rFonts w:cs="Arial"/>
                <w:color w:val="000000"/>
              </w:rPr>
              <w:t>2015</w:t>
            </w:r>
          </w:p>
        </w:tc>
      </w:tr>
      <w:tr w:rsidR="0097090C" w:rsidRPr="004623DE" w14:paraId="28DB7576" w14:textId="77777777" w:rsidTr="0097090C">
        <w:trPr>
          <w:trHeight w:val="300"/>
        </w:trPr>
        <w:tc>
          <w:tcPr>
            <w:tcW w:w="3720" w:type="dxa"/>
            <w:tcBorders>
              <w:top w:val="nil"/>
              <w:left w:val="nil"/>
              <w:bottom w:val="single" w:sz="4" w:space="0" w:color="auto"/>
              <w:right w:val="nil"/>
            </w:tcBorders>
            <w:shd w:val="clear" w:color="auto" w:fill="auto"/>
            <w:noWrap/>
            <w:vAlign w:val="center"/>
            <w:hideMark/>
          </w:tcPr>
          <w:p w14:paraId="15EC780C" w14:textId="77777777" w:rsidR="0097090C" w:rsidRPr="004623DE" w:rsidRDefault="0097090C" w:rsidP="0097090C">
            <w:pPr>
              <w:rPr>
                <w:rFonts w:cs="Arial"/>
                <w:color w:val="000000"/>
              </w:rPr>
            </w:pPr>
            <w:r w:rsidRPr="004623DE">
              <w:rPr>
                <w:rFonts w:cs="Arial"/>
                <w:color w:val="000000"/>
              </w:rPr>
              <w:t> </w:t>
            </w:r>
          </w:p>
        </w:tc>
        <w:tc>
          <w:tcPr>
            <w:tcW w:w="1034" w:type="dxa"/>
            <w:tcBorders>
              <w:top w:val="nil"/>
              <w:left w:val="nil"/>
              <w:bottom w:val="single" w:sz="4" w:space="0" w:color="auto"/>
              <w:right w:val="nil"/>
            </w:tcBorders>
            <w:shd w:val="clear" w:color="000000" w:fill="D9D9D9"/>
            <w:noWrap/>
            <w:vAlign w:val="center"/>
            <w:hideMark/>
          </w:tcPr>
          <w:p w14:paraId="2BC62540" w14:textId="77777777" w:rsidR="0097090C" w:rsidRPr="004623DE" w:rsidRDefault="0097090C" w:rsidP="0097090C">
            <w:pPr>
              <w:jc w:val="center"/>
              <w:rPr>
                <w:rFonts w:cs="Arial"/>
                <w:color w:val="000000"/>
              </w:rPr>
            </w:pPr>
            <w:r w:rsidRPr="004623DE">
              <w:rPr>
                <w:rFonts w:cs="Arial"/>
                <w:color w:val="000000"/>
              </w:rPr>
              <w:t>Revenue</w:t>
            </w:r>
          </w:p>
        </w:tc>
        <w:tc>
          <w:tcPr>
            <w:tcW w:w="1366" w:type="dxa"/>
            <w:tcBorders>
              <w:top w:val="nil"/>
              <w:left w:val="nil"/>
              <w:bottom w:val="single" w:sz="4" w:space="0" w:color="auto"/>
              <w:right w:val="nil"/>
            </w:tcBorders>
            <w:shd w:val="clear" w:color="000000" w:fill="D9D9D9"/>
            <w:noWrap/>
            <w:vAlign w:val="center"/>
            <w:hideMark/>
          </w:tcPr>
          <w:p w14:paraId="6B8FC743" w14:textId="77777777" w:rsidR="0097090C" w:rsidRPr="004623DE" w:rsidRDefault="0097090C" w:rsidP="0097090C">
            <w:pPr>
              <w:jc w:val="center"/>
              <w:rPr>
                <w:rFonts w:cs="Arial"/>
                <w:color w:val="000000"/>
              </w:rPr>
            </w:pPr>
            <w:r w:rsidRPr="004623DE">
              <w:rPr>
                <w:rFonts w:cs="Arial"/>
                <w:color w:val="000000"/>
              </w:rPr>
              <w:t>Expenditure</w:t>
            </w:r>
          </w:p>
        </w:tc>
        <w:tc>
          <w:tcPr>
            <w:tcW w:w="1034" w:type="dxa"/>
            <w:tcBorders>
              <w:top w:val="nil"/>
              <w:left w:val="nil"/>
              <w:bottom w:val="single" w:sz="4" w:space="0" w:color="auto"/>
              <w:right w:val="nil"/>
            </w:tcBorders>
            <w:shd w:val="clear" w:color="auto" w:fill="auto"/>
            <w:noWrap/>
            <w:vAlign w:val="center"/>
            <w:hideMark/>
          </w:tcPr>
          <w:p w14:paraId="05DC4C54" w14:textId="77777777" w:rsidR="0097090C" w:rsidRPr="004623DE" w:rsidRDefault="0097090C" w:rsidP="0097090C">
            <w:pPr>
              <w:jc w:val="center"/>
              <w:rPr>
                <w:rFonts w:cs="Arial"/>
                <w:color w:val="000000"/>
              </w:rPr>
            </w:pPr>
            <w:r w:rsidRPr="004623DE">
              <w:rPr>
                <w:rFonts w:cs="Arial"/>
                <w:color w:val="000000"/>
              </w:rPr>
              <w:t>Revenue</w:t>
            </w:r>
          </w:p>
        </w:tc>
        <w:tc>
          <w:tcPr>
            <w:tcW w:w="1366" w:type="dxa"/>
            <w:tcBorders>
              <w:top w:val="nil"/>
              <w:left w:val="nil"/>
              <w:bottom w:val="single" w:sz="4" w:space="0" w:color="auto"/>
              <w:right w:val="nil"/>
            </w:tcBorders>
            <w:shd w:val="clear" w:color="auto" w:fill="auto"/>
            <w:noWrap/>
            <w:vAlign w:val="center"/>
            <w:hideMark/>
          </w:tcPr>
          <w:p w14:paraId="6F68F713" w14:textId="77777777" w:rsidR="0097090C" w:rsidRPr="004623DE" w:rsidRDefault="0097090C" w:rsidP="0097090C">
            <w:pPr>
              <w:jc w:val="center"/>
              <w:rPr>
                <w:rFonts w:cs="Arial"/>
                <w:color w:val="000000"/>
              </w:rPr>
            </w:pPr>
            <w:r w:rsidRPr="004623DE">
              <w:rPr>
                <w:rFonts w:cs="Arial"/>
                <w:color w:val="000000"/>
              </w:rPr>
              <w:t>Expenditure</w:t>
            </w:r>
          </w:p>
        </w:tc>
      </w:tr>
      <w:tr w:rsidR="0097090C" w:rsidRPr="004623DE" w14:paraId="7446F585" w14:textId="77777777" w:rsidTr="0097090C">
        <w:trPr>
          <w:trHeight w:val="300"/>
        </w:trPr>
        <w:tc>
          <w:tcPr>
            <w:tcW w:w="3720" w:type="dxa"/>
            <w:tcBorders>
              <w:top w:val="nil"/>
              <w:left w:val="nil"/>
              <w:bottom w:val="single" w:sz="4" w:space="0" w:color="auto"/>
              <w:right w:val="nil"/>
            </w:tcBorders>
            <w:shd w:val="clear" w:color="auto" w:fill="auto"/>
            <w:noWrap/>
            <w:vAlign w:val="center"/>
            <w:hideMark/>
          </w:tcPr>
          <w:p w14:paraId="0635F687" w14:textId="77777777" w:rsidR="0097090C" w:rsidRPr="004623DE" w:rsidRDefault="0097090C" w:rsidP="0097090C">
            <w:pPr>
              <w:rPr>
                <w:rFonts w:cs="Arial"/>
                <w:color w:val="000000"/>
              </w:rPr>
            </w:pPr>
            <w:r w:rsidRPr="004623DE">
              <w:rPr>
                <w:rFonts w:cs="Arial"/>
                <w:color w:val="000000"/>
              </w:rPr>
              <w:t> </w:t>
            </w:r>
          </w:p>
        </w:tc>
        <w:tc>
          <w:tcPr>
            <w:tcW w:w="1034" w:type="dxa"/>
            <w:tcBorders>
              <w:top w:val="nil"/>
              <w:left w:val="nil"/>
              <w:bottom w:val="single" w:sz="4" w:space="0" w:color="auto"/>
              <w:right w:val="nil"/>
            </w:tcBorders>
            <w:shd w:val="clear" w:color="000000" w:fill="D9D9D9"/>
            <w:noWrap/>
            <w:vAlign w:val="center"/>
            <w:hideMark/>
          </w:tcPr>
          <w:p w14:paraId="5F3F5788" w14:textId="77777777" w:rsidR="0097090C" w:rsidRPr="004623DE" w:rsidRDefault="0097090C" w:rsidP="0097090C">
            <w:pPr>
              <w:jc w:val="right"/>
              <w:rPr>
                <w:rFonts w:cs="Arial"/>
                <w:color w:val="000000"/>
              </w:rPr>
            </w:pPr>
            <w:r w:rsidRPr="004623DE">
              <w:rPr>
                <w:rFonts w:cs="Arial"/>
                <w:color w:val="000000"/>
              </w:rPr>
              <w:t>$'000</w:t>
            </w:r>
          </w:p>
        </w:tc>
        <w:tc>
          <w:tcPr>
            <w:tcW w:w="1366" w:type="dxa"/>
            <w:tcBorders>
              <w:top w:val="nil"/>
              <w:left w:val="nil"/>
              <w:bottom w:val="single" w:sz="4" w:space="0" w:color="auto"/>
              <w:right w:val="nil"/>
            </w:tcBorders>
            <w:shd w:val="clear" w:color="000000" w:fill="D9D9D9"/>
            <w:noWrap/>
            <w:vAlign w:val="center"/>
            <w:hideMark/>
          </w:tcPr>
          <w:p w14:paraId="1C0DE8FB" w14:textId="77777777" w:rsidR="0097090C" w:rsidRPr="004623DE" w:rsidRDefault="0097090C" w:rsidP="0097090C">
            <w:pPr>
              <w:jc w:val="right"/>
              <w:rPr>
                <w:rFonts w:cs="Arial"/>
                <w:color w:val="000000"/>
              </w:rPr>
            </w:pPr>
            <w:r w:rsidRPr="004623DE">
              <w:rPr>
                <w:rFonts w:cs="Arial"/>
                <w:color w:val="000000"/>
              </w:rPr>
              <w:t>$'000</w:t>
            </w:r>
          </w:p>
        </w:tc>
        <w:tc>
          <w:tcPr>
            <w:tcW w:w="1034" w:type="dxa"/>
            <w:tcBorders>
              <w:top w:val="nil"/>
              <w:left w:val="nil"/>
              <w:bottom w:val="single" w:sz="4" w:space="0" w:color="auto"/>
              <w:right w:val="nil"/>
            </w:tcBorders>
            <w:shd w:val="clear" w:color="auto" w:fill="auto"/>
            <w:noWrap/>
            <w:vAlign w:val="center"/>
            <w:hideMark/>
          </w:tcPr>
          <w:p w14:paraId="5CAFA03A" w14:textId="77777777" w:rsidR="0097090C" w:rsidRPr="004623DE" w:rsidRDefault="0097090C" w:rsidP="0097090C">
            <w:pPr>
              <w:jc w:val="right"/>
              <w:rPr>
                <w:rFonts w:cs="Arial"/>
                <w:color w:val="000000"/>
              </w:rPr>
            </w:pPr>
            <w:r w:rsidRPr="004623DE">
              <w:rPr>
                <w:rFonts w:cs="Arial"/>
                <w:color w:val="000000"/>
              </w:rPr>
              <w:t>$'000</w:t>
            </w:r>
          </w:p>
        </w:tc>
        <w:tc>
          <w:tcPr>
            <w:tcW w:w="1366" w:type="dxa"/>
            <w:tcBorders>
              <w:top w:val="nil"/>
              <w:left w:val="nil"/>
              <w:bottom w:val="single" w:sz="4" w:space="0" w:color="auto"/>
              <w:right w:val="nil"/>
            </w:tcBorders>
            <w:shd w:val="clear" w:color="auto" w:fill="auto"/>
            <w:noWrap/>
            <w:vAlign w:val="center"/>
            <w:hideMark/>
          </w:tcPr>
          <w:p w14:paraId="58A2B001" w14:textId="77777777" w:rsidR="0097090C" w:rsidRPr="004623DE" w:rsidRDefault="0097090C" w:rsidP="0097090C">
            <w:pPr>
              <w:jc w:val="right"/>
              <w:rPr>
                <w:rFonts w:cs="Arial"/>
                <w:color w:val="000000"/>
              </w:rPr>
            </w:pPr>
            <w:r w:rsidRPr="004623DE">
              <w:rPr>
                <w:rFonts w:cs="Arial"/>
                <w:color w:val="000000"/>
              </w:rPr>
              <w:t>$'000</w:t>
            </w:r>
          </w:p>
        </w:tc>
      </w:tr>
      <w:tr w:rsidR="0097090C" w:rsidRPr="004623DE" w14:paraId="0E50DFAA" w14:textId="77777777" w:rsidTr="0097090C">
        <w:trPr>
          <w:trHeight w:val="300"/>
        </w:trPr>
        <w:tc>
          <w:tcPr>
            <w:tcW w:w="3720" w:type="dxa"/>
            <w:tcBorders>
              <w:top w:val="nil"/>
              <w:left w:val="nil"/>
              <w:bottom w:val="nil"/>
              <w:right w:val="nil"/>
            </w:tcBorders>
            <w:shd w:val="clear" w:color="auto" w:fill="auto"/>
            <w:noWrap/>
            <w:vAlign w:val="center"/>
            <w:hideMark/>
          </w:tcPr>
          <w:p w14:paraId="6145E361" w14:textId="77777777" w:rsidR="0097090C" w:rsidRPr="004623DE" w:rsidRDefault="0097090C" w:rsidP="0097090C">
            <w:pPr>
              <w:rPr>
                <w:rFonts w:cs="Arial"/>
                <w:color w:val="000000"/>
              </w:rPr>
            </w:pPr>
            <w:r w:rsidRPr="004623DE">
              <w:rPr>
                <w:rFonts w:cs="Arial"/>
                <w:color w:val="000000"/>
              </w:rPr>
              <w:t>The Australian Ballet</w:t>
            </w:r>
          </w:p>
        </w:tc>
        <w:tc>
          <w:tcPr>
            <w:tcW w:w="1034" w:type="dxa"/>
            <w:tcBorders>
              <w:top w:val="nil"/>
              <w:left w:val="nil"/>
              <w:bottom w:val="nil"/>
              <w:right w:val="nil"/>
            </w:tcBorders>
            <w:shd w:val="clear" w:color="000000" w:fill="D9D9D9"/>
            <w:noWrap/>
            <w:vAlign w:val="center"/>
            <w:hideMark/>
          </w:tcPr>
          <w:p w14:paraId="5130E803"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000000" w:fill="D9D9D9"/>
            <w:noWrap/>
            <w:vAlign w:val="center"/>
            <w:hideMark/>
          </w:tcPr>
          <w:p w14:paraId="5C41AAE2" w14:textId="77777777" w:rsidR="0097090C" w:rsidRPr="004623DE" w:rsidRDefault="0097090C" w:rsidP="0097090C">
            <w:pPr>
              <w:jc w:val="right"/>
              <w:rPr>
                <w:rFonts w:cs="Arial"/>
                <w:color w:val="000000"/>
              </w:rPr>
            </w:pPr>
            <w:r w:rsidRPr="004623DE">
              <w:rPr>
                <w:rFonts w:cs="Arial"/>
                <w:color w:val="000000"/>
              </w:rPr>
              <w:t>0</w:t>
            </w:r>
          </w:p>
        </w:tc>
        <w:tc>
          <w:tcPr>
            <w:tcW w:w="1034" w:type="dxa"/>
            <w:tcBorders>
              <w:top w:val="nil"/>
              <w:left w:val="nil"/>
              <w:bottom w:val="nil"/>
              <w:right w:val="nil"/>
            </w:tcBorders>
            <w:shd w:val="clear" w:color="auto" w:fill="auto"/>
            <w:noWrap/>
            <w:vAlign w:val="center"/>
            <w:hideMark/>
          </w:tcPr>
          <w:p w14:paraId="5E457A3D"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auto" w:fill="auto"/>
            <w:noWrap/>
            <w:vAlign w:val="center"/>
            <w:hideMark/>
          </w:tcPr>
          <w:p w14:paraId="2A6F63B5" w14:textId="77777777" w:rsidR="0097090C" w:rsidRPr="004623DE" w:rsidRDefault="0097090C" w:rsidP="0097090C">
            <w:pPr>
              <w:jc w:val="right"/>
              <w:rPr>
                <w:rFonts w:cs="Arial"/>
                <w:color w:val="000000"/>
              </w:rPr>
            </w:pPr>
            <w:r w:rsidRPr="004623DE">
              <w:rPr>
                <w:rFonts w:cs="Arial"/>
                <w:color w:val="000000"/>
              </w:rPr>
              <w:t>8</w:t>
            </w:r>
          </w:p>
        </w:tc>
      </w:tr>
      <w:tr w:rsidR="0097090C" w:rsidRPr="004623DE" w14:paraId="286937F7" w14:textId="77777777" w:rsidTr="0097090C">
        <w:trPr>
          <w:trHeight w:val="300"/>
        </w:trPr>
        <w:tc>
          <w:tcPr>
            <w:tcW w:w="3720" w:type="dxa"/>
            <w:tcBorders>
              <w:top w:val="nil"/>
              <w:left w:val="nil"/>
              <w:bottom w:val="nil"/>
              <w:right w:val="nil"/>
            </w:tcBorders>
            <w:shd w:val="clear" w:color="auto" w:fill="auto"/>
            <w:noWrap/>
            <w:vAlign w:val="center"/>
            <w:hideMark/>
          </w:tcPr>
          <w:p w14:paraId="4FA1261E" w14:textId="77777777" w:rsidR="0097090C" w:rsidRPr="004623DE" w:rsidRDefault="0097090C" w:rsidP="0097090C">
            <w:pPr>
              <w:rPr>
                <w:rFonts w:cs="Arial"/>
                <w:color w:val="000000"/>
              </w:rPr>
            </w:pPr>
            <w:r w:rsidRPr="004623DE">
              <w:rPr>
                <w:rFonts w:cs="Arial"/>
                <w:color w:val="000000"/>
              </w:rPr>
              <w:t>Australian War Memorial</w:t>
            </w:r>
          </w:p>
        </w:tc>
        <w:tc>
          <w:tcPr>
            <w:tcW w:w="1034" w:type="dxa"/>
            <w:tcBorders>
              <w:top w:val="nil"/>
              <w:left w:val="nil"/>
              <w:bottom w:val="nil"/>
              <w:right w:val="nil"/>
            </w:tcBorders>
            <w:shd w:val="clear" w:color="000000" w:fill="D9D9D9"/>
            <w:noWrap/>
            <w:vAlign w:val="center"/>
            <w:hideMark/>
          </w:tcPr>
          <w:p w14:paraId="744030ED"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000000" w:fill="D9D9D9"/>
            <w:noWrap/>
            <w:vAlign w:val="center"/>
            <w:hideMark/>
          </w:tcPr>
          <w:p w14:paraId="5DA1E0BE" w14:textId="77777777" w:rsidR="0097090C" w:rsidRPr="004623DE" w:rsidRDefault="0097090C" w:rsidP="0097090C">
            <w:pPr>
              <w:jc w:val="right"/>
              <w:rPr>
                <w:rFonts w:cs="Arial"/>
                <w:color w:val="000000"/>
              </w:rPr>
            </w:pPr>
            <w:r w:rsidRPr="004623DE">
              <w:rPr>
                <w:rFonts w:cs="Arial"/>
                <w:color w:val="000000"/>
              </w:rPr>
              <w:t>0</w:t>
            </w:r>
          </w:p>
        </w:tc>
        <w:tc>
          <w:tcPr>
            <w:tcW w:w="1034" w:type="dxa"/>
            <w:tcBorders>
              <w:top w:val="nil"/>
              <w:left w:val="nil"/>
              <w:bottom w:val="nil"/>
              <w:right w:val="nil"/>
            </w:tcBorders>
            <w:shd w:val="clear" w:color="auto" w:fill="auto"/>
            <w:noWrap/>
            <w:vAlign w:val="center"/>
            <w:hideMark/>
          </w:tcPr>
          <w:p w14:paraId="2637C18D"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auto" w:fill="auto"/>
            <w:noWrap/>
            <w:vAlign w:val="center"/>
            <w:hideMark/>
          </w:tcPr>
          <w:p w14:paraId="4409009C" w14:textId="77777777" w:rsidR="0097090C" w:rsidRPr="004623DE" w:rsidRDefault="0097090C" w:rsidP="0097090C">
            <w:pPr>
              <w:jc w:val="right"/>
              <w:rPr>
                <w:rFonts w:cs="Arial"/>
                <w:color w:val="000000"/>
              </w:rPr>
            </w:pPr>
            <w:r w:rsidRPr="004623DE">
              <w:rPr>
                <w:rFonts w:cs="Arial"/>
                <w:color w:val="000000"/>
              </w:rPr>
              <w:t>2</w:t>
            </w:r>
          </w:p>
        </w:tc>
      </w:tr>
      <w:tr w:rsidR="0097090C" w:rsidRPr="004623DE" w14:paraId="0EF1A9CA" w14:textId="77777777" w:rsidTr="0097090C">
        <w:trPr>
          <w:trHeight w:val="300"/>
        </w:trPr>
        <w:tc>
          <w:tcPr>
            <w:tcW w:w="3720" w:type="dxa"/>
            <w:tcBorders>
              <w:top w:val="nil"/>
              <w:left w:val="nil"/>
              <w:bottom w:val="nil"/>
              <w:right w:val="nil"/>
            </w:tcBorders>
            <w:shd w:val="clear" w:color="auto" w:fill="auto"/>
            <w:noWrap/>
            <w:vAlign w:val="center"/>
            <w:hideMark/>
          </w:tcPr>
          <w:p w14:paraId="6794C9A8" w14:textId="77777777" w:rsidR="0097090C" w:rsidRPr="004623DE" w:rsidRDefault="0097090C" w:rsidP="0097090C">
            <w:pPr>
              <w:rPr>
                <w:rFonts w:cs="Arial"/>
                <w:color w:val="000000"/>
              </w:rPr>
            </w:pPr>
            <w:r w:rsidRPr="004623DE">
              <w:rPr>
                <w:rFonts w:cs="Arial"/>
                <w:color w:val="000000"/>
              </w:rPr>
              <w:t>Victorian Arts Centre Trust</w:t>
            </w:r>
          </w:p>
        </w:tc>
        <w:tc>
          <w:tcPr>
            <w:tcW w:w="1034" w:type="dxa"/>
            <w:tcBorders>
              <w:top w:val="nil"/>
              <w:left w:val="nil"/>
              <w:bottom w:val="nil"/>
              <w:right w:val="nil"/>
            </w:tcBorders>
            <w:shd w:val="clear" w:color="000000" w:fill="D9D9D9"/>
            <w:noWrap/>
            <w:vAlign w:val="center"/>
            <w:hideMark/>
          </w:tcPr>
          <w:p w14:paraId="52092472" w14:textId="77777777" w:rsidR="0097090C" w:rsidRPr="004623DE" w:rsidRDefault="0097090C" w:rsidP="0097090C">
            <w:pPr>
              <w:jc w:val="right"/>
              <w:rPr>
                <w:rFonts w:cs="Arial"/>
                <w:color w:val="000000"/>
              </w:rPr>
            </w:pPr>
            <w:r w:rsidRPr="004623DE">
              <w:rPr>
                <w:rFonts w:cs="Arial"/>
                <w:color w:val="000000"/>
              </w:rPr>
              <w:t>50</w:t>
            </w:r>
          </w:p>
        </w:tc>
        <w:tc>
          <w:tcPr>
            <w:tcW w:w="1366" w:type="dxa"/>
            <w:tcBorders>
              <w:top w:val="nil"/>
              <w:left w:val="nil"/>
              <w:bottom w:val="nil"/>
              <w:right w:val="nil"/>
            </w:tcBorders>
            <w:shd w:val="clear" w:color="000000" w:fill="D9D9D9"/>
            <w:noWrap/>
            <w:vAlign w:val="center"/>
            <w:hideMark/>
          </w:tcPr>
          <w:p w14:paraId="43C81144" w14:textId="77777777" w:rsidR="0097090C" w:rsidRPr="004623DE" w:rsidRDefault="0097090C" w:rsidP="0097090C">
            <w:pPr>
              <w:jc w:val="right"/>
              <w:rPr>
                <w:rFonts w:cs="Arial"/>
                <w:color w:val="000000"/>
              </w:rPr>
            </w:pPr>
            <w:r w:rsidRPr="004623DE">
              <w:rPr>
                <w:rFonts w:cs="Arial"/>
                <w:color w:val="000000"/>
              </w:rPr>
              <w:t>0</w:t>
            </w:r>
          </w:p>
        </w:tc>
        <w:tc>
          <w:tcPr>
            <w:tcW w:w="1034" w:type="dxa"/>
            <w:tcBorders>
              <w:top w:val="nil"/>
              <w:left w:val="nil"/>
              <w:bottom w:val="nil"/>
              <w:right w:val="nil"/>
            </w:tcBorders>
            <w:shd w:val="clear" w:color="auto" w:fill="auto"/>
            <w:noWrap/>
            <w:vAlign w:val="center"/>
            <w:hideMark/>
          </w:tcPr>
          <w:p w14:paraId="6D4B2E19" w14:textId="77777777" w:rsidR="0097090C" w:rsidRPr="004623DE" w:rsidRDefault="0097090C" w:rsidP="0097090C">
            <w:pPr>
              <w:jc w:val="right"/>
              <w:rPr>
                <w:rFonts w:cs="Arial"/>
                <w:color w:val="000000"/>
              </w:rPr>
            </w:pPr>
            <w:r w:rsidRPr="004623DE">
              <w:rPr>
                <w:rFonts w:cs="Arial"/>
                <w:color w:val="000000"/>
              </w:rPr>
              <w:t>33</w:t>
            </w:r>
          </w:p>
        </w:tc>
        <w:tc>
          <w:tcPr>
            <w:tcW w:w="1366" w:type="dxa"/>
            <w:tcBorders>
              <w:top w:val="nil"/>
              <w:left w:val="nil"/>
              <w:bottom w:val="nil"/>
              <w:right w:val="nil"/>
            </w:tcBorders>
            <w:shd w:val="clear" w:color="auto" w:fill="auto"/>
            <w:noWrap/>
            <w:vAlign w:val="center"/>
            <w:hideMark/>
          </w:tcPr>
          <w:p w14:paraId="78347176" w14:textId="77777777" w:rsidR="0097090C" w:rsidRPr="004623DE" w:rsidRDefault="0097090C" w:rsidP="0097090C">
            <w:pPr>
              <w:jc w:val="right"/>
              <w:rPr>
                <w:rFonts w:cs="Arial"/>
                <w:color w:val="000000"/>
              </w:rPr>
            </w:pPr>
            <w:r w:rsidRPr="004623DE">
              <w:rPr>
                <w:rFonts w:cs="Arial"/>
                <w:color w:val="000000"/>
              </w:rPr>
              <w:t>0</w:t>
            </w:r>
          </w:p>
        </w:tc>
      </w:tr>
      <w:tr w:rsidR="0097090C" w:rsidRPr="004623DE" w14:paraId="1036233A" w14:textId="77777777" w:rsidTr="0097090C">
        <w:trPr>
          <w:trHeight w:val="300"/>
        </w:trPr>
        <w:tc>
          <w:tcPr>
            <w:tcW w:w="3720" w:type="dxa"/>
            <w:tcBorders>
              <w:top w:val="nil"/>
              <w:left w:val="nil"/>
              <w:bottom w:val="nil"/>
              <w:right w:val="nil"/>
            </w:tcBorders>
            <w:shd w:val="clear" w:color="auto" w:fill="auto"/>
            <w:noWrap/>
            <w:vAlign w:val="center"/>
            <w:hideMark/>
          </w:tcPr>
          <w:p w14:paraId="680B6FD7" w14:textId="77777777" w:rsidR="0097090C" w:rsidRPr="004623DE" w:rsidRDefault="0097090C" w:rsidP="0097090C">
            <w:pPr>
              <w:rPr>
                <w:rFonts w:cs="Arial"/>
                <w:color w:val="000000"/>
              </w:rPr>
            </w:pPr>
            <w:r w:rsidRPr="004623DE">
              <w:rPr>
                <w:rFonts w:cs="Arial"/>
                <w:color w:val="000000"/>
              </w:rPr>
              <w:t>University Of Melbourne</w:t>
            </w:r>
          </w:p>
        </w:tc>
        <w:tc>
          <w:tcPr>
            <w:tcW w:w="1034" w:type="dxa"/>
            <w:tcBorders>
              <w:top w:val="nil"/>
              <w:left w:val="nil"/>
              <w:bottom w:val="nil"/>
              <w:right w:val="nil"/>
            </w:tcBorders>
            <w:shd w:val="clear" w:color="000000" w:fill="D9D9D9"/>
            <w:noWrap/>
            <w:vAlign w:val="center"/>
            <w:hideMark/>
          </w:tcPr>
          <w:p w14:paraId="19CE738F" w14:textId="77777777" w:rsidR="0097090C" w:rsidRPr="004623DE" w:rsidRDefault="0097090C" w:rsidP="0097090C">
            <w:pPr>
              <w:jc w:val="right"/>
              <w:rPr>
                <w:rFonts w:cs="Arial"/>
                <w:color w:val="000000"/>
              </w:rPr>
            </w:pPr>
            <w:r w:rsidRPr="004623DE">
              <w:rPr>
                <w:rFonts w:cs="Arial"/>
                <w:color w:val="000000"/>
              </w:rPr>
              <w:t>229</w:t>
            </w:r>
          </w:p>
        </w:tc>
        <w:tc>
          <w:tcPr>
            <w:tcW w:w="1366" w:type="dxa"/>
            <w:tcBorders>
              <w:top w:val="nil"/>
              <w:left w:val="nil"/>
              <w:bottom w:val="nil"/>
              <w:right w:val="nil"/>
            </w:tcBorders>
            <w:shd w:val="clear" w:color="000000" w:fill="D9D9D9"/>
            <w:noWrap/>
            <w:vAlign w:val="center"/>
            <w:hideMark/>
          </w:tcPr>
          <w:p w14:paraId="2033F05F" w14:textId="77777777" w:rsidR="0097090C" w:rsidRPr="004623DE" w:rsidRDefault="0097090C" w:rsidP="0097090C">
            <w:pPr>
              <w:jc w:val="right"/>
              <w:rPr>
                <w:rFonts w:cs="Arial"/>
                <w:color w:val="000000"/>
              </w:rPr>
            </w:pPr>
            <w:r w:rsidRPr="004623DE">
              <w:rPr>
                <w:rFonts w:cs="Arial"/>
                <w:color w:val="000000"/>
              </w:rPr>
              <w:t>162</w:t>
            </w:r>
          </w:p>
        </w:tc>
        <w:tc>
          <w:tcPr>
            <w:tcW w:w="1034" w:type="dxa"/>
            <w:tcBorders>
              <w:top w:val="nil"/>
              <w:left w:val="nil"/>
              <w:bottom w:val="nil"/>
              <w:right w:val="nil"/>
            </w:tcBorders>
            <w:shd w:val="clear" w:color="auto" w:fill="auto"/>
            <w:noWrap/>
            <w:vAlign w:val="center"/>
            <w:hideMark/>
          </w:tcPr>
          <w:p w14:paraId="03992191" w14:textId="77777777" w:rsidR="0097090C" w:rsidRPr="004623DE" w:rsidRDefault="0097090C" w:rsidP="0097090C">
            <w:pPr>
              <w:jc w:val="right"/>
              <w:rPr>
                <w:rFonts w:cs="Arial"/>
                <w:color w:val="000000"/>
              </w:rPr>
            </w:pPr>
            <w:r w:rsidRPr="004623DE">
              <w:rPr>
                <w:rFonts w:cs="Arial"/>
                <w:color w:val="000000"/>
              </w:rPr>
              <w:t>594</w:t>
            </w:r>
          </w:p>
        </w:tc>
        <w:tc>
          <w:tcPr>
            <w:tcW w:w="1366" w:type="dxa"/>
            <w:tcBorders>
              <w:top w:val="nil"/>
              <w:left w:val="nil"/>
              <w:bottom w:val="nil"/>
              <w:right w:val="nil"/>
            </w:tcBorders>
            <w:shd w:val="clear" w:color="auto" w:fill="auto"/>
            <w:noWrap/>
            <w:vAlign w:val="center"/>
            <w:hideMark/>
          </w:tcPr>
          <w:p w14:paraId="24A95BDE" w14:textId="77777777" w:rsidR="0097090C" w:rsidRPr="004623DE" w:rsidRDefault="0097090C" w:rsidP="0097090C">
            <w:pPr>
              <w:jc w:val="right"/>
              <w:rPr>
                <w:rFonts w:cs="Arial"/>
                <w:color w:val="000000"/>
              </w:rPr>
            </w:pPr>
            <w:r w:rsidRPr="004623DE">
              <w:rPr>
                <w:rFonts w:cs="Arial"/>
                <w:color w:val="000000"/>
              </w:rPr>
              <w:t>0</w:t>
            </w:r>
          </w:p>
        </w:tc>
      </w:tr>
      <w:tr w:rsidR="0097090C" w:rsidRPr="004623DE" w14:paraId="142F9E30" w14:textId="77777777" w:rsidTr="0097090C">
        <w:trPr>
          <w:trHeight w:val="300"/>
        </w:trPr>
        <w:tc>
          <w:tcPr>
            <w:tcW w:w="3720" w:type="dxa"/>
            <w:tcBorders>
              <w:top w:val="nil"/>
              <w:left w:val="nil"/>
              <w:bottom w:val="nil"/>
              <w:right w:val="nil"/>
            </w:tcBorders>
            <w:shd w:val="clear" w:color="auto" w:fill="auto"/>
            <w:noWrap/>
            <w:vAlign w:val="center"/>
            <w:hideMark/>
          </w:tcPr>
          <w:p w14:paraId="07F217CE" w14:textId="77777777" w:rsidR="0097090C" w:rsidRPr="004623DE" w:rsidRDefault="0097090C" w:rsidP="0097090C">
            <w:pPr>
              <w:rPr>
                <w:rFonts w:cs="Arial"/>
                <w:color w:val="000000"/>
              </w:rPr>
            </w:pPr>
            <w:r w:rsidRPr="004623DE">
              <w:rPr>
                <w:rFonts w:cs="Arial"/>
                <w:color w:val="000000"/>
              </w:rPr>
              <w:t>Monash University</w:t>
            </w:r>
          </w:p>
        </w:tc>
        <w:tc>
          <w:tcPr>
            <w:tcW w:w="1034" w:type="dxa"/>
            <w:tcBorders>
              <w:top w:val="nil"/>
              <w:left w:val="nil"/>
              <w:bottom w:val="nil"/>
              <w:right w:val="nil"/>
            </w:tcBorders>
            <w:shd w:val="clear" w:color="000000" w:fill="D9D9D9"/>
            <w:noWrap/>
            <w:vAlign w:val="center"/>
            <w:hideMark/>
          </w:tcPr>
          <w:p w14:paraId="6D87E1FF" w14:textId="77777777" w:rsidR="0097090C" w:rsidRPr="004623DE" w:rsidRDefault="0097090C" w:rsidP="0097090C">
            <w:pPr>
              <w:jc w:val="right"/>
              <w:rPr>
                <w:rFonts w:cs="Arial"/>
                <w:color w:val="000000"/>
              </w:rPr>
            </w:pPr>
            <w:r w:rsidRPr="004623DE">
              <w:rPr>
                <w:rFonts w:cs="Arial"/>
                <w:color w:val="000000"/>
              </w:rPr>
              <w:t>38</w:t>
            </w:r>
          </w:p>
        </w:tc>
        <w:tc>
          <w:tcPr>
            <w:tcW w:w="1366" w:type="dxa"/>
            <w:tcBorders>
              <w:top w:val="nil"/>
              <w:left w:val="nil"/>
              <w:bottom w:val="nil"/>
              <w:right w:val="nil"/>
            </w:tcBorders>
            <w:shd w:val="clear" w:color="000000" w:fill="D9D9D9"/>
            <w:noWrap/>
            <w:vAlign w:val="center"/>
            <w:hideMark/>
          </w:tcPr>
          <w:p w14:paraId="10F5DB44" w14:textId="77777777" w:rsidR="0097090C" w:rsidRPr="004623DE" w:rsidRDefault="0097090C" w:rsidP="0097090C">
            <w:pPr>
              <w:jc w:val="right"/>
              <w:rPr>
                <w:rFonts w:cs="Arial"/>
                <w:color w:val="000000"/>
              </w:rPr>
            </w:pPr>
            <w:r w:rsidRPr="004623DE">
              <w:rPr>
                <w:rFonts w:cs="Arial"/>
                <w:color w:val="000000"/>
              </w:rPr>
              <w:t>12</w:t>
            </w:r>
          </w:p>
        </w:tc>
        <w:tc>
          <w:tcPr>
            <w:tcW w:w="1034" w:type="dxa"/>
            <w:tcBorders>
              <w:top w:val="nil"/>
              <w:left w:val="nil"/>
              <w:bottom w:val="nil"/>
              <w:right w:val="nil"/>
            </w:tcBorders>
            <w:shd w:val="clear" w:color="auto" w:fill="auto"/>
            <w:noWrap/>
            <w:vAlign w:val="center"/>
            <w:hideMark/>
          </w:tcPr>
          <w:p w14:paraId="42E97B45" w14:textId="77777777" w:rsidR="0097090C" w:rsidRPr="004623DE" w:rsidRDefault="0097090C" w:rsidP="0097090C">
            <w:pPr>
              <w:jc w:val="right"/>
              <w:rPr>
                <w:rFonts w:cs="Arial"/>
                <w:color w:val="000000"/>
              </w:rPr>
            </w:pPr>
            <w:r w:rsidRPr="004623DE">
              <w:rPr>
                <w:rFonts w:cs="Arial"/>
                <w:color w:val="000000"/>
              </w:rPr>
              <w:t>8</w:t>
            </w:r>
          </w:p>
        </w:tc>
        <w:tc>
          <w:tcPr>
            <w:tcW w:w="1366" w:type="dxa"/>
            <w:tcBorders>
              <w:top w:val="nil"/>
              <w:left w:val="nil"/>
              <w:bottom w:val="nil"/>
              <w:right w:val="nil"/>
            </w:tcBorders>
            <w:shd w:val="clear" w:color="auto" w:fill="auto"/>
            <w:noWrap/>
            <w:vAlign w:val="center"/>
            <w:hideMark/>
          </w:tcPr>
          <w:p w14:paraId="122AEF6B" w14:textId="77777777" w:rsidR="0097090C" w:rsidRPr="004623DE" w:rsidRDefault="0097090C" w:rsidP="0097090C">
            <w:pPr>
              <w:jc w:val="right"/>
              <w:rPr>
                <w:rFonts w:cs="Arial"/>
                <w:color w:val="000000"/>
              </w:rPr>
            </w:pPr>
            <w:r w:rsidRPr="004623DE">
              <w:rPr>
                <w:rFonts w:cs="Arial"/>
                <w:color w:val="000000"/>
              </w:rPr>
              <w:t>3</w:t>
            </w:r>
          </w:p>
        </w:tc>
      </w:tr>
      <w:tr w:rsidR="0097090C" w:rsidRPr="004623DE" w14:paraId="1EAAF2F5" w14:textId="77777777" w:rsidTr="0097090C">
        <w:trPr>
          <w:trHeight w:val="300"/>
        </w:trPr>
        <w:tc>
          <w:tcPr>
            <w:tcW w:w="3720" w:type="dxa"/>
            <w:tcBorders>
              <w:top w:val="nil"/>
              <w:left w:val="nil"/>
              <w:bottom w:val="nil"/>
              <w:right w:val="nil"/>
            </w:tcBorders>
            <w:shd w:val="clear" w:color="auto" w:fill="auto"/>
            <w:noWrap/>
            <w:vAlign w:val="center"/>
            <w:hideMark/>
          </w:tcPr>
          <w:p w14:paraId="01D44167" w14:textId="77777777" w:rsidR="0097090C" w:rsidRPr="004623DE" w:rsidRDefault="0097090C" w:rsidP="0097090C">
            <w:pPr>
              <w:rPr>
                <w:rFonts w:cs="Arial"/>
                <w:color w:val="000000"/>
              </w:rPr>
            </w:pPr>
            <w:r w:rsidRPr="004623DE">
              <w:rPr>
                <w:rFonts w:cs="Arial"/>
                <w:color w:val="000000"/>
              </w:rPr>
              <w:t>RMIT University</w:t>
            </w:r>
          </w:p>
        </w:tc>
        <w:tc>
          <w:tcPr>
            <w:tcW w:w="1034" w:type="dxa"/>
            <w:tcBorders>
              <w:top w:val="nil"/>
              <w:left w:val="nil"/>
              <w:bottom w:val="nil"/>
              <w:right w:val="nil"/>
            </w:tcBorders>
            <w:shd w:val="clear" w:color="000000" w:fill="D9D9D9"/>
            <w:noWrap/>
            <w:vAlign w:val="center"/>
            <w:hideMark/>
          </w:tcPr>
          <w:p w14:paraId="46DDB51B"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000000" w:fill="D9D9D9"/>
            <w:noWrap/>
            <w:vAlign w:val="center"/>
            <w:hideMark/>
          </w:tcPr>
          <w:p w14:paraId="4279987D" w14:textId="77777777" w:rsidR="0097090C" w:rsidRPr="004623DE" w:rsidRDefault="0097090C" w:rsidP="0097090C">
            <w:pPr>
              <w:jc w:val="right"/>
              <w:rPr>
                <w:rFonts w:cs="Arial"/>
                <w:color w:val="000000"/>
              </w:rPr>
            </w:pPr>
            <w:r w:rsidRPr="004623DE">
              <w:rPr>
                <w:rFonts w:cs="Arial"/>
                <w:color w:val="000000"/>
              </w:rPr>
              <w:t>0</w:t>
            </w:r>
          </w:p>
        </w:tc>
        <w:tc>
          <w:tcPr>
            <w:tcW w:w="1034" w:type="dxa"/>
            <w:tcBorders>
              <w:top w:val="nil"/>
              <w:left w:val="nil"/>
              <w:bottom w:val="nil"/>
              <w:right w:val="nil"/>
            </w:tcBorders>
            <w:shd w:val="clear" w:color="auto" w:fill="auto"/>
            <w:noWrap/>
            <w:vAlign w:val="center"/>
            <w:hideMark/>
          </w:tcPr>
          <w:p w14:paraId="4DDBCF6C" w14:textId="77777777" w:rsidR="0097090C" w:rsidRPr="004623DE" w:rsidRDefault="0097090C" w:rsidP="0097090C">
            <w:pPr>
              <w:jc w:val="right"/>
              <w:rPr>
                <w:rFonts w:cs="Arial"/>
                <w:color w:val="000000"/>
              </w:rPr>
            </w:pPr>
            <w:r w:rsidRPr="004623DE">
              <w:rPr>
                <w:rFonts w:cs="Arial"/>
                <w:color w:val="000000"/>
              </w:rPr>
              <w:t>1</w:t>
            </w:r>
          </w:p>
        </w:tc>
        <w:tc>
          <w:tcPr>
            <w:tcW w:w="1366" w:type="dxa"/>
            <w:tcBorders>
              <w:top w:val="nil"/>
              <w:left w:val="nil"/>
              <w:bottom w:val="nil"/>
              <w:right w:val="nil"/>
            </w:tcBorders>
            <w:shd w:val="clear" w:color="auto" w:fill="auto"/>
            <w:noWrap/>
            <w:vAlign w:val="center"/>
            <w:hideMark/>
          </w:tcPr>
          <w:p w14:paraId="04B13E2D" w14:textId="77777777" w:rsidR="0097090C" w:rsidRPr="004623DE" w:rsidRDefault="0097090C" w:rsidP="0097090C">
            <w:pPr>
              <w:jc w:val="right"/>
              <w:rPr>
                <w:rFonts w:cs="Arial"/>
                <w:color w:val="000000"/>
              </w:rPr>
            </w:pPr>
            <w:r w:rsidRPr="004623DE">
              <w:rPr>
                <w:rFonts w:cs="Arial"/>
                <w:color w:val="000000"/>
              </w:rPr>
              <w:t>1</w:t>
            </w:r>
          </w:p>
        </w:tc>
      </w:tr>
      <w:tr w:rsidR="0097090C" w:rsidRPr="004623DE" w14:paraId="383AE1E3" w14:textId="77777777" w:rsidTr="0097090C">
        <w:trPr>
          <w:trHeight w:val="300"/>
        </w:trPr>
        <w:tc>
          <w:tcPr>
            <w:tcW w:w="3720" w:type="dxa"/>
            <w:tcBorders>
              <w:top w:val="nil"/>
              <w:left w:val="nil"/>
              <w:bottom w:val="nil"/>
              <w:right w:val="nil"/>
            </w:tcBorders>
            <w:shd w:val="clear" w:color="auto" w:fill="auto"/>
            <w:noWrap/>
            <w:vAlign w:val="center"/>
            <w:hideMark/>
          </w:tcPr>
          <w:p w14:paraId="1F3753BC" w14:textId="77777777" w:rsidR="0097090C" w:rsidRPr="004623DE" w:rsidRDefault="0097090C" w:rsidP="0097090C">
            <w:pPr>
              <w:rPr>
                <w:rFonts w:cs="Arial"/>
                <w:color w:val="000000"/>
              </w:rPr>
            </w:pPr>
            <w:r w:rsidRPr="004623DE">
              <w:rPr>
                <w:rFonts w:cs="Arial"/>
                <w:color w:val="000000"/>
              </w:rPr>
              <w:t>CSIRO</w:t>
            </w:r>
          </w:p>
        </w:tc>
        <w:tc>
          <w:tcPr>
            <w:tcW w:w="1034" w:type="dxa"/>
            <w:tcBorders>
              <w:top w:val="nil"/>
              <w:left w:val="nil"/>
              <w:bottom w:val="nil"/>
              <w:right w:val="nil"/>
            </w:tcBorders>
            <w:shd w:val="clear" w:color="000000" w:fill="D9D9D9"/>
            <w:noWrap/>
            <w:vAlign w:val="center"/>
            <w:hideMark/>
          </w:tcPr>
          <w:p w14:paraId="289405A7" w14:textId="77777777" w:rsidR="0097090C" w:rsidRPr="004623DE" w:rsidRDefault="0097090C" w:rsidP="0097090C">
            <w:pPr>
              <w:jc w:val="right"/>
              <w:rPr>
                <w:rFonts w:cs="Arial"/>
                <w:color w:val="000000"/>
              </w:rPr>
            </w:pPr>
            <w:r w:rsidRPr="004623DE">
              <w:rPr>
                <w:rFonts w:cs="Arial"/>
                <w:color w:val="000000"/>
              </w:rPr>
              <w:t>378</w:t>
            </w:r>
          </w:p>
        </w:tc>
        <w:tc>
          <w:tcPr>
            <w:tcW w:w="1366" w:type="dxa"/>
            <w:tcBorders>
              <w:top w:val="nil"/>
              <w:left w:val="nil"/>
              <w:bottom w:val="nil"/>
              <w:right w:val="nil"/>
            </w:tcBorders>
            <w:shd w:val="clear" w:color="000000" w:fill="D9D9D9"/>
            <w:noWrap/>
            <w:vAlign w:val="center"/>
            <w:hideMark/>
          </w:tcPr>
          <w:p w14:paraId="51A98D8A" w14:textId="77777777" w:rsidR="0097090C" w:rsidRPr="004623DE" w:rsidRDefault="0097090C" w:rsidP="0097090C">
            <w:pPr>
              <w:jc w:val="right"/>
              <w:rPr>
                <w:rFonts w:cs="Arial"/>
                <w:color w:val="000000"/>
              </w:rPr>
            </w:pPr>
            <w:r w:rsidRPr="004623DE">
              <w:rPr>
                <w:rFonts w:cs="Arial"/>
                <w:color w:val="000000"/>
              </w:rPr>
              <w:t>4</w:t>
            </w:r>
          </w:p>
        </w:tc>
        <w:tc>
          <w:tcPr>
            <w:tcW w:w="1034" w:type="dxa"/>
            <w:tcBorders>
              <w:top w:val="nil"/>
              <w:left w:val="nil"/>
              <w:bottom w:val="nil"/>
              <w:right w:val="nil"/>
            </w:tcBorders>
            <w:shd w:val="clear" w:color="auto" w:fill="auto"/>
            <w:noWrap/>
            <w:vAlign w:val="center"/>
            <w:hideMark/>
          </w:tcPr>
          <w:p w14:paraId="70A7D7F9"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auto" w:fill="auto"/>
            <w:noWrap/>
            <w:vAlign w:val="center"/>
            <w:hideMark/>
          </w:tcPr>
          <w:p w14:paraId="72155A6C" w14:textId="77777777" w:rsidR="0097090C" w:rsidRPr="004623DE" w:rsidRDefault="0097090C" w:rsidP="0097090C">
            <w:pPr>
              <w:jc w:val="right"/>
              <w:rPr>
                <w:rFonts w:cs="Arial"/>
                <w:color w:val="000000"/>
              </w:rPr>
            </w:pPr>
            <w:r w:rsidRPr="004623DE">
              <w:rPr>
                <w:rFonts w:cs="Arial"/>
                <w:color w:val="000000"/>
              </w:rPr>
              <w:t>0</w:t>
            </w:r>
          </w:p>
        </w:tc>
      </w:tr>
      <w:tr w:rsidR="0097090C" w:rsidRPr="004623DE" w14:paraId="7917455E" w14:textId="77777777" w:rsidTr="0097090C">
        <w:trPr>
          <w:trHeight w:val="300"/>
        </w:trPr>
        <w:tc>
          <w:tcPr>
            <w:tcW w:w="3720" w:type="dxa"/>
            <w:tcBorders>
              <w:top w:val="nil"/>
              <w:left w:val="nil"/>
              <w:bottom w:val="nil"/>
              <w:right w:val="nil"/>
            </w:tcBorders>
            <w:shd w:val="clear" w:color="auto" w:fill="auto"/>
            <w:noWrap/>
            <w:vAlign w:val="center"/>
            <w:hideMark/>
          </w:tcPr>
          <w:p w14:paraId="45F896A9" w14:textId="77777777" w:rsidR="0097090C" w:rsidRPr="004623DE" w:rsidRDefault="0097090C" w:rsidP="0097090C">
            <w:pPr>
              <w:rPr>
                <w:rFonts w:cs="Arial"/>
                <w:color w:val="000000"/>
              </w:rPr>
            </w:pPr>
            <w:r w:rsidRPr="004623DE">
              <w:rPr>
                <w:rFonts w:cs="Arial"/>
                <w:color w:val="000000"/>
              </w:rPr>
              <w:t>National Gallery of Victoria</w:t>
            </w:r>
          </w:p>
        </w:tc>
        <w:tc>
          <w:tcPr>
            <w:tcW w:w="1034" w:type="dxa"/>
            <w:tcBorders>
              <w:top w:val="nil"/>
              <w:left w:val="nil"/>
              <w:bottom w:val="nil"/>
              <w:right w:val="nil"/>
            </w:tcBorders>
            <w:shd w:val="clear" w:color="000000" w:fill="D9D9D9"/>
            <w:noWrap/>
            <w:vAlign w:val="center"/>
            <w:hideMark/>
          </w:tcPr>
          <w:p w14:paraId="6CB89906" w14:textId="77777777" w:rsidR="0097090C" w:rsidRPr="004623DE" w:rsidRDefault="0097090C" w:rsidP="0097090C">
            <w:pPr>
              <w:jc w:val="right"/>
              <w:rPr>
                <w:rFonts w:cs="Arial"/>
                <w:color w:val="000000"/>
              </w:rPr>
            </w:pPr>
            <w:r w:rsidRPr="004623DE">
              <w:rPr>
                <w:rFonts w:cs="Arial"/>
                <w:color w:val="000000"/>
              </w:rPr>
              <w:t>57</w:t>
            </w:r>
          </w:p>
        </w:tc>
        <w:tc>
          <w:tcPr>
            <w:tcW w:w="1366" w:type="dxa"/>
            <w:tcBorders>
              <w:top w:val="nil"/>
              <w:left w:val="nil"/>
              <w:bottom w:val="nil"/>
              <w:right w:val="nil"/>
            </w:tcBorders>
            <w:shd w:val="clear" w:color="000000" w:fill="D9D9D9"/>
            <w:noWrap/>
            <w:vAlign w:val="center"/>
            <w:hideMark/>
          </w:tcPr>
          <w:p w14:paraId="00D36DE6" w14:textId="77777777" w:rsidR="0097090C" w:rsidRPr="004623DE" w:rsidRDefault="0097090C" w:rsidP="0097090C">
            <w:pPr>
              <w:jc w:val="right"/>
              <w:rPr>
                <w:rFonts w:cs="Arial"/>
                <w:color w:val="000000"/>
              </w:rPr>
            </w:pPr>
            <w:r w:rsidRPr="004623DE">
              <w:rPr>
                <w:rFonts w:cs="Arial"/>
                <w:color w:val="000000"/>
              </w:rPr>
              <w:t>1</w:t>
            </w:r>
          </w:p>
        </w:tc>
        <w:tc>
          <w:tcPr>
            <w:tcW w:w="1034" w:type="dxa"/>
            <w:tcBorders>
              <w:top w:val="nil"/>
              <w:left w:val="nil"/>
              <w:bottom w:val="nil"/>
              <w:right w:val="nil"/>
            </w:tcBorders>
            <w:shd w:val="clear" w:color="auto" w:fill="auto"/>
            <w:noWrap/>
            <w:vAlign w:val="center"/>
            <w:hideMark/>
          </w:tcPr>
          <w:p w14:paraId="4A2BC7A0"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auto" w:fill="auto"/>
            <w:noWrap/>
            <w:vAlign w:val="center"/>
            <w:hideMark/>
          </w:tcPr>
          <w:p w14:paraId="0C963260" w14:textId="77777777" w:rsidR="0097090C" w:rsidRPr="004623DE" w:rsidRDefault="0097090C" w:rsidP="0097090C">
            <w:pPr>
              <w:jc w:val="right"/>
              <w:rPr>
                <w:rFonts w:cs="Arial"/>
                <w:color w:val="000000"/>
              </w:rPr>
            </w:pPr>
            <w:r w:rsidRPr="004623DE">
              <w:rPr>
                <w:rFonts w:cs="Arial"/>
                <w:color w:val="000000"/>
              </w:rPr>
              <w:t>0</w:t>
            </w:r>
          </w:p>
        </w:tc>
      </w:tr>
      <w:tr w:rsidR="0097090C" w:rsidRPr="004623DE" w14:paraId="4735729F" w14:textId="77777777" w:rsidTr="0097090C">
        <w:trPr>
          <w:trHeight w:val="300"/>
        </w:trPr>
        <w:tc>
          <w:tcPr>
            <w:tcW w:w="3720" w:type="dxa"/>
            <w:tcBorders>
              <w:top w:val="nil"/>
              <w:left w:val="nil"/>
              <w:bottom w:val="nil"/>
              <w:right w:val="nil"/>
            </w:tcBorders>
            <w:shd w:val="clear" w:color="auto" w:fill="auto"/>
            <w:noWrap/>
            <w:vAlign w:val="center"/>
            <w:hideMark/>
          </w:tcPr>
          <w:p w14:paraId="0CCD25B5" w14:textId="77777777" w:rsidR="0097090C" w:rsidRPr="004623DE" w:rsidRDefault="0097090C" w:rsidP="0097090C">
            <w:pPr>
              <w:rPr>
                <w:rFonts w:cs="Arial"/>
                <w:color w:val="000000"/>
              </w:rPr>
            </w:pPr>
            <w:r w:rsidRPr="004623DE">
              <w:rPr>
                <w:rFonts w:cs="Arial"/>
                <w:color w:val="000000"/>
              </w:rPr>
              <w:t>Melbourne Grammar School</w:t>
            </w:r>
          </w:p>
        </w:tc>
        <w:tc>
          <w:tcPr>
            <w:tcW w:w="1034" w:type="dxa"/>
            <w:tcBorders>
              <w:top w:val="nil"/>
              <w:left w:val="nil"/>
              <w:bottom w:val="nil"/>
              <w:right w:val="nil"/>
            </w:tcBorders>
            <w:shd w:val="clear" w:color="000000" w:fill="D9D9D9"/>
            <w:noWrap/>
            <w:vAlign w:val="center"/>
            <w:hideMark/>
          </w:tcPr>
          <w:p w14:paraId="352C3C4A" w14:textId="77777777" w:rsidR="0097090C" w:rsidRPr="004623DE" w:rsidRDefault="0097090C" w:rsidP="0097090C">
            <w:pPr>
              <w:jc w:val="right"/>
              <w:rPr>
                <w:rFonts w:cs="Arial"/>
                <w:color w:val="000000"/>
              </w:rPr>
            </w:pPr>
            <w:r w:rsidRPr="004623DE">
              <w:rPr>
                <w:rFonts w:cs="Arial"/>
                <w:color w:val="000000"/>
              </w:rPr>
              <w:t>2</w:t>
            </w:r>
          </w:p>
        </w:tc>
        <w:tc>
          <w:tcPr>
            <w:tcW w:w="1366" w:type="dxa"/>
            <w:tcBorders>
              <w:top w:val="nil"/>
              <w:left w:val="nil"/>
              <w:bottom w:val="nil"/>
              <w:right w:val="nil"/>
            </w:tcBorders>
            <w:shd w:val="clear" w:color="000000" w:fill="D9D9D9"/>
            <w:noWrap/>
            <w:vAlign w:val="center"/>
            <w:hideMark/>
          </w:tcPr>
          <w:p w14:paraId="7D11AAD0" w14:textId="77777777" w:rsidR="0097090C" w:rsidRPr="004623DE" w:rsidRDefault="0097090C" w:rsidP="0097090C">
            <w:pPr>
              <w:jc w:val="right"/>
              <w:rPr>
                <w:rFonts w:cs="Arial"/>
                <w:color w:val="000000"/>
              </w:rPr>
            </w:pPr>
            <w:r w:rsidRPr="004623DE">
              <w:rPr>
                <w:rFonts w:cs="Arial"/>
                <w:color w:val="000000"/>
              </w:rPr>
              <w:t>0</w:t>
            </w:r>
          </w:p>
        </w:tc>
        <w:tc>
          <w:tcPr>
            <w:tcW w:w="1034" w:type="dxa"/>
            <w:tcBorders>
              <w:top w:val="nil"/>
              <w:left w:val="nil"/>
              <w:bottom w:val="nil"/>
              <w:right w:val="nil"/>
            </w:tcBorders>
            <w:shd w:val="clear" w:color="auto" w:fill="auto"/>
            <w:noWrap/>
            <w:vAlign w:val="center"/>
            <w:hideMark/>
          </w:tcPr>
          <w:p w14:paraId="29D2D5CA"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auto" w:fill="auto"/>
            <w:noWrap/>
            <w:vAlign w:val="center"/>
            <w:hideMark/>
          </w:tcPr>
          <w:p w14:paraId="18607356" w14:textId="77777777" w:rsidR="0097090C" w:rsidRPr="004623DE" w:rsidRDefault="0097090C" w:rsidP="0097090C">
            <w:pPr>
              <w:jc w:val="right"/>
              <w:rPr>
                <w:rFonts w:cs="Arial"/>
                <w:color w:val="000000"/>
              </w:rPr>
            </w:pPr>
            <w:r w:rsidRPr="004623DE">
              <w:rPr>
                <w:rFonts w:cs="Arial"/>
                <w:color w:val="000000"/>
              </w:rPr>
              <w:t>0</w:t>
            </w:r>
          </w:p>
        </w:tc>
      </w:tr>
      <w:tr w:rsidR="0097090C" w:rsidRPr="004623DE" w14:paraId="70641A4E" w14:textId="77777777" w:rsidTr="0097090C">
        <w:trPr>
          <w:trHeight w:val="300"/>
        </w:trPr>
        <w:tc>
          <w:tcPr>
            <w:tcW w:w="3720" w:type="dxa"/>
            <w:tcBorders>
              <w:top w:val="nil"/>
              <w:left w:val="nil"/>
              <w:bottom w:val="nil"/>
              <w:right w:val="nil"/>
            </w:tcBorders>
            <w:shd w:val="clear" w:color="auto" w:fill="auto"/>
            <w:noWrap/>
            <w:vAlign w:val="center"/>
            <w:hideMark/>
          </w:tcPr>
          <w:p w14:paraId="687B296E" w14:textId="77777777" w:rsidR="0097090C" w:rsidRPr="004623DE" w:rsidRDefault="0097090C" w:rsidP="0097090C">
            <w:pPr>
              <w:rPr>
                <w:rFonts w:cs="Arial"/>
                <w:color w:val="000000"/>
              </w:rPr>
            </w:pPr>
            <w:r w:rsidRPr="004623DE">
              <w:rPr>
                <w:rFonts w:cs="Arial"/>
                <w:color w:val="000000"/>
              </w:rPr>
              <w:t>SAI Global</w:t>
            </w:r>
          </w:p>
        </w:tc>
        <w:tc>
          <w:tcPr>
            <w:tcW w:w="1034" w:type="dxa"/>
            <w:tcBorders>
              <w:top w:val="nil"/>
              <w:left w:val="nil"/>
              <w:bottom w:val="nil"/>
              <w:right w:val="nil"/>
            </w:tcBorders>
            <w:shd w:val="clear" w:color="000000" w:fill="D9D9D9"/>
            <w:noWrap/>
            <w:vAlign w:val="center"/>
            <w:hideMark/>
          </w:tcPr>
          <w:p w14:paraId="57F161D6"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000000" w:fill="D9D9D9"/>
            <w:noWrap/>
            <w:vAlign w:val="center"/>
            <w:hideMark/>
          </w:tcPr>
          <w:p w14:paraId="624338C4" w14:textId="77777777" w:rsidR="0097090C" w:rsidRPr="004623DE" w:rsidRDefault="0097090C" w:rsidP="0097090C">
            <w:pPr>
              <w:jc w:val="right"/>
              <w:rPr>
                <w:rFonts w:cs="Arial"/>
                <w:color w:val="000000"/>
              </w:rPr>
            </w:pPr>
            <w:r w:rsidRPr="004623DE">
              <w:rPr>
                <w:rFonts w:cs="Arial"/>
                <w:color w:val="000000"/>
              </w:rPr>
              <w:t>17</w:t>
            </w:r>
          </w:p>
        </w:tc>
        <w:tc>
          <w:tcPr>
            <w:tcW w:w="1034" w:type="dxa"/>
            <w:tcBorders>
              <w:top w:val="nil"/>
              <w:left w:val="nil"/>
              <w:bottom w:val="nil"/>
              <w:right w:val="nil"/>
            </w:tcBorders>
            <w:shd w:val="clear" w:color="auto" w:fill="auto"/>
            <w:noWrap/>
            <w:vAlign w:val="center"/>
            <w:hideMark/>
          </w:tcPr>
          <w:p w14:paraId="47E591DE" w14:textId="77777777" w:rsidR="0097090C" w:rsidRPr="004623DE" w:rsidRDefault="0097090C" w:rsidP="0097090C">
            <w:pPr>
              <w:jc w:val="right"/>
              <w:rPr>
                <w:rFonts w:cs="Arial"/>
                <w:color w:val="000000"/>
              </w:rPr>
            </w:pPr>
            <w:r w:rsidRPr="004623DE">
              <w:rPr>
                <w:rFonts w:cs="Arial"/>
                <w:color w:val="000000"/>
              </w:rPr>
              <w:t>0</w:t>
            </w:r>
          </w:p>
        </w:tc>
        <w:tc>
          <w:tcPr>
            <w:tcW w:w="1366" w:type="dxa"/>
            <w:tcBorders>
              <w:top w:val="nil"/>
              <w:left w:val="nil"/>
              <w:bottom w:val="nil"/>
              <w:right w:val="nil"/>
            </w:tcBorders>
            <w:shd w:val="clear" w:color="auto" w:fill="auto"/>
            <w:noWrap/>
            <w:vAlign w:val="center"/>
            <w:hideMark/>
          </w:tcPr>
          <w:p w14:paraId="4D19C33F" w14:textId="77777777" w:rsidR="0097090C" w:rsidRPr="004623DE" w:rsidRDefault="0097090C" w:rsidP="0097090C">
            <w:pPr>
              <w:jc w:val="right"/>
              <w:rPr>
                <w:rFonts w:cs="Arial"/>
                <w:color w:val="000000"/>
              </w:rPr>
            </w:pPr>
            <w:r w:rsidRPr="004623DE">
              <w:rPr>
                <w:rFonts w:cs="Arial"/>
                <w:color w:val="000000"/>
              </w:rPr>
              <w:t>0</w:t>
            </w:r>
          </w:p>
        </w:tc>
      </w:tr>
      <w:tr w:rsidR="0097090C" w:rsidRPr="004623DE" w14:paraId="2C3E09DB" w14:textId="77777777" w:rsidTr="0097090C">
        <w:trPr>
          <w:trHeight w:val="300"/>
        </w:trPr>
        <w:tc>
          <w:tcPr>
            <w:tcW w:w="3720" w:type="dxa"/>
            <w:tcBorders>
              <w:top w:val="single" w:sz="4" w:space="0" w:color="auto"/>
              <w:left w:val="nil"/>
              <w:bottom w:val="single" w:sz="4" w:space="0" w:color="auto"/>
              <w:right w:val="nil"/>
            </w:tcBorders>
            <w:shd w:val="clear" w:color="auto" w:fill="auto"/>
            <w:noWrap/>
            <w:vAlign w:val="center"/>
            <w:hideMark/>
          </w:tcPr>
          <w:p w14:paraId="4B521B0C" w14:textId="77777777" w:rsidR="0097090C" w:rsidRPr="004623DE" w:rsidRDefault="0097090C" w:rsidP="0097090C">
            <w:pPr>
              <w:rPr>
                <w:rFonts w:cs="Arial"/>
                <w:color w:val="000000"/>
              </w:rPr>
            </w:pPr>
            <w:r w:rsidRPr="004623DE">
              <w:rPr>
                <w:rFonts w:cs="Arial"/>
                <w:color w:val="000000"/>
              </w:rPr>
              <w:t>TOTAL</w:t>
            </w:r>
          </w:p>
        </w:tc>
        <w:tc>
          <w:tcPr>
            <w:tcW w:w="1034" w:type="dxa"/>
            <w:tcBorders>
              <w:top w:val="single" w:sz="4" w:space="0" w:color="auto"/>
              <w:left w:val="nil"/>
              <w:bottom w:val="single" w:sz="4" w:space="0" w:color="auto"/>
              <w:right w:val="nil"/>
            </w:tcBorders>
            <w:shd w:val="clear" w:color="000000" w:fill="D9D9D9"/>
            <w:noWrap/>
            <w:vAlign w:val="center"/>
            <w:hideMark/>
          </w:tcPr>
          <w:p w14:paraId="27E466D0" w14:textId="77777777" w:rsidR="0097090C" w:rsidRPr="004623DE" w:rsidRDefault="0097090C" w:rsidP="0097090C">
            <w:pPr>
              <w:jc w:val="right"/>
              <w:rPr>
                <w:rFonts w:cs="Arial"/>
                <w:color w:val="000000"/>
              </w:rPr>
            </w:pPr>
            <w:r w:rsidRPr="004623DE">
              <w:rPr>
                <w:rFonts w:cs="Arial"/>
                <w:color w:val="000000"/>
              </w:rPr>
              <w:t>754</w:t>
            </w:r>
          </w:p>
        </w:tc>
        <w:tc>
          <w:tcPr>
            <w:tcW w:w="1366" w:type="dxa"/>
            <w:tcBorders>
              <w:top w:val="single" w:sz="4" w:space="0" w:color="auto"/>
              <w:left w:val="nil"/>
              <w:bottom w:val="single" w:sz="4" w:space="0" w:color="auto"/>
              <w:right w:val="nil"/>
            </w:tcBorders>
            <w:shd w:val="clear" w:color="000000" w:fill="D9D9D9"/>
            <w:noWrap/>
            <w:vAlign w:val="center"/>
            <w:hideMark/>
          </w:tcPr>
          <w:p w14:paraId="00491009" w14:textId="77777777" w:rsidR="0097090C" w:rsidRPr="004623DE" w:rsidRDefault="0097090C" w:rsidP="0097090C">
            <w:pPr>
              <w:jc w:val="right"/>
              <w:rPr>
                <w:rFonts w:cs="Arial"/>
                <w:color w:val="000000"/>
              </w:rPr>
            </w:pPr>
            <w:r w:rsidRPr="004623DE">
              <w:rPr>
                <w:rFonts w:cs="Arial"/>
                <w:color w:val="000000"/>
              </w:rPr>
              <w:t>196</w:t>
            </w:r>
          </w:p>
        </w:tc>
        <w:tc>
          <w:tcPr>
            <w:tcW w:w="1034" w:type="dxa"/>
            <w:tcBorders>
              <w:top w:val="single" w:sz="4" w:space="0" w:color="auto"/>
              <w:left w:val="nil"/>
              <w:bottom w:val="single" w:sz="4" w:space="0" w:color="auto"/>
              <w:right w:val="nil"/>
            </w:tcBorders>
            <w:shd w:val="clear" w:color="auto" w:fill="auto"/>
            <w:noWrap/>
            <w:vAlign w:val="center"/>
            <w:hideMark/>
          </w:tcPr>
          <w:p w14:paraId="0DF8CDEA" w14:textId="77777777" w:rsidR="0097090C" w:rsidRPr="004623DE" w:rsidRDefault="0097090C" w:rsidP="0097090C">
            <w:pPr>
              <w:jc w:val="right"/>
              <w:rPr>
                <w:rFonts w:cs="Arial"/>
                <w:color w:val="000000"/>
              </w:rPr>
            </w:pPr>
            <w:r w:rsidRPr="004623DE">
              <w:rPr>
                <w:rFonts w:cs="Arial"/>
                <w:color w:val="000000"/>
              </w:rPr>
              <w:t>636</w:t>
            </w:r>
          </w:p>
        </w:tc>
        <w:tc>
          <w:tcPr>
            <w:tcW w:w="1366" w:type="dxa"/>
            <w:tcBorders>
              <w:top w:val="single" w:sz="4" w:space="0" w:color="auto"/>
              <w:left w:val="nil"/>
              <w:bottom w:val="single" w:sz="4" w:space="0" w:color="auto"/>
              <w:right w:val="nil"/>
            </w:tcBorders>
            <w:shd w:val="clear" w:color="auto" w:fill="auto"/>
            <w:noWrap/>
            <w:vAlign w:val="center"/>
            <w:hideMark/>
          </w:tcPr>
          <w:p w14:paraId="1D0036AB" w14:textId="77777777" w:rsidR="0097090C" w:rsidRPr="004623DE" w:rsidRDefault="0097090C" w:rsidP="0097090C">
            <w:pPr>
              <w:jc w:val="right"/>
              <w:rPr>
                <w:rFonts w:cs="Arial"/>
                <w:color w:val="000000"/>
              </w:rPr>
            </w:pPr>
            <w:r w:rsidRPr="004623DE">
              <w:rPr>
                <w:rFonts w:cs="Arial"/>
                <w:color w:val="000000"/>
              </w:rPr>
              <w:t>14</w:t>
            </w:r>
          </w:p>
        </w:tc>
      </w:tr>
    </w:tbl>
    <w:p w14:paraId="630CEA67" w14:textId="77777777" w:rsidR="0097090C" w:rsidRDefault="0097090C" w:rsidP="0097090C">
      <w:pPr>
        <w:rPr>
          <w:rFonts w:cs="Arial"/>
        </w:rPr>
      </w:pPr>
    </w:p>
    <w:p w14:paraId="01895514" w14:textId="77777777" w:rsidR="0097090C" w:rsidRDefault="0097090C" w:rsidP="0097090C">
      <w:pPr>
        <w:spacing w:after="200" w:line="276" w:lineRule="auto"/>
        <w:rPr>
          <w:rFonts w:cs="Arial"/>
        </w:rPr>
      </w:pPr>
      <w:r>
        <w:rPr>
          <w:rFonts w:cs="Arial"/>
        </w:rPr>
        <w:br w:type="page"/>
      </w:r>
    </w:p>
    <w:p w14:paraId="0C9183B6" w14:textId="77777777" w:rsidR="0097090C" w:rsidRDefault="0097090C" w:rsidP="0097090C">
      <w:pPr>
        <w:pStyle w:val="Heading5"/>
        <w:rPr>
          <w:lang w:val="en-GB"/>
        </w:rPr>
      </w:pPr>
      <w:r w:rsidRPr="00097A22">
        <w:rPr>
          <w:lang w:val="en-GB"/>
        </w:rPr>
        <w:t>16(d) Executive Officer Remuneration</w:t>
      </w:r>
    </w:p>
    <w:p w14:paraId="45768D5F" w14:textId="77777777" w:rsidR="0097090C" w:rsidRPr="001409D4" w:rsidRDefault="0097090C" w:rsidP="0097090C">
      <w:pPr>
        <w:spacing w:after="60"/>
        <w:rPr>
          <w:lang w:val="en-GB"/>
        </w:rPr>
      </w:pPr>
      <w:r w:rsidRPr="00EE51EF">
        <w:rPr>
          <w:lang w:val="en-GB"/>
        </w:rPr>
        <w:t>Base remuneration excludes bonus payments, long-service leave, redundancy payments and retirement benefits.</w:t>
      </w:r>
    </w:p>
    <w:tbl>
      <w:tblPr>
        <w:tblW w:w="9360" w:type="dxa"/>
        <w:tblInd w:w="108" w:type="dxa"/>
        <w:tblLook w:val="04A0" w:firstRow="1" w:lastRow="0" w:firstColumn="1" w:lastColumn="0" w:noHBand="0" w:noVBand="1"/>
      </w:tblPr>
      <w:tblGrid>
        <w:gridCol w:w="4772"/>
        <w:gridCol w:w="1147"/>
        <w:gridCol w:w="1147"/>
        <w:gridCol w:w="1147"/>
        <w:gridCol w:w="1147"/>
      </w:tblGrid>
      <w:tr w:rsidR="0097090C" w:rsidRPr="00CD105F" w14:paraId="7DB461BC" w14:textId="77777777" w:rsidTr="0097090C">
        <w:trPr>
          <w:trHeight w:val="255"/>
        </w:trPr>
        <w:tc>
          <w:tcPr>
            <w:tcW w:w="4772" w:type="dxa"/>
            <w:tcBorders>
              <w:top w:val="single" w:sz="4" w:space="0" w:color="auto"/>
              <w:left w:val="nil"/>
              <w:bottom w:val="single" w:sz="4" w:space="0" w:color="auto"/>
              <w:right w:val="nil"/>
            </w:tcBorders>
            <w:shd w:val="clear" w:color="auto" w:fill="auto"/>
            <w:noWrap/>
            <w:vAlign w:val="center"/>
            <w:hideMark/>
          </w:tcPr>
          <w:p w14:paraId="701A59F3" w14:textId="77777777" w:rsidR="0097090C" w:rsidRPr="00CD105F" w:rsidRDefault="0097090C" w:rsidP="0097090C">
            <w:pPr>
              <w:rPr>
                <w:rFonts w:cs="Arial"/>
                <w:b/>
                <w:bCs/>
                <w:color w:val="000000"/>
              </w:rPr>
            </w:pPr>
            <w:r w:rsidRPr="00CD105F">
              <w:rPr>
                <w:rFonts w:cs="Arial"/>
                <w:b/>
                <w:bCs/>
                <w:color w:val="000000"/>
              </w:rPr>
              <w:t>Income Band</w:t>
            </w:r>
          </w:p>
        </w:tc>
        <w:tc>
          <w:tcPr>
            <w:tcW w:w="2294" w:type="dxa"/>
            <w:gridSpan w:val="2"/>
            <w:tcBorders>
              <w:top w:val="single" w:sz="4" w:space="0" w:color="auto"/>
              <w:left w:val="nil"/>
              <w:bottom w:val="single" w:sz="4" w:space="0" w:color="auto"/>
              <w:right w:val="nil"/>
            </w:tcBorders>
            <w:shd w:val="clear" w:color="auto" w:fill="auto"/>
            <w:noWrap/>
            <w:vAlign w:val="center"/>
            <w:hideMark/>
          </w:tcPr>
          <w:p w14:paraId="3DF9BF1B" w14:textId="77777777" w:rsidR="0097090C" w:rsidRPr="00CD105F" w:rsidRDefault="0097090C" w:rsidP="0097090C">
            <w:pPr>
              <w:jc w:val="center"/>
              <w:rPr>
                <w:rFonts w:cs="Arial"/>
                <w:b/>
                <w:bCs/>
                <w:color w:val="000000"/>
              </w:rPr>
            </w:pPr>
            <w:r w:rsidRPr="00CD105F">
              <w:rPr>
                <w:rFonts w:cs="Arial"/>
                <w:b/>
                <w:bCs/>
                <w:color w:val="000000"/>
              </w:rPr>
              <w:t>Total Remuneration</w:t>
            </w:r>
          </w:p>
        </w:tc>
        <w:tc>
          <w:tcPr>
            <w:tcW w:w="2294" w:type="dxa"/>
            <w:gridSpan w:val="2"/>
            <w:tcBorders>
              <w:top w:val="single" w:sz="4" w:space="0" w:color="auto"/>
              <w:left w:val="nil"/>
              <w:bottom w:val="single" w:sz="4" w:space="0" w:color="auto"/>
              <w:right w:val="nil"/>
            </w:tcBorders>
            <w:shd w:val="clear" w:color="auto" w:fill="auto"/>
            <w:noWrap/>
            <w:vAlign w:val="center"/>
            <w:hideMark/>
          </w:tcPr>
          <w:p w14:paraId="31254427" w14:textId="77777777" w:rsidR="0097090C" w:rsidRPr="00CD105F" w:rsidRDefault="0097090C" w:rsidP="0097090C">
            <w:pPr>
              <w:jc w:val="center"/>
              <w:rPr>
                <w:rFonts w:cs="Arial"/>
                <w:b/>
                <w:bCs/>
                <w:color w:val="000000"/>
              </w:rPr>
            </w:pPr>
            <w:r w:rsidRPr="00CD105F">
              <w:rPr>
                <w:rFonts w:cs="Arial"/>
                <w:b/>
                <w:bCs/>
                <w:color w:val="000000"/>
              </w:rPr>
              <w:t>Base Remuneration</w:t>
            </w:r>
          </w:p>
        </w:tc>
      </w:tr>
      <w:tr w:rsidR="0097090C" w:rsidRPr="00CD105F" w14:paraId="3B5EAD02" w14:textId="77777777" w:rsidTr="0097090C">
        <w:trPr>
          <w:trHeight w:val="255"/>
        </w:trPr>
        <w:tc>
          <w:tcPr>
            <w:tcW w:w="4772" w:type="dxa"/>
            <w:tcBorders>
              <w:top w:val="nil"/>
              <w:left w:val="nil"/>
              <w:bottom w:val="single" w:sz="4" w:space="0" w:color="auto"/>
              <w:right w:val="nil"/>
            </w:tcBorders>
            <w:shd w:val="clear" w:color="auto" w:fill="auto"/>
            <w:noWrap/>
            <w:vAlign w:val="center"/>
            <w:hideMark/>
          </w:tcPr>
          <w:p w14:paraId="0C1653C6" w14:textId="77777777" w:rsidR="0097090C" w:rsidRPr="00CD105F" w:rsidRDefault="0097090C" w:rsidP="0097090C">
            <w:pPr>
              <w:rPr>
                <w:rFonts w:cs="Arial"/>
                <w:color w:val="000000"/>
              </w:rPr>
            </w:pPr>
            <w:r w:rsidRPr="00CD105F">
              <w:rPr>
                <w:rFonts w:cs="Arial"/>
                <w:color w:val="000000"/>
              </w:rPr>
              <w:t> </w:t>
            </w:r>
          </w:p>
        </w:tc>
        <w:tc>
          <w:tcPr>
            <w:tcW w:w="1147" w:type="dxa"/>
            <w:tcBorders>
              <w:top w:val="nil"/>
              <w:left w:val="nil"/>
              <w:bottom w:val="single" w:sz="4" w:space="0" w:color="auto"/>
              <w:right w:val="nil"/>
            </w:tcBorders>
            <w:shd w:val="clear" w:color="000000" w:fill="D9D9D9"/>
            <w:noWrap/>
            <w:vAlign w:val="center"/>
            <w:hideMark/>
          </w:tcPr>
          <w:p w14:paraId="4F988AC0" w14:textId="77777777" w:rsidR="0097090C" w:rsidRPr="00CD105F" w:rsidRDefault="0097090C" w:rsidP="0097090C">
            <w:pPr>
              <w:jc w:val="right"/>
              <w:rPr>
                <w:rFonts w:cs="Arial"/>
                <w:color w:val="000000"/>
              </w:rPr>
            </w:pPr>
            <w:r w:rsidRPr="00CD105F">
              <w:rPr>
                <w:rFonts w:cs="Arial"/>
                <w:color w:val="000000"/>
              </w:rPr>
              <w:t>2016</w:t>
            </w:r>
          </w:p>
        </w:tc>
        <w:tc>
          <w:tcPr>
            <w:tcW w:w="1147" w:type="dxa"/>
            <w:tcBorders>
              <w:top w:val="nil"/>
              <w:left w:val="nil"/>
              <w:bottom w:val="single" w:sz="4" w:space="0" w:color="auto"/>
              <w:right w:val="nil"/>
            </w:tcBorders>
            <w:shd w:val="clear" w:color="auto" w:fill="auto"/>
            <w:noWrap/>
            <w:vAlign w:val="center"/>
            <w:hideMark/>
          </w:tcPr>
          <w:p w14:paraId="2A0FCDF4" w14:textId="77777777" w:rsidR="0097090C" w:rsidRPr="00CD105F" w:rsidRDefault="0097090C" w:rsidP="0097090C">
            <w:pPr>
              <w:jc w:val="right"/>
              <w:rPr>
                <w:rFonts w:cs="Arial"/>
                <w:color w:val="000000"/>
              </w:rPr>
            </w:pPr>
            <w:r w:rsidRPr="00CD105F">
              <w:rPr>
                <w:rFonts w:cs="Arial"/>
                <w:color w:val="000000"/>
              </w:rPr>
              <w:t>2015</w:t>
            </w:r>
          </w:p>
        </w:tc>
        <w:tc>
          <w:tcPr>
            <w:tcW w:w="1147" w:type="dxa"/>
            <w:tcBorders>
              <w:top w:val="nil"/>
              <w:left w:val="nil"/>
              <w:bottom w:val="single" w:sz="4" w:space="0" w:color="auto"/>
              <w:right w:val="nil"/>
            </w:tcBorders>
            <w:shd w:val="clear" w:color="000000" w:fill="D9D9D9"/>
            <w:noWrap/>
            <w:vAlign w:val="center"/>
            <w:hideMark/>
          </w:tcPr>
          <w:p w14:paraId="3B5CDA30" w14:textId="77777777" w:rsidR="0097090C" w:rsidRPr="00CD105F" w:rsidRDefault="0097090C" w:rsidP="0097090C">
            <w:pPr>
              <w:jc w:val="right"/>
              <w:rPr>
                <w:rFonts w:cs="Arial"/>
                <w:color w:val="000000"/>
              </w:rPr>
            </w:pPr>
            <w:r w:rsidRPr="00CD105F">
              <w:rPr>
                <w:rFonts w:cs="Arial"/>
                <w:color w:val="000000"/>
              </w:rPr>
              <w:t>2016</w:t>
            </w:r>
          </w:p>
        </w:tc>
        <w:tc>
          <w:tcPr>
            <w:tcW w:w="1147" w:type="dxa"/>
            <w:tcBorders>
              <w:top w:val="nil"/>
              <w:left w:val="nil"/>
              <w:bottom w:val="single" w:sz="4" w:space="0" w:color="auto"/>
              <w:right w:val="nil"/>
            </w:tcBorders>
            <w:shd w:val="clear" w:color="auto" w:fill="auto"/>
            <w:noWrap/>
            <w:vAlign w:val="center"/>
            <w:hideMark/>
          </w:tcPr>
          <w:p w14:paraId="742B4764" w14:textId="77777777" w:rsidR="0097090C" w:rsidRPr="00CD105F" w:rsidRDefault="0097090C" w:rsidP="0097090C">
            <w:pPr>
              <w:jc w:val="right"/>
              <w:rPr>
                <w:rFonts w:cs="Arial"/>
                <w:color w:val="000000"/>
              </w:rPr>
            </w:pPr>
            <w:r w:rsidRPr="00CD105F">
              <w:rPr>
                <w:rFonts w:cs="Arial"/>
                <w:color w:val="000000"/>
              </w:rPr>
              <w:t>2015</w:t>
            </w:r>
          </w:p>
        </w:tc>
      </w:tr>
      <w:tr w:rsidR="0097090C" w:rsidRPr="00CD105F" w14:paraId="07D5FAA6" w14:textId="77777777" w:rsidTr="0097090C">
        <w:trPr>
          <w:trHeight w:val="255"/>
        </w:trPr>
        <w:tc>
          <w:tcPr>
            <w:tcW w:w="4772" w:type="dxa"/>
            <w:tcBorders>
              <w:top w:val="nil"/>
              <w:left w:val="nil"/>
              <w:bottom w:val="nil"/>
              <w:right w:val="nil"/>
            </w:tcBorders>
            <w:shd w:val="clear" w:color="auto" w:fill="auto"/>
            <w:noWrap/>
            <w:vAlign w:val="center"/>
            <w:hideMark/>
          </w:tcPr>
          <w:p w14:paraId="3A1FEBEF" w14:textId="77777777" w:rsidR="0097090C" w:rsidRPr="00CD105F" w:rsidRDefault="0097090C" w:rsidP="0097090C">
            <w:pPr>
              <w:rPr>
                <w:rFonts w:cs="Arial"/>
                <w:color w:val="000000"/>
              </w:rPr>
            </w:pPr>
            <w:r w:rsidRPr="00CD105F">
              <w:rPr>
                <w:rFonts w:cs="Arial"/>
                <w:color w:val="000000"/>
              </w:rPr>
              <w:t>$190,000 - $199,999</w:t>
            </w:r>
          </w:p>
        </w:tc>
        <w:tc>
          <w:tcPr>
            <w:tcW w:w="1147" w:type="dxa"/>
            <w:tcBorders>
              <w:top w:val="nil"/>
              <w:left w:val="nil"/>
              <w:bottom w:val="nil"/>
              <w:right w:val="nil"/>
            </w:tcBorders>
            <w:shd w:val="clear" w:color="000000" w:fill="D9D9D9"/>
            <w:noWrap/>
            <w:vAlign w:val="center"/>
            <w:hideMark/>
          </w:tcPr>
          <w:p w14:paraId="75AB113A"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auto" w:fill="auto"/>
            <w:noWrap/>
            <w:vAlign w:val="center"/>
            <w:hideMark/>
          </w:tcPr>
          <w:p w14:paraId="3EC0E35E"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000000" w:fill="D9D9D9"/>
            <w:noWrap/>
            <w:vAlign w:val="center"/>
            <w:hideMark/>
          </w:tcPr>
          <w:p w14:paraId="08DF6C63" w14:textId="77777777" w:rsidR="0097090C" w:rsidRPr="00CD105F" w:rsidRDefault="0097090C" w:rsidP="0097090C">
            <w:pPr>
              <w:jc w:val="right"/>
              <w:rPr>
                <w:rFonts w:cs="Arial"/>
                <w:color w:val="000000"/>
              </w:rPr>
            </w:pPr>
            <w:r w:rsidRPr="00CD105F">
              <w:rPr>
                <w:rFonts w:cs="Arial"/>
                <w:color w:val="000000"/>
              </w:rPr>
              <w:t>1</w:t>
            </w:r>
          </w:p>
        </w:tc>
        <w:tc>
          <w:tcPr>
            <w:tcW w:w="1147" w:type="dxa"/>
            <w:tcBorders>
              <w:top w:val="nil"/>
              <w:left w:val="nil"/>
              <w:bottom w:val="nil"/>
              <w:right w:val="nil"/>
            </w:tcBorders>
            <w:shd w:val="clear" w:color="auto" w:fill="auto"/>
            <w:noWrap/>
            <w:vAlign w:val="center"/>
            <w:hideMark/>
          </w:tcPr>
          <w:p w14:paraId="7E4DC044" w14:textId="77777777" w:rsidR="0097090C" w:rsidRPr="00CD105F" w:rsidRDefault="0097090C" w:rsidP="0097090C">
            <w:pPr>
              <w:jc w:val="right"/>
              <w:rPr>
                <w:rFonts w:cs="Arial"/>
                <w:color w:val="000000"/>
              </w:rPr>
            </w:pPr>
            <w:r w:rsidRPr="00CD105F">
              <w:rPr>
                <w:rFonts w:cs="Arial"/>
                <w:color w:val="000000"/>
              </w:rPr>
              <w:t>2</w:t>
            </w:r>
          </w:p>
        </w:tc>
      </w:tr>
      <w:tr w:rsidR="0097090C" w:rsidRPr="00CD105F" w14:paraId="14EBE5E4" w14:textId="77777777" w:rsidTr="0097090C">
        <w:trPr>
          <w:trHeight w:val="255"/>
        </w:trPr>
        <w:tc>
          <w:tcPr>
            <w:tcW w:w="4772" w:type="dxa"/>
            <w:tcBorders>
              <w:top w:val="nil"/>
              <w:left w:val="nil"/>
              <w:bottom w:val="nil"/>
              <w:right w:val="nil"/>
            </w:tcBorders>
            <w:shd w:val="clear" w:color="auto" w:fill="auto"/>
            <w:noWrap/>
            <w:vAlign w:val="center"/>
            <w:hideMark/>
          </w:tcPr>
          <w:p w14:paraId="36FD7537" w14:textId="77777777" w:rsidR="0097090C" w:rsidRPr="00CD105F" w:rsidRDefault="0097090C" w:rsidP="0097090C">
            <w:pPr>
              <w:rPr>
                <w:rFonts w:cs="Arial"/>
                <w:color w:val="000000"/>
              </w:rPr>
            </w:pPr>
            <w:r w:rsidRPr="00CD105F">
              <w:rPr>
                <w:rFonts w:cs="Arial"/>
                <w:color w:val="000000"/>
              </w:rPr>
              <w:t>$200,000 - $209,999</w:t>
            </w:r>
          </w:p>
        </w:tc>
        <w:tc>
          <w:tcPr>
            <w:tcW w:w="1147" w:type="dxa"/>
            <w:tcBorders>
              <w:top w:val="nil"/>
              <w:left w:val="nil"/>
              <w:bottom w:val="nil"/>
              <w:right w:val="nil"/>
            </w:tcBorders>
            <w:shd w:val="clear" w:color="000000" w:fill="D9D9D9"/>
            <w:noWrap/>
            <w:vAlign w:val="center"/>
            <w:hideMark/>
          </w:tcPr>
          <w:p w14:paraId="3486A0B0"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auto" w:fill="auto"/>
            <w:noWrap/>
            <w:vAlign w:val="center"/>
            <w:hideMark/>
          </w:tcPr>
          <w:p w14:paraId="2BCF5462"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000000" w:fill="D9D9D9"/>
            <w:noWrap/>
            <w:vAlign w:val="center"/>
            <w:hideMark/>
          </w:tcPr>
          <w:p w14:paraId="4BE50247" w14:textId="77777777" w:rsidR="0097090C" w:rsidRPr="00CD105F" w:rsidRDefault="0097090C" w:rsidP="0097090C">
            <w:pPr>
              <w:jc w:val="right"/>
              <w:rPr>
                <w:rFonts w:cs="Arial"/>
                <w:color w:val="000000"/>
              </w:rPr>
            </w:pPr>
            <w:r w:rsidRPr="00CD105F">
              <w:rPr>
                <w:rFonts w:cs="Arial"/>
                <w:color w:val="000000"/>
              </w:rPr>
              <w:t>2</w:t>
            </w:r>
          </w:p>
        </w:tc>
        <w:tc>
          <w:tcPr>
            <w:tcW w:w="1147" w:type="dxa"/>
            <w:tcBorders>
              <w:top w:val="nil"/>
              <w:left w:val="nil"/>
              <w:bottom w:val="nil"/>
              <w:right w:val="nil"/>
            </w:tcBorders>
            <w:shd w:val="clear" w:color="auto" w:fill="auto"/>
            <w:noWrap/>
            <w:vAlign w:val="center"/>
            <w:hideMark/>
          </w:tcPr>
          <w:p w14:paraId="2B952CFE" w14:textId="77777777" w:rsidR="0097090C" w:rsidRPr="00CD105F" w:rsidRDefault="0097090C" w:rsidP="0097090C">
            <w:pPr>
              <w:jc w:val="right"/>
              <w:rPr>
                <w:rFonts w:cs="Arial"/>
                <w:color w:val="000000"/>
              </w:rPr>
            </w:pPr>
            <w:r w:rsidRPr="00CD105F">
              <w:rPr>
                <w:rFonts w:cs="Arial"/>
                <w:color w:val="000000"/>
              </w:rPr>
              <w:t>1</w:t>
            </w:r>
          </w:p>
        </w:tc>
      </w:tr>
      <w:tr w:rsidR="0097090C" w:rsidRPr="00CD105F" w14:paraId="19A6D09E" w14:textId="77777777" w:rsidTr="0097090C">
        <w:trPr>
          <w:trHeight w:val="255"/>
        </w:trPr>
        <w:tc>
          <w:tcPr>
            <w:tcW w:w="4772" w:type="dxa"/>
            <w:tcBorders>
              <w:top w:val="nil"/>
              <w:left w:val="nil"/>
              <w:bottom w:val="nil"/>
              <w:right w:val="nil"/>
            </w:tcBorders>
            <w:shd w:val="clear" w:color="auto" w:fill="auto"/>
            <w:noWrap/>
            <w:vAlign w:val="center"/>
            <w:hideMark/>
          </w:tcPr>
          <w:p w14:paraId="38DF1899" w14:textId="77777777" w:rsidR="0097090C" w:rsidRPr="00CD105F" w:rsidRDefault="0097090C" w:rsidP="0097090C">
            <w:pPr>
              <w:rPr>
                <w:rFonts w:cs="Arial"/>
                <w:color w:val="000000"/>
              </w:rPr>
            </w:pPr>
            <w:r w:rsidRPr="00CD105F">
              <w:rPr>
                <w:rFonts w:cs="Arial"/>
                <w:color w:val="000000"/>
              </w:rPr>
              <w:t>$210,000 - $219,999</w:t>
            </w:r>
          </w:p>
        </w:tc>
        <w:tc>
          <w:tcPr>
            <w:tcW w:w="1147" w:type="dxa"/>
            <w:tcBorders>
              <w:top w:val="nil"/>
              <w:left w:val="nil"/>
              <w:bottom w:val="nil"/>
              <w:right w:val="nil"/>
            </w:tcBorders>
            <w:shd w:val="clear" w:color="000000" w:fill="D9D9D9"/>
            <w:noWrap/>
            <w:vAlign w:val="center"/>
            <w:hideMark/>
          </w:tcPr>
          <w:p w14:paraId="61BF64F8"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auto" w:fill="auto"/>
            <w:noWrap/>
            <w:vAlign w:val="center"/>
            <w:hideMark/>
          </w:tcPr>
          <w:p w14:paraId="06917190" w14:textId="77777777" w:rsidR="0097090C" w:rsidRPr="00CD105F" w:rsidRDefault="0097090C" w:rsidP="0097090C">
            <w:pPr>
              <w:jc w:val="right"/>
              <w:rPr>
                <w:rFonts w:cs="Arial"/>
                <w:color w:val="000000"/>
              </w:rPr>
            </w:pPr>
            <w:r w:rsidRPr="00CD105F">
              <w:rPr>
                <w:rFonts w:cs="Arial"/>
                <w:color w:val="000000"/>
              </w:rPr>
              <w:t>2</w:t>
            </w:r>
          </w:p>
        </w:tc>
        <w:tc>
          <w:tcPr>
            <w:tcW w:w="1147" w:type="dxa"/>
            <w:tcBorders>
              <w:top w:val="nil"/>
              <w:left w:val="nil"/>
              <w:bottom w:val="nil"/>
              <w:right w:val="nil"/>
            </w:tcBorders>
            <w:shd w:val="clear" w:color="000000" w:fill="D9D9D9"/>
            <w:noWrap/>
            <w:vAlign w:val="center"/>
            <w:hideMark/>
          </w:tcPr>
          <w:p w14:paraId="14BE5145"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auto" w:fill="auto"/>
            <w:noWrap/>
            <w:vAlign w:val="center"/>
            <w:hideMark/>
          </w:tcPr>
          <w:p w14:paraId="64408122" w14:textId="77777777" w:rsidR="0097090C" w:rsidRPr="00CD105F" w:rsidRDefault="0097090C" w:rsidP="0097090C">
            <w:pPr>
              <w:jc w:val="right"/>
              <w:rPr>
                <w:rFonts w:cs="Arial"/>
                <w:color w:val="000000"/>
              </w:rPr>
            </w:pPr>
            <w:r w:rsidRPr="00CD105F">
              <w:rPr>
                <w:rFonts w:cs="Arial"/>
                <w:color w:val="000000"/>
              </w:rPr>
              <w:t>0</w:t>
            </w:r>
          </w:p>
        </w:tc>
      </w:tr>
      <w:tr w:rsidR="0097090C" w:rsidRPr="00CD105F" w14:paraId="087A16B6" w14:textId="77777777" w:rsidTr="0097090C">
        <w:trPr>
          <w:trHeight w:val="255"/>
        </w:trPr>
        <w:tc>
          <w:tcPr>
            <w:tcW w:w="4772" w:type="dxa"/>
            <w:tcBorders>
              <w:top w:val="nil"/>
              <w:left w:val="nil"/>
              <w:bottom w:val="nil"/>
              <w:right w:val="nil"/>
            </w:tcBorders>
            <w:shd w:val="clear" w:color="auto" w:fill="auto"/>
            <w:noWrap/>
            <w:vAlign w:val="center"/>
            <w:hideMark/>
          </w:tcPr>
          <w:p w14:paraId="2F9DFA04" w14:textId="77777777" w:rsidR="0097090C" w:rsidRPr="00CD105F" w:rsidRDefault="0097090C" w:rsidP="0097090C">
            <w:pPr>
              <w:rPr>
                <w:rFonts w:cs="Arial"/>
                <w:color w:val="000000"/>
              </w:rPr>
            </w:pPr>
            <w:r w:rsidRPr="00CD105F">
              <w:rPr>
                <w:rFonts w:cs="Arial"/>
                <w:color w:val="000000"/>
              </w:rPr>
              <w:t>$220,000 - $229,999</w:t>
            </w:r>
          </w:p>
        </w:tc>
        <w:tc>
          <w:tcPr>
            <w:tcW w:w="1147" w:type="dxa"/>
            <w:tcBorders>
              <w:top w:val="nil"/>
              <w:left w:val="nil"/>
              <w:bottom w:val="nil"/>
              <w:right w:val="nil"/>
            </w:tcBorders>
            <w:shd w:val="clear" w:color="000000" w:fill="D9D9D9"/>
            <w:noWrap/>
            <w:vAlign w:val="center"/>
            <w:hideMark/>
          </w:tcPr>
          <w:p w14:paraId="5A8D4345" w14:textId="77777777" w:rsidR="0097090C" w:rsidRPr="00CD105F" w:rsidRDefault="0097090C" w:rsidP="0097090C">
            <w:pPr>
              <w:jc w:val="right"/>
              <w:rPr>
                <w:rFonts w:cs="Arial"/>
                <w:color w:val="000000"/>
              </w:rPr>
            </w:pPr>
            <w:r w:rsidRPr="00CD105F">
              <w:rPr>
                <w:rFonts w:cs="Arial"/>
                <w:color w:val="000000"/>
              </w:rPr>
              <w:t>2</w:t>
            </w:r>
          </w:p>
        </w:tc>
        <w:tc>
          <w:tcPr>
            <w:tcW w:w="1147" w:type="dxa"/>
            <w:tcBorders>
              <w:top w:val="nil"/>
              <w:left w:val="nil"/>
              <w:bottom w:val="nil"/>
              <w:right w:val="nil"/>
            </w:tcBorders>
            <w:shd w:val="clear" w:color="auto" w:fill="auto"/>
            <w:noWrap/>
            <w:vAlign w:val="center"/>
            <w:hideMark/>
          </w:tcPr>
          <w:p w14:paraId="785A8368" w14:textId="77777777" w:rsidR="0097090C" w:rsidRPr="00CD105F" w:rsidRDefault="0097090C" w:rsidP="0097090C">
            <w:pPr>
              <w:jc w:val="right"/>
              <w:rPr>
                <w:rFonts w:cs="Arial"/>
                <w:color w:val="000000"/>
              </w:rPr>
            </w:pPr>
            <w:r w:rsidRPr="00CD105F">
              <w:rPr>
                <w:rFonts w:cs="Arial"/>
                <w:color w:val="000000"/>
              </w:rPr>
              <w:t>1</w:t>
            </w:r>
          </w:p>
        </w:tc>
        <w:tc>
          <w:tcPr>
            <w:tcW w:w="1147" w:type="dxa"/>
            <w:tcBorders>
              <w:top w:val="nil"/>
              <w:left w:val="nil"/>
              <w:bottom w:val="nil"/>
              <w:right w:val="nil"/>
            </w:tcBorders>
            <w:shd w:val="clear" w:color="000000" w:fill="D9D9D9"/>
            <w:noWrap/>
            <w:vAlign w:val="center"/>
            <w:hideMark/>
          </w:tcPr>
          <w:p w14:paraId="437028B6"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auto" w:fill="auto"/>
            <w:noWrap/>
            <w:vAlign w:val="center"/>
            <w:hideMark/>
          </w:tcPr>
          <w:p w14:paraId="40D6B8BE" w14:textId="77777777" w:rsidR="0097090C" w:rsidRPr="00CD105F" w:rsidRDefault="0097090C" w:rsidP="0097090C">
            <w:pPr>
              <w:jc w:val="right"/>
              <w:rPr>
                <w:rFonts w:cs="Arial"/>
                <w:color w:val="000000"/>
              </w:rPr>
            </w:pPr>
            <w:r w:rsidRPr="00CD105F">
              <w:rPr>
                <w:rFonts w:cs="Arial"/>
                <w:color w:val="000000"/>
              </w:rPr>
              <w:t>0</w:t>
            </w:r>
          </w:p>
        </w:tc>
      </w:tr>
      <w:tr w:rsidR="0097090C" w:rsidRPr="00CD105F" w14:paraId="4E97DE47" w14:textId="77777777" w:rsidTr="0097090C">
        <w:trPr>
          <w:trHeight w:val="255"/>
        </w:trPr>
        <w:tc>
          <w:tcPr>
            <w:tcW w:w="4772" w:type="dxa"/>
            <w:tcBorders>
              <w:top w:val="nil"/>
              <w:left w:val="nil"/>
              <w:bottom w:val="nil"/>
              <w:right w:val="nil"/>
            </w:tcBorders>
            <w:shd w:val="clear" w:color="auto" w:fill="auto"/>
            <w:noWrap/>
            <w:vAlign w:val="center"/>
            <w:hideMark/>
          </w:tcPr>
          <w:p w14:paraId="4EC5F4BF" w14:textId="77777777" w:rsidR="0097090C" w:rsidRPr="00CD105F" w:rsidRDefault="0097090C" w:rsidP="0097090C">
            <w:pPr>
              <w:rPr>
                <w:rFonts w:cs="Arial"/>
                <w:color w:val="000000"/>
              </w:rPr>
            </w:pPr>
            <w:r w:rsidRPr="00CD105F">
              <w:rPr>
                <w:rFonts w:cs="Arial"/>
                <w:color w:val="000000"/>
              </w:rPr>
              <w:t>$2</w:t>
            </w:r>
            <w:r>
              <w:rPr>
                <w:rFonts w:cs="Arial"/>
                <w:color w:val="000000"/>
              </w:rPr>
              <w:t>3</w:t>
            </w:r>
            <w:r w:rsidRPr="00CD105F">
              <w:rPr>
                <w:rFonts w:cs="Arial"/>
                <w:color w:val="000000"/>
              </w:rPr>
              <w:t>0,000 - $2</w:t>
            </w:r>
            <w:r>
              <w:rPr>
                <w:rFonts w:cs="Arial"/>
                <w:color w:val="000000"/>
              </w:rPr>
              <w:t>3</w:t>
            </w:r>
            <w:r w:rsidRPr="00CD105F">
              <w:rPr>
                <w:rFonts w:cs="Arial"/>
                <w:color w:val="000000"/>
              </w:rPr>
              <w:t>9,999</w:t>
            </w:r>
          </w:p>
        </w:tc>
        <w:tc>
          <w:tcPr>
            <w:tcW w:w="1147" w:type="dxa"/>
            <w:tcBorders>
              <w:top w:val="nil"/>
              <w:left w:val="nil"/>
              <w:bottom w:val="nil"/>
              <w:right w:val="nil"/>
            </w:tcBorders>
            <w:shd w:val="clear" w:color="000000" w:fill="D9D9D9"/>
            <w:noWrap/>
            <w:vAlign w:val="center"/>
            <w:hideMark/>
          </w:tcPr>
          <w:p w14:paraId="1B4B18CF" w14:textId="77777777" w:rsidR="0097090C" w:rsidRPr="00CD105F" w:rsidRDefault="0097090C" w:rsidP="0097090C">
            <w:pPr>
              <w:jc w:val="right"/>
              <w:rPr>
                <w:rFonts w:cs="Arial"/>
                <w:color w:val="000000"/>
              </w:rPr>
            </w:pPr>
            <w:r w:rsidRPr="00CD105F">
              <w:rPr>
                <w:rFonts w:cs="Arial"/>
                <w:color w:val="000000"/>
              </w:rPr>
              <w:t>1</w:t>
            </w:r>
          </w:p>
        </w:tc>
        <w:tc>
          <w:tcPr>
            <w:tcW w:w="1147" w:type="dxa"/>
            <w:tcBorders>
              <w:top w:val="nil"/>
              <w:left w:val="nil"/>
              <w:bottom w:val="nil"/>
              <w:right w:val="nil"/>
            </w:tcBorders>
            <w:shd w:val="clear" w:color="auto" w:fill="auto"/>
            <w:noWrap/>
            <w:vAlign w:val="center"/>
            <w:hideMark/>
          </w:tcPr>
          <w:p w14:paraId="2B037360"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000000" w:fill="D9D9D9"/>
            <w:noWrap/>
            <w:vAlign w:val="center"/>
            <w:hideMark/>
          </w:tcPr>
          <w:p w14:paraId="3E6DE9DD" w14:textId="77777777" w:rsidR="0097090C" w:rsidRPr="00CD105F" w:rsidRDefault="0097090C" w:rsidP="0097090C">
            <w:pPr>
              <w:jc w:val="right"/>
              <w:rPr>
                <w:rFonts w:cs="Arial"/>
                <w:color w:val="000000"/>
              </w:rPr>
            </w:pPr>
            <w:r w:rsidRPr="00CD105F">
              <w:rPr>
                <w:rFonts w:cs="Arial"/>
                <w:color w:val="000000"/>
              </w:rPr>
              <w:t>0</w:t>
            </w:r>
          </w:p>
        </w:tc>
        <w:tc>
          <w:tcPr>
            <w:tcW w:w="1147" w:type="dxa"/>
            <w:tcBorders>
              <w:top w:val="nil"/>
              <w:left w:val="nil"/>
              <w:bottom w:val="nil"/>
              <w:right w:val="nil"/>
            </w:tcBorders>
            <w:shd w:val="clear" w:color="auto" w:fill="auto"/>
            <w:noWrap/>
            <w:vAlign w:val="center"/>
            <w:hideMark/>
          </w:tcPr>
          <w:p w14:paraId="19B1A1C6" w14:textId="77777777" w:rsidR="0097090C" w:rsidRPr="00CD105F" w:rsidRDefault="0097090C" w:rsidP="0097090C">
            <w:pPr>
              <w:jc w:val="right"/>
              <w:rPr>
                <w:rFonts w:cs="Arial"/>
                <w:color w:val="000000"/>
              </w:rPr>
            </w:pPr>
            <w:r w:rsidRPr="00CD105F">
              <w:rPr>
                <w:rFonts w:cs="Arial"/>
                <w:color w:val="000000"/>
              </w:rPr>
              <w:t>0</w:t>
            </w:r>
          </w:p>
        </w:tc>
      </w:tr>
      <w:tr w:rsidR="0097090C" w:rsidRPr="00CD105F" w14:paraId="22CAD244" w14:textId="77777777" w:rsidTr="0097090C">
        <w:trPr>
          <w:trHeight w:val="285"/>
        </w:trPr>
        <w:tc>
          <w:tcPr>
            <w:tcW w:w="4772" w:type="dxa"/>
            <w:tcBorders>
              <w:top w:val="single" w:sz="4" w:space="0" w:color="auto"/>
              <w:left w:val="nil"/>
              <w:bottom w:val="single" w:sz="4" w:space="0" w:color="auto"/>
              <w:right w:val="nil"/>
            </w:tcBorders>
            <w:shd w:val="clear" w:color="auto" w:fill="auto"/>
            <w:vAlign w:val="center"/>
            <w:hideMark/>
          </w:tcPr>
          <w:p w14:paraId="33373039" w14:textId="77777777" w:rsidR="0097090C" w:rsidRPr="00CD105F" w:rsidRDefault="0097090C" w:rsidP="0097090C">
            <w:pPr>
              <w:rPr>
                <w:rFonts w:cs="Arial"/>
                <w:b/>
                <w:bCs/>
                <w:color w:val="000000"/>
              </w:rPr>
            </w:pPr>
            <w:r w:rsidRPr="00CD105F">
              <w:rPr>
                <w:rFonts w:cs="Arial"/>
                <w:b/>
                <w:bCs/>
                <w:color w:val="000000"/>
              </w:rPr>
              <w:t>Total Numbers</w:t>
            </w:r>
          </w:p>
        </w:tc>
        <w:tc>
          <w:tcPr>
            <w:tcW w:w="1147" w:type="dxa"/>
            <w:tcBorders>
              <w:top w:val="single" w:sz="4" w:space="0" w:color="auto"/>
              <w:left w:val="nil"/>
              <w:bottom w:val="single" w:sz="4" w:space="0" w:color="auto"/>
              <w:right w:val="nil"/>
            </w:tcBorders>
            <w:shd w:val="clear" w:color="000000" w:fill="D9D9D9"/>
            <w:vAlign w:val="center"/>
            <w:hideMark/>
          </w:tcPr>
          <w:p w14:paraId="6741B9CB" w14:textId="77777777" w:rsidR="0097090C" w:rsidRPr="00CD105F" w:rsidRDefault="0097090C" w:rsidP="0097090C">
            <w:pPr>
              <w:jc w:val="right"/>
              <w:rPr>
                <w:rFonts w:cs="Arial"/>
                <w:b/>
                <w:bCs/>
                <w:color w:val="000000"/>
              </w:rPr>
            </w:pPr>
            <w:r w:rsidRPr="00CD105F">
              <w:rPr>
                <w:rFonts w:cs="Arial"/>
                <w:b/>
                <w:bCs/>
                <w:color w:val="000000"/>
              </w:rPr>
              <w:t>3</w:t>
            </w:r>
          </w:p>
        </w:tc>
        <w:tc>
          <w:tcPr>
            <w:tcW w:w="1147" w:type="dxa"/>
            <w:tcBorders>
              <w:top w:val="single" w:sz="4" w:space="0" w:color="auto"/>
              <w:left w:val="nil"/>
              <w:bottom w:val="single" w:sz="4" w:space="0" w:color="auto"/>
              <w:right w:val="nil"/>
            </w:tcBorders>
            <w:shd w:val="clear" w:color="auto" w:fill="auto"/>
            <w:vAlign w:val="center"/>
            <w:hideMark/>
          </w:tcPr>
          <w:p w14:paraId="5F819EB3" w14:textId="77777777" w:rsidR="0097090C" w:rsidRPr="00CD105F" w:rsidRDefault="0097090C" w:rsidP="0097090C">
            <w:pPr>
              <w:jc w:val="right"/>
              <w:rPr>
                <w:rFonts w:cs="Arial"/>
                <w:b/>
                <w:bCs/>
                <w:color w:val="000000"/>
              </w:rPr>
            </w:pPr>
            <w:r w:rsidRPr="00CD105F">
              <w:rPr>
                <w:rFonts w:cs="Arial"/>
                <w:b/>
                <w:bCs/>
                <w:color w:val="000000"/>
              </w:rPr>
              <w:t>3</w:t>
            </w:r>
          </w:p>
        </w:tc>
        <w:tc>
          <w:tcPr>
            <w:tcW w:w="1147" w:type="dxa"/>
            <w:tcBorders>
              <w:top w:val="single" w:sz="4" w:space="0" w:color="auto"/>
              <w:left w:val="nil"/>
              <w:bottom w:val="single" w:sz="4" w:space="0" w:color="auto"/>
              <w:right w:val="nil"/>
            </w:tcBorders>
            <w:shd w:val="clear" w:color="000000" w:fill="D9D9D9"/>
            <w:vAlign w:val="center"/>
            <w:hideMark/>
          </w:tcPr>
          <w:p w14:paraId="0AB21FD5" w14:textId="77777777" w:rsidR="0097090C" w:rsidRPr="00CD105F" w:rsidRDefault="0097090C" w:rsidP="0097090C">
            <w:pPr>
              <w:jc w:val="right"/>
              <w:rPr>
                <w:rFonts w:cs="Arial"/>
                <w:b/>
                <w:bCs/>
                <w:color w:val="000000"/>
              </w:rPr>
            </w:pPr>
            <w:r w:rsidRPr="00CD105F">
              <w:rPr>
                <w:rFonts w:cs="Arial"/>
                <w:b/>
                <w:bCs/>
                <w:color w:val="000000"/>
              </w:rPr>
              <w:t>3</w:t>
            </w:r>
          </w:p>
        </w:tc>
        <w:tc>
          <w:tcPr>
            <w:tcW w:w="1147" w:type="dxa"/>
            <w:tcBorders>
              <w:top w:val="single" w:sz="4" w:space="0" w:color="auto"/>
              <w:left w:val="nil"/>
              <w:bottom w:val="single" w:sz="4" w:space="0" w:color="auto"/>
              <w:right w:val="nil"/>
            </w:tcBorders>
            <w:shd w:val="clear" w:color="auto" w:fill="auto"/>
            <w:vAlign w:val="center"/>
            <w:hideMark/>
          </w:tcPr>
          <w:p w14:paraId="6E7BE9F2" w14:textId="77777777" w:rsidR="0097090C" w:rsidRPr="00CD105F" w:rsidRDefault="0097090C" w:rsidP="0097090C">
            <w:pPr>
              <w:jc w:val="right"/>
              <w:rPr>
                <w:rFonts w:cs="Arial"/>
                <w:b/>
                <w:bCs/>
                <w:color w:val="000000"/>
              </w:rPr>
            </w:pPr>
            <w:r w:rsidRPr="00CD105F">
              <w:rPr>
                <w:rFonts w:cs="Arial"/>
                <w:b/>
                <w:bCs/>
                <w:color w:val="000000"/>
              </w:rPr>
              <w:t>3</w:t>
            </w:r>
          </w:p>
        </w:tc>
      </w:tr>
      <w:tr w:rsidR="0097090C" w:rsidRPr="00CD105F" w14:paraId="60B5C2E1" w14:textId="77777777" w:rsidTr="0097090C">
        <w:trPr>
          <w:trHeight w:val="255"/>
        </w:trPr>
        <w:tc>
          <w:tcPr>
            <w:tcW w:w="4772" w:type="dxa"/>
            <w:tcBorders>
              <w:top w:val="nil"/>
              <w:left w:val="nil"/>
              <w:bottom w:val="nil"/>
              <w:right w:val="nil"/>
            </w:tcBorders>
            <w:shd w:val="clear" w:color="auto" w:fill="auto"/>
            <w:noWrap/>
            <w:vAlign w:val="center"/>
            <w:hideMark/>
          </w:tcPr>
          <w:p w14:paraId="59F13D2A"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000000" w:fill="D9D9D9"/>
            <w:noWrap/>
            <w:vAlign w:val="center"/>
            <w:hideMark/>
          </w:tcPr>
          <w:p w14:paraId="16C45285" w14:textId="77777777" w:rsidR="0097090C" w:rsidRPr="00CD105F" w:rsidRDefault="0097090C" w:rsidP="0097090C">
            <w:pPr>
              <w:jc w:val="right"/>
              <w:rPr>
                <w:rFonts w:cs="Arial"/>
                <w:color w:val="000000"/>
              </w:rPr>
            </w:pPr>
            <w:r w:rsidRPr="00CD105F">
              <w:rPr>
                <w:rFonts w:cs="Arial"/>
                <w:color w:val="000000"/>
              </w:rPr>
              <w:t> </w:t>
            </w:r>
          </w:p>
        </w:tc>
        <w:tc>
          <w:tcPr>
            <w:tcW w:w="1147" w:type="dxa"/>
            <w:tcBorders>
              <w:top w:val="nil"/>
              <w:left w:val="nil"/>
              <w:bottom w:val="nil"/>
              <w:right w:val="nil"/>
            </w:tcBorders>
            <w:shd w:val="clear" w:color="auto" w:fill="auto"/>
            <w:noWrap/>
            <w:vAlign w:val="center"/>
            <w:hideMark/>
          </w:tcPr>
          <w:p w14:paraId="049E7F21" w14:textId="77777777" w:rsidR="0097090C" w:rsidRPr="00CD105F" w:rsidRDefault="0097090C" w:rsidP="0097090C">
            <w:pPr>
              <w:jc w:val="right"/>
              <w:rPr>
                <w:rFonts w:cs="Arial"/>
                <w:color w:val="000000"/>
              </w:rPr>
            </w:pPr>
          </w:p>
        </w:tc>
        <w:tc>
          <w:tcPr>
            <w:tcW w:w="1147" w:type="dxa"/>
            <w:tcBorders>
              <w:top w:val="nil"/>
              <w:left w:val="nil"/>
              <w:bottom w:val="nil"/>
              <w:right w:val="nil"/>
            </w:tcBorders>
            <w:shd w:val="clear" w:color="000000" w:fill="D9D9D9"/>
            <w:noWrap/>
            <w:vAlign w:val="center"/>
            <w:hideMark/>
          </w:tcPr>
          <w:p w14:paraId="4F7FBB0D" w14:textId="77777777" w:rsidR="0097090C" w:rsidRPr="00CD105F" w:rsidRDefault="0097090C" w:rsidP="0097090C">
            <w:pPr>
              <w:jc w:val="right"/>
              <w:rPr>
                <w:rFonts w:cs="Arial"/>
                <w:color w:val="000000"/>
              </w:rPr>
            </w:pPr>
            <w:r w:rsidRPr="00CD105F">
              <w:rPr>
                <w:rFonts w:cs="Arial"/>
                <w:color w:val="000000"/>
              </w:rPr>
              <w:t> </w:t>
            </w:r>
          </w:p>
        </w:tc>
        <w:tc>
          <w:tcPr>
            <w:tcW w:w="1147" w:type="dxa"/>
            <w:tcBorders>
              <w:top w:val="nil"/>
              <w:left w:val="nil"/>
              <w:bottom w:val="nil"/>
              <w:right w:val="nil"/>
            </w:tcBorders>
            <w:shd w:val="clear" w:color="auto" w:fill="auto"/>
            <w:noWrap/>
            <w:vAlign w:val="center"/>
            <w:hideMark/>
          </w:tcPr>
          <w:p w14:paraId="7237C60D" w14:textId="77777777" w:rsidR="0097090C" w:rsidRPr="00CD105F" w:rsidRDefault="0097090C" w:rsidP="0097090C">
            <w:pPr>
              <w:jc w:val="right"/>
              <w:rPr>
                <w:rFonts w:cs="Arial"/>
                <w:color w:val="000000"/>
              </w:rPr>
            </w:pPr>
          </w:p>
        </w:tc>
      </w:tr>
      <w:tr w:rsidR="0097090C" w:rsidRPr="00CD105F" w14:paraId="60C32E44" w14:textId="77777777" w:rsidTr="0097090C">
        <w:trPr>
          <w:trHeight w:val="285"/>
        </w:trPr>
        <w:tc>
          <w:tcPr>
            <w:tcW w:w="4772" w:type="dxa"/>
            <w:tcBorders>
              <w:top w:val="single" w:sz="4" w:space="0" w:color="auto"/>
              <w:left w:val="nil"/>
              <w:bottom w:val="single" w:sz="4" w:space="0" w:color="auto"/>
              <w:right w:val="nil"/>
            </w:tcBorders>
            <w:shd w:val="clear" w:color="auto" w:fill="auto"/>
            <w:vAlign w:val="center"/>
            <w:hideMark/>
          </w:tcPr>
          <w:p w14:paraId="380209C8" w14:textId="77777777" w:rsidR="0097090C" w:rsidRPr="00CD105F" w:rsidRDefault="0097090C" w:rsidP="0097090C">
            <w:pPr>
              <w:rPr>
                <w:rFonts w:cs="Arial"/>
                <w:b/>
                <w:bCs/>
                <w:color w:val="000000"/>
              </w:rPr>
            </w:pPr>
            <w:r w:rsidRPr="00CD105F">
              <w:rPr>
                <w:rFonts w:cs="Arial"/>
                <w:b/>
                <w:bCs/>
                <w:color w:val="000000"/>
              </w:rPr>
              <w:t>Total Annualised Employee Equivalent (AEE)</w:t>
            </w:r>
          </w:p>
        </w:tc>
        <w:tc>
          <w:tcPr>
            <w:tcW w:w="1147" w:type="dxa"/>
            <w:tcBorders>
              <w:top w:val="single" w:sz="4" w:space="0" w:color="auto"/>
              <w:left w:val="nil"/>
              <w:bottom w:val="single" w:sz="4" w:space="0" w:color="auto"/>
              <w:right w:val="nil"/>
            </w:tcBorders>
            <w:shd w:val="clear" w:color="000000" w:fill="D9D9D9"/>
            <w:vAlign w:val="center"/>
            <w:hideMark/>
          </w:tcPr>
          <w:p w14:paraId="413E018B" w14:textId="77777777" w:rsidR="0097090C" w:rsidRPr="00CD105F" w:rsidRDefault="0097090C" w:rsidP="0097090C">
            <w:pPr>
              <w:jc w:val="right"/>
              <w:rPr>
                <w:rFonts w:cs="Arial"/>
                <w:b/>
                <w:bCs/>
                <w:color w:val="000000"/>
              </w:rPr>
            </w:pPr>
            <w:r w:rsidRPr="00CD105F">
              <w:rPr>
                <w:rFonts w:cs="Arial"/>
                <w:b/>
                <w:bCs/>
                <w:color w:val="000000"/>
              </w:rPr>
              <w:t>3.0</w:t>
            </w:r>
          </w:p>
        </w:tc>
        <w:tc>
          <w:tcPr>
            <w:tcW w:w="1147" w:type="dxa"/>
            <w:tcBorders>
              <w:top w:val="single" w:sz="4" w:space="0" w:color="auto"/>
              <w:left w:val="nil"/>
              <w:bottom w:val="single" w:sz="4" w:space="0" w:color="auto"/>
              <w:right w:val="nil"/>
            </w:tcBorders>
            <w:shd w:val="clear" w:color="auto" w:fill="auto"/>
            <w:vAlign w:val="center"/>
            <w:hideMark/>
          </w:tcPr>
          <w:p w14:paraId="02CDFAB5" w14:textId="77777777" w:rsidR="0097090C" w:rsidRPr="00CD105F" w:rsidRDefault="0097090C" w:rsidP="0097090C">
            <w:pPr>
              <w:jc w:val="right"/>
              <w:rPr>
                <w:rFonts w:cs="Arial"/>
                <w:b/>
                <w:bCs/>
                <w:color w:val="000000"/>
              </w:rPr>
            </w:pPr>
            <w:r w:rsidRPr="00CD105F">
              <w:rPr>
                <w:rFonts w:cs="Arial"/>
                <w:b/>
                <w:bCs/>
                <w:color w:val="000000"/>
              </w:rPr>
              <w:t>3.0</w:t>
            </w:r>
          </w:p>
        </w:tc>
        <w:tc>
          <w:tcPr>
            <w:tcW w:w="1147" w:type="dxa"/>
            <w:tcBorders>
              <w:top w:val="single" w:sz="4" w:space="0" w:color="auto"/>
              <w:left w:val="nil"/>
              <w:bottom w:val="single" w:sz="4" w:space="0" w:color="auto"/>
              <w:right w:val="nil"/>
            </w:tcBorders>
            <w:shd w:val="clear" w:color="000000" w:fill="D9D9D9"/>
            <w:vAlign w:val="center"/>
            <w:hideMark/>
          </w:tcPr>
          <w:p w14:paraId="331790A0" w14:textId="77777777" w:rsidR="0097090C" w:rsidRPr="00CD105F" w:rsidRDefault="0097090C" w:rsidP="0097090C">
            <w:pPr>
              <w:jc w:val="right"/>
              <w:rPr>
                <w:rFonts w:cs="Arial"/>
                <w:b/>
                <w:bCs/>
                <w:color w:val="000000"/>
              </w:rPr>
            </w:pPr>
            <w:r w:rsidRPr="00CD105F">
              <w:rPr>
                <w:rFonts w:cs="Arial"/>
                <w:b/>
                <w:bCs/>
                <w:color w:val="000000"/>
              </w:rPr>
              <w:t>3.0</w:t>
            </w:r>
          </w:p>
        </w:tc>
        <w:tc>
          <w:tcPr>
            <w:tcW w:w="1147" w:type="dxa"/>
            <w:tcBorders>
              <w:top w:val="single" w:sz="4" w:space="0" w:color="auto"/>
              <w:left w:val="nil"/>
              <w:bottom w:val="single" w:sz="4" w:space="0" w:color="auto"/>
              <w:right w:val="nil"/>
            </w:tcBorders>
            <w:shd w:val="clear" w:color="auto" w:fill="auto"/>
            <w:vAlign w:val="center"/>
            <w:hideMark/>
          </w:tcPr>
          <w:p w14:paraId="2A141DAD" w14:textId="77777777" w:rsidR="0097090C" w:rsidRPr="00CD105F" w:rsidRDefault="0097090C" w:rsidP="0097090C">
            <w:pPr>
              <w:jc w:val="right"/>
              <w:rPr>
                <w:rFonts w:cs="Arial"/>
                <w:b/>
                <w:bCs/>
                <w:color w:val="000000"/>
              </w:rPr>
            </w:pPr>
            <w:r w:rsidRPr="00CD105F">
              <w:rPr>
                <w:rFonts w:cs="Arial"/>
                <w:b/>
                <w:bCs/>
                <w:color w:val="000000"/>
              </w:rPr>
              <w:t>3.0</w:t>
            </w:r>
          </w:p>
        </w:tc>
      </w:tr>
      <w:tr w:rsidR="0097090C" w:rsidRPr="00CD105F" w14:paraId="07F0EB7F" w14:textId="77777777" w:rsidTr="0097090C">
        <w:trPr>
          <w:trHeight w:val="255"/>
        </w:trPr>
        <w:tc>
          <w:tcPr>
            <w:tcW w:w="4772" w:type="dxa"/>
            <w:tcBorders>
              <w:top w:val="nil"/>
              <w:left w:val="nil"/>
              <w:bottom w:val="nil"/>
              <w:right w:val="nil"/>
            </w:tcBorders>
            <w:shd w:val="clear" w:color="auto" w:fill="auto"/>
            <w:noWrap/>
            <w:vAlign w:val="center"/>
            <w:hideMark/>
          </w:tcPr>
          <w:p w14:paraId="3AD2DE4A"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000000" w:fill="D9D9D9"/>
            <w:noWrap/>
            <w:vAlign w:val="center"/>
            <w:hideMark/>
          </w:tcPr>
          <w:p w14:paraId="46A692D3" w14:textId="77777777" w:rsidR="0097090C" w:rsidRPr="00CD105F" w:rsidRDefault="0097090C" w:rsidP="0097090C">
            <w:pPr>
              <w:jc w:val="right"/>
              <w:rPr>
                <w:rFonts w:cs="Arial"/>
                <w:color w:val="000000"/>
              </w:rPr>
            </w:pPr>
            <w:r w:rsidRPr="00CD105F">
              <w:rPr>
                <w:rFonts w:cs="Arial"/>
                <w:color w:val="000000"/>
              </w:rPr>
              <w:t> </w:t>
            </w:r>
          </w:p>
        </w:tc>
        <w:tc>
          <w:tcPr>
            <w:tcW w:w="1147" w:type="dxa"/>
            <w:tcBorders>
              <w:top w:val="nil"/>
              <w:left w:val="nil"/>
              <w:bottom w:val="nil"/>
              <w:right w:val="nil"/>
            </w:tcBorders>
            <w:shd w:val="clear" w:color="auto" w:fill="auto"/>
            <w:noWrap/>
            <w:vAlign w:val="center"/>
            <w:hideMark/>
          </w:tcPr>
          <w:p w14:paraId="7F5B8F9A" w14:textId="77777777" w:rsidR="0097090C" w:rsidRPr="00CD105F" w:rsidRDefault="0097090C" w:rsidP="0097090C">
            <w:pPr>
              <w:jc w:val="right"/>
              <w:rPr>
                <w:rFonts w:cs="Arial"/>
                <w:color w:val="000000"/>
              </w:rPr>
            </w:pPr>
          </w:p>
        </w:tc>
        <w:tc>
          <w:tcPr>
            <w:tcW w:w="1147" w:type="dxa"/>
            <w:tcBorders>
              <w:top w:val="nil"/>
              <w:left w:val="nil"/>
              <w:bottom w:val="nil"/>
              <w:right w:val="nil"/>
            </w:tcBorders>
            <w:shd w:val="clear" w:color="000000" w:fill="D9D9D9"/>
            <w:noWrap/>
            <w:vAlign w:val="center"/>
            <w:hideMark/>
          </w:tcPr>
          <w:p w14:paraId="76A0F6CF" w14:textId="77777777" w:rsidR="0097090C" w:rsidRPr="00CD105F" w:rsidRDefault="0097090C" w:rsidP="0097090C">
            <w:pPr>
              <w:jc w:val="right"/>
              <w:rPr>
                <w:rFonts w:cs="Arial"/>
                <w:color w:val="000000"/>
              </w:rPr>
            </w:pPr>
            <w:r w:rsidRPr="00CD105F">
              <w:rPr>
                <w:rFonts w:cs="Arial"/>
                <w:color w:val="000000"/>
              </w:rPr>
              <w:t> </w:t>
            </w:r>
          </w:p>
        </w:tc>
        <w:tc>
          <w:tcPr>
            <w:tcW w:w="1147" w:type="dxa"/>
            <w:tcBorders>
              <w:top w:val="nil"/>
              <w:left w:val="nil"/>
              <w:bottom w:val="nil"/>
              <w:right w:val="nil"/>
            </w:tcBorders>
            <w:shd w:val="clear" w:color="auto" w:fill="auto"/>
            <w:noWrap/>
            <w:vAlign w:val="center"/>
            <w:hideMark/>
          </w:tcPr>
          <w:p w14:paraId="18296ABF" w14:textId="77777777" w:rsidR="0097090C" w:rsidRPr="00CD105F" w:rsidRDefault="0097090C" w:rsidP="0097090C">
            <w:pPr>
              <w:jc w:val="right"/>
              <w:rPr>
                <w:rFonts w:cs="Arial"/>
                <w:color w:val="000000"/>
              </w:rPr>
            </w:pPr>
          </w:p>
        </w:tc>
      </w:tr>
      <w:tr w:rsidR="0097090C" w:rsidRPr="00CD105F" w14:paraId="0497107A" w14:textId="77777777" w:rsidTr="0097090C">
        <w:trPr>
          <w:trHeight w:val="285"/>
        </w:trPr>
        <w:tc>
          <w:tcPr>
            <w:tcW w:w="4772" w:type="dxa"/>
            <w:tcBorders>
              <w:top w:val="single" w:sz="4" w:space="0" w:color="auto"/>
              <w:left w:val="nil"/>
              <w:bottom w:val="single" w:sz="4" w:space="0" w:color="auto"/>
              <w:right w:val="nil"/>
            </w:tcBorders>
            <w:shd w:val="clear" w:color="auto" w:fill="auto"/>
            <w:noWrap/>
            <w:vAlign w:val="center"/>
            <w:hideMark/>
          </w:tcPr>
          <w:p w14:paraId="40870CE7" w14:textId="77777777" w:rsidR="0097090C" w:rsidRPr="00CD105F" w:rsidRDefault="0097090C" w:rsidP="0097090C">
            <w:pPr>
              <w:rPr>
                <w:rFonts w:cs="Arial"/>
                <w:b/>
                <w:bCs/>
                <w:color w:val="000000"/>
              </w:rPr>
            </w:pPr>
            <w:r w:rsidRPr="00CD105F">
              <w:rPr>
                <w:rFonts w:cs="Arial"/>
                <w:b/>
                <w:bCs/>
                <w:color w:val="000000"/>
              </w:rPr>
              <w:t xml:space="preserve">Total </w:t>
            </w:r>
          </w:p>
        </w:tc>
        <w:tc>
          <w:tcPr>
            <w:tcW w:w="1147" w:type="dxa"/>
            <w:tcBorders>
              <w:top w:val="single" w:sz="4" w:space="0" w:color="auto"/>
              <w:left w:val="nil"/>
              <w:bottom w:val="single" w:sz="4" w:space="0" w:color="auto"/>
              <w:right w:val="nil"/>
            </w:tcBorders>
            <w:shd w:val="clear" w:color="000000" w:fill="D9D9D9"/>
            <w:noWrap/>
            <w:vAlign w:val="center"/>
            <w:hideMark/>
          </w:tcPr>
          <w:p w14:paraId="1806C260" w14:textId="77777777" w:rsidR="0097090C" w:rsidRPr="00CD105F" w:rsidRDefault="0097090C" w:rsidP="0097090C">
            <w:pPr>
              <w:jc w:val="right"/>
              <w:rPr>
                <w:rFonts w:cs="Arial"/>
                <w:b/>
                <w:bCs/>
                <w:color w:val="000000"/>
              </w:rPr>
            </w:pPr>
            <w:r w:rsidRPr="00CD105F">
              <w:rPr>
                <w:rFonts w:cs="Arial"/>
                <w:b/>
                <w:bCs/>
                <w:color w:val="000000"/>
              </w:rPr>
              <w:t>$677,000</w:t>
            </w:r>
          </w:p>
        </w:tc>
        <w:tc>
          <w:tcPr>
            <w:tcW w:w="1147" w:type="dxa"/>
            <w:tcBorders>
              <w:top w:val="single" w:sz="4" w:space="0" w:color="auto"/>
              <w:left w:val="nil"/>
              <w:bottom w:val="single" w:sz="4" w:space="0" w:color="auto"/>
              <w:right w:val="nil"/>
            </w:tcBorders>
            <w:shd w:val="clear" w:color="auto" w:fill="auto"/>
            <w:noWrap/>
            <w:vAlign w:val="center"/>
            <w:hideMark/>
          </w:tcPr>
          <w:p w14:paraId="565BA927" w14:textId="77777777" w:rsidR="0097090C" w:rsidRPr="00CD105F" w:rsidRDefault="0097090C" w:rsidP="0097090C">
            <w:pPr>
              <w:jc w:val="right"/>
              <w:rPr>
                <w:rFonts w:cs="Arial"/>
                <w:b/>
                <w:bCs/>
                <w:color w:val="000000"/>
              </w:rPr>
            </w:pPr>
            <w:r w:rsidRPr="00CD105F">
              <w:rPr>
                <w:rFonts w:cs="Arial"/>
                <w:b/>
                <w:bCs/>
                <w:color w:val="000000"/>
              </w:rPr>
              <w:t>$658,000</w:t>
            </w:r>
          </w:p>
        </w:tc>
        <w:tc>
          <w:tcPr>
            <w:tcW w:w="1147" w:type="dxa"/>
            <w:tcBorders>
              <w:top w:val="single" w:sz="4" w:space="0" w:color="auto"/>
              <w:left w:val="nil"/>
              <w:bottom w:val="single" w:sz="4" w:space="0" w:color="auto"/>
              <w:right w:val="nil"/>
            </w:tcBorders>
            <w:shd w:val="clear" w:color="000000" w:fill="D9D9D9"/>
            <w:noWrap/>
            <w:vAlign w:val="center"/>
            <w:hideMark/>
          </w:tcPr>
          <w:p w14:paraId="15751390" w14:textId="77777777" w:rsidR="0097090C" w:rsidRPr="00CD105F" w:rsidRDefault="0097090C" w:rsidP="0097090C">
            <w:pPr>
              <w:jc w:val="right"/>
              <w:rPr>
                <w:rFonts w:cs="Arial"/>
                <w:b/>
                <w:bCs/>
                <w:color w:val="000000"/>
              </w:rPr>
            </w:pPr>
            <w:r w:rsidRPr="00CD105F">
              <w:rPr>
                <w:rFonts w:cs="Arial"/>
                <w:b/>
                <w:bCs/>
                <w:color w:val="000000"/>
              </w:rPr>
              <w:t>$601,000</w:t>
            </w:r>
          </w:p>
        </w:tc>
        <w:tc>
          <w:tcPr>
            <w:tcW w:w="1147" w:type="dxa"/>
            <w:tcBorders>
              <w:top w:val="single" w:sz="4" w:space="0" w:color="auto"/>
              <w:left w:val="nil"/>
              <w:bottom w:val="single" w:sz="4" w:space="0" w:color="auto"/>
              <w:right w:val="nil"/>
            </w:tcBorders>
            <w:shd w:val="clear" w:color="auto" w:fill="auto"/>
            <w:noWrap/>
            <w:vAlign w:val="center"/>
            <w:hideMark/>
          </w:tcPr>
          <w:p w14:paraId="477C3F59" w14:textId="77777777" w:rsidR="0097090C" w:rsidRPr="00CD105F" w:rsidRDefault="0097090C" w:rsidP="0097090C">
            <w:pPr>
              <w:jc w:val="right"/>
              <w:rPr>
                <w:rFonts w:cs="Arial"/>
                <w:b/>
                <w:bCs/>
                <w:color w:val="000000"/>
              </w:rPr>
            </w:pPr>
            <w:r w:rsidRPr="00CD105F">
              <w:rPr>
                <w:rFonts w:cs="Arial"/>
                <w:b/>
                <w:bCs/>
                <w:color w:val="000000"/>
              </w:rPr>
              <w:t>$586,000</w:t>
            </w:r>
          </w:p>
        </w:tc>
      </w:tr>
      <w:tr w:rsidR="0097090C" w:rsidRPr="00CD105F" w14:paraId="1518A1FC" w14:textId="77777777" w:rsidTr="0097090C">
        <w:trPr>
          <w:trHeight w:val="255"/>
        </w:trPr>
        <w:tc>
          <w:tcPr>
            <w:tcW w:w="4772" w:type="dxa"/>
            <w:tcBorders>
              <w:top w:val="nil"/>
              <w:left w:val="nil"/>
              <w:bottom w:val="nil"/>
              <w:right w:val="nil"/>
            </w:tcBorders>
            <w:shd w:val="clear" w:color="auto" w:fill="auto"/>
            <w:noWrap/>
            <w:vAlign w:val="center"/>
            <w:hideMark/>
          </w:tcPr>
          <w:p w14:paraId="325FD550"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2187325C"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5AA3B429"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55436056"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14D39C1C" w14:textId="77777777" w:rsidR="0097090C" w:rsidRPr="00CD105F" w:rsidRDefault="0097090C" w:rsidP="0097090C">
            <w:pPr>
              <w:rPr>
                <w:rFonts w:cs="Arial"/>
                <w:color w:val="000000"/>
              </w:rPr>
            </w:pPr>
          </w:p>
        </w:tc>
      </w:tr>
      <w:tr w:rsidR="0097090C" w:rsidRPr="00CD105F" w14:paraId="77C61367" w14:textId="77777777" w:rsidTr="0097090C">
        <w:trPr>
          <w:trHeight w:val="255"/>
        </w:trPr>
        <w:tc>
          <w:tcPr>
            <w:tcW w:w="4772" w:type="dxa"/>
            <w:tcBorders>
              <w:top w:val="nil"/>
              <w:left w:val="nil"/>
              <w:bottom w:val="nil"/>
              <w:right w:val="nil"/>
            </w:tcBorders>
            <w:shd w:val="clear" w:color="auto" w:fill="auto"/>
            <w:noWrap/>
            <w:vAlign w:val="center"/>
            <w:hideMark/>
          </w:tcPr>
          <w:p w14:paraId="6D0B02C8" w14:textId="77777777" w:rsidR="0097090C" w:rsidRPr="00CD105F" w:rsidRDefault="0097090C" w:rsidP="0097090C">
            <w:pPr>
              <w:rPr>
                <w:rFonts w:cs="Arial"/>
                <w:b/>
                <w:bCs/>
                <w:color w:val="000000"/>
              </w:rPr>
            </w:pPr>
            <w:r w:rsidRPr="00CD105F">
              <w:rPr>
                <w:rFonts w:cs="Arial"/>
                <w:b/>
                <w:bCs/>
                <w:color w:val="000000"/>
              </w:rPr>
              <w:t>16(e) Reconciliation of executive numbers</w:t>
            </w:r>
          </w:p>
        </w:tc>
        <w:tc>
          <w:tcPr>
            <w:tcW w:w="1147" w:type="dxa"/>
            <w:tcBorders>
              <w:top w:val="nil"/>
              <w:left w:val="nil"/>
              <w:bottom w:val="nil"/>
              <w:right w:val="nil"/>
            </w:tcBorders>
            <w:shd w:val="clear" w:color="auto" w:fill="auto"/>
            <w:noWrap/>
            <w:vAlign w:val="center"/>
            <w:hideMark/>
          </w:tcPr>
          <w:p w14:paraId="5A76A260"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14401020"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78B74788"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2A40172E" w14:textId="77777777" w:rsidR="0097090C" w:rsidRPr="00CD105F" w:rsidRDefault="0097090C" w:rsidP="0097090C">
            <w:pPr>
              <w:rPr>
                <w:rFonts w:cs="Arial"/>
                <w:color w:val="000000"/>
              </w:rPr>
            </w:pPr>
          </w:p>
        </w:tc>
      </w:tr>
      <w:tr w:rsidR="0097090C" w:rsidRPr="00CD105F" w14:paraId="08898A5A" w14:textId="77777777" w:rsidTr="0097090C">
        <w:trPr>
          <w:trHeight w:val="255"/>
        </w:trPr>
        <w:tc>
          <w:tcPr>
            <w:tcW w:w="4772" w:type="dxa"/>
            <w:tcBorders>
              <w:top w:val="single" w:sz="4" w:space="0" w:color="auto"/>
              <w:left w:val="nil"/>
              <w:bottom w:val="single" w:sz="4" w:space="0" w:color="auto"/>
              <w:right w:val="nil"/>
            </w:tcBorders>
            <w:shd w:val="clear" w:color="auto" w:fill="auto"/>
            <w:noWrap/>
            <w:vAlign w:val="center"/>
            <w:hideMark/>
          </w:tcPr>
          <w:p w14:paraId="04E35281" w14:textId="77777777" w:rsidR="0097090C" w:rsidRPr="00CD105F" w:rsidRDefault="0097090C" w:rsidP="0097090C">
            <w:pPr>
              <w:rPr>
                <w:rFonts w:cs="Arial"/>
                <w:color w:val="000000"/>
              </w:rPr>
            </w:pPr>
            <w:r w:rsidRPr="00CD105F">
              <w:rPr>
                <w:rFonts w:cs="Arial"/>
                <w:color w:val="000000"/>
              </w:rPr>
              <w:t> </w:t>
            </w:r>
          </w:p>
        </w:tc>
        <w:tc>
          <w:tcPr>
            <w:tcW w:w="1147" w:type="dxa"/>
            <w:tcBorders>
              <w:top w:val="single" w:sz="4" w:space="0" w:color="auto"/>
              <w:left w:val="nil"/>
              <w:bottom w:val="single" w:sz="4" w:space="0" w:color="auto"/>
              <w:right w:val="nil"/>
            </w:tcBorders>
            <w:shd w:val="clear" w:color="auto" w:fill="auto"/>
            <w:noWrap/>
            <w:vAlign w:val="center"/>
            <w:hideMark/>
          </w:tcPr>
          <w:p w14:paraId="1FE0CA8C" w14:textId="77777777" w:rsidR="0097090C" w:rsidRPr="00CD105F" w:rsidRDefault="0097090C" w:rsidP="0097090C">
            <w:pPr>
              <w:rPr>
                <w:rFonts w:cs="Arial"/>
                <w:color w:val="000000"/>
              </w:rPr>
            </w:pPr>
            <w:r w:rsidRPr="00CD105F">
              <w:rPr>
                <w:rFonts w:cs="Arial"/>
                <w:color w:val="000000"/>
              </w:rPr>
              <w:t> </w:t>
            </w:r>
          </w:p>
        </w:tc>
        <w:tc>
          <w:tcPr>
            <w:tcW w:w="1147" w:type="dxa"/>
            <w:tcBorders>
              <w:top w:val="single" w:sz="4" w:space="0" w:color="auto"/>
              <w:left w:val="nil"/>
              <w:bottom w:val="single" w:sz="4" w:space="0" w:color="auto"/>
              <w:right w:val="nil"/>
            </w:tcBorders>
            <w:shd w:val="clear" w:color="auto" w:fill="auto"/>
            <w:noWrap/>
            <w:vAlign w:val="center"/>
            <w:hideMark/>
          </w:tcPr>
          <w:p w14:paraId="0DC732BB" w14:textId="77777777" w:rsidR="0097090C" w:rsidRPr="00CD105F" w:rsidRDefault="0097090C" w:rsidP="0097090C">
            <w:pPr>
              <w:rPr>
                <w:rFonts w:cs="Arial"/>
                <w:color w:val="000000"/>
              </w:rPr>
            </w:pPr>
            <w:r w:rsidRPr="00CD105F">
              <w:rPr>
                <w:rFonts w:cs="Arial"/>
                <w:color w:val="000000"/>
              </w:rPr>
              <w:t> </w:t>
            </w:r>
          </w:p>
        </w:tc>
        <w:tc>
          <w:tcPr>
            <w:tcW w:w="1147" w:type="dxa"/>
            <w:tcBorders>
              <w:top w:val="single" w:sz="4" w:space="0" w:color="auto"/>
              <w:left w:val="nil"/>
              <w:bottom w:val="single" w:sz="4" w:space="0" w:color="auto"/>
              <w:right w:val="nil"/>
            </w:tcBorders>
            <w:shd w:val="clear" w:color="000000" w:fill="D9D9D9"/>
            <w:noWrap/>
            <w:vAlign w:val="center"/>
            <w:hideMark/>
          </w:tcPr>
          <w:p w14:paraId="2DF1E98E" w14:textId="77777777" w:rsidR="0097090C" w:rsidRPr="00CD105F" w:rsidRDefault="0097090C" w:rsidP="0097090C">
            <w:pPr>
              <w:jc w:val="right"/>
              <w:rPr>
                <w:rFonts w:cs="Arial"/>
                <w:color w:val="000000"/>
              </w:rPr>
            </w:pPr>
            <w:r w:rsidRPr="00CD105F">
              <w:rPr>
                <w:rFonts w:cs="Arial"/>
                <w:color w:val="000000"/>
              </w:rPr>
              <w:t>2016</w:t>
            </w:r>
          </w:p>
        </w:tc>
        <w:tc>
          <w:tcPr>
            <w:tcW w:w="1147" w:type="dxa"/>
            <w:tcBorders>
              <w:top w:val="single" w:sz="4" w:space="0" w:color="auto"/>
              <w:left w:val="nil"/>
              <w:bottom w:val="single" w:sz="4" w:space="0" w:color="auto"/>
              <w:right w:val="nil"/>
            </w:tcBorders>
            <w:shd w:val="clear" w:color="auto" w:fill="auto"/>
            <w:noWrap/>
            <w:vAlign w:val="center"/>
            <w:hideMark/>
          </w:tcPr>
          <w:p w14:paraId="3499BA36" w14:textId="77777777" w:rsidR="0097090C" w:rsidRPr="00CD105F" w:rsidRDefault="0097090C" w:rsidP="0097090C">
            <w:pPr>
              <w:jc w:val="right"/>
              <w:rPr>
                <w:rFonts w:cs="Arial"/>
                <w:color w:val="000000"/>
              </w:rPr>
            </w:pPr>
            <w:r w:rsidRPr="00CD105F">
              <w:rPr>
                <w:rFonts w:cs="Arial"/>
                <w:color w:val="000000"/>
              </w:rPr>
              <w:t>2015</w:t>
            </w:r>
          </w:p>
        </w:tc>
      </w:tr>
      <w:tr w:rsidR="0097090C" w:rsidRPr="00CD105F" w14:paraId="7F50DCD3" w14:textId="77777777" w:rsidTr="0097090C">
        <w:trPr>
          <w:trHeight w:val="255"/>
        </w:trPr>
        <w:tc>
          <w:tcPr>
            <w:tcW w:w="4772" w:type="dxa"/>
            <w:tcBorders>
              <w:top w:val="nil"/>
              <w:left w:val="nil"/>
              <w:bottom w:val="nil"/>
              <w:right w:val="nil"/>
            </w:tcBorders>
            <w:shd w:val="clear" w:color="auto" w:fill="auto"/>
            <w:noWrap/>
            <w:vAlign w:val="center"/>
            <w:hideMark/>
          </w:tcPr>
          <w:p w14:paraId="1F8D6548" w14:textId="77777777" w:rsidR="0097090C" w:rsidRPr="00CD105F" w:rsidRDefault="0097090C" w:rsidP="0097090C">
            <w:pPr>
              <w:rPr>
                <w:rFonts w:cs="Arial"/>
                <w:color w:val="000000"/>
              </w:rPr>
            </w:pPr>
            <w:r w:rsidRPr="00CD105F">
              <w:rPr>
                <w:rFonts w:cs="Arial"/>
                <w:color w:val="000000"/>
              </w:rPr>
              <w:t>Executives with remuneration over $100,000</w:t>
            </w:r>
          </w:p>
        </w:tc>
        <w:tc>
          <w:tcPr>
            <w:tcW w:w="1147" w:type="dxa"/>
            <w:tcBorders>
              <w:top w:val="nil"/>
              <w:left w:val="nil"/>
              <w:bottom w:val="nil"/>
              <w:right w:val="nil"/>
            </w:tcBorders>
            <w:shd w:val="clear" w:color="auto" w:fill="auto"/>
            <w:noWrap/>
            <w:vAlign w:val="center"/>
            <w:hideMark/>
          </w:tcPr>
          <w:p w14:paraId="0E7332AE"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746C0789"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000000" w:fill="D9D9D9"/>
            <w:noWrap/>
            <w:vAlign w:val="center"/>
            <w:hideMark/>
          </w:tcPr>
          <w:p w14:paraId="6F6A1A2A" w14:textId="77777777" w:rsidR="0097090C" w:rsidRPr="00CD105F" w:rsidRDefault="0097090C" w:rsidP="0097090C">
            <w:pPr>
              <w:jc w:val="right"/>
              <w:rPr>
                <w:rFonts w:cs="Arial"/>
                <w:color w:val="000000"/>
              </w:rPr>
            </w:pPr>
            <w:r w:rsidRPr="00CD105F">
              <w:rPr>
                <w:rFonts w:cs="Arial"/>
                <w:color w:val="000000"/>
              </w:rPr>
              <w:t>3</w:t>
            </w:r>
          </w:p>
        </w:tc>
        <w:tc>
          <w:tcPr>
            <w:tcW w:w="1147" w:type="dxa"/>
            <w:tcBorders>
              <w:top w:val="nil"/>
              <w:left w:val="nil"/>
              <w:bottom w:val="nil"/>
              <w:right w:val="nil"/>
            </w:tcBorders>
            <w:shd w:val="clear" w:color="auto" w:fill="auto"/>
            <w:noWrap/>
            <w:vAlign w:val="center"/>
            <w:hideMark/>
          </w:tcPr>
          <w:p w14:paraId="547A9FCA" w14:textId="77777777" w:rsidR="0097090C" w:rsidRPr="00CD105F" w:rsidRDefault="0097090C" w:rsidP="0097090C">
            <w:pPr>
              <w:jc w:val="right"/>
              <w:rPr>
                <w:rFonts w:cs="Arial"/>
                <w:color w:val="000000"/>
              </w:rPr>
            </w:pPr>
            <w:r w:rsidRPr="00CD105F">
              <w:rPr>
                <w:rFonts w:cs="Arial"/>
                <w:color w:val="000000"/>
              </w:rPr>
              <w:t>3</w:t>
            </w:r>
          </w:p>
        </w:tc>
      </w:tr>
      <w:tr w:rsidR="0097090C" w:rsidRPr="00CD105F" w14:paraId="3590136E" w14:textId="77777777" w:rsidTr="0097090C">
        <w:trPr>
          <w:trHeight w:val="255"/>
        </w:trPr>
        <w:tc>
          <w:tcPr>
            <w:tcW w:w="4772" w:type="dxa"/>
            <w:tcBorders>
              <w:top w:val="nil"/>
              <w:left w:val="nil"/>
              <w:bottom w:val="nil"/>
              <w:right w:val="nil"/>
            </w:tcBorders>
            <w:shd w:val="clear" w:color="auto" w:fill="auto"/>
            <w:noWrap/>
            <w:vAlign w:val="center"/>
            <w:hideMark/>
          </w:tcPr>
          <w:p w14:paraId="5C347FB0" w14:textId="77777777" w:rsidR="0097090C" w:rsidRPr="00CD105F" w:rsidRDefault="0097090C" w:rsidP="0097090C">
            <w:pPr>
              <w:rPr>
                <w:rFonts w:cs="Arial"/>
                <w:color w:val="000000"/>
              </w:rPr>
            </w:pPr>
            <w:r w:rsidRPr="00CD105F">
              <w:rPr>
                <w:rFonts w:cs="Arial"/>
                <w:i/>
                <w:iCs/>
                <w:color w:val="000000"/>
              </w:rPr>
              <w:t>Add</w:t>
            </w:r>
            <w:r w:rsidRPr="00CD105F">
              <w:rPr>
                <w:rFonts w:cs="Arial"/>
                <w:color w:val="000000"/>
              </w:rPr>
              <w:t xml:space="preserve"> Accountable Officer (Chief Executive Officer)</w:t>
            </w:r>
          </w:p>
        </w:tc>
        <w:tc>
          <w:tcPr>
            <w:tcW w:w="1147" w:type="dxa"/>
            <w:tcBorders>
              <w:top w:val="nil"/>
              <w:left w:val="nil"/>
              <w:bottom w:val="nil"/>
              <w:right w:val="nil"/>
            </w:tcBorders>
            <w:shd w:val="clear" w:color="auto" w:fill="auto"/>
            <w:noWrap/>
            <w:vAlign w:val="center"/>
            <w:hideMark/>
          </w:tcPr>
          <w:p w14:paraId="651378A6"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auto" w:fill="auto"/>
            <w:noWrap/>
            <w:vAlign w:val="center"/>
            <w:hideMark/>
          </w:tcPr>
          <w:p w14:paraId="37085FDB" w14:textId="77777777" w:rsidR="0097090C" w:rsidRPr="00CD105F" w:rsidRDefault="0097090C" w:rsidP="0097090C">
            <w:pPr>
              <w:rPr>
                <w:rFonts w:cs="Arial"/>
                <w:color w:val="000000"/>
              </w:rPr>
            </w:pPr>
          </w:p>
        </w:tc>
        <w:tc>
          <w:tcPr>
            <w:tcW w:w="1147" w:type="dxa"/>
            <w:tcBorders>
              <w:top w:val="nil"/>
              <w:left w:val="nil"/>
              <w:bottom w:val="nil"/>
              <w:right w:val="nil"/>
            </w:tcBorders>
            <w:shd w:val="clear" w:color="000000" w:fill="D9D9D9"/>
            <w:noWrap/>
            <w:vAlign w:val="center"/>
            <w:hideMark/>
          </w:tcPr>
          <w:p w14:paraId="57522F72" w14:textId="77777777" w:rsidR="0097090C" w:rsidRPr="00CD105F" w:rsidRDefault="0097090C" w:rsidP="0097090C">
            <w:pPr>
              <w:jc w:val="right"/>
              <w:rPr>
                <w:rFonts w:cs="Arial"/>
                <w:color w:val="000000"/>
              </w:rPr>
            </w:pPr>
            <w:r w:rsidRPr="00CD105F">
              <w:rPr>
                <w:rFonts w:cs="Arial"/>
                <w:color w:val="000000"/>
              </w:rPr>
              <w:t>1</w:t>
            </w:r>
          </w:p>
        </w:tc>
        <w:tc>
          <w:tcPr>
            <w:tcW w:w="1147" w:type="dxa"/>
            <w:tcBorders>
              <w:top w:val="nil"/>
              <w:left w:val="nil"/>
              <w:bottom w:val="nil"/>
              <w:right w:val="nil"/>
            </w:tcBorders>
            <w:shd w:val="clear" w:color="auto" w:fill="auto"/>
            <w:noWrap/>
            <w:vAlign w:val="center"/>
            <w:hideMark/>
          </w:tcPr>
          <w:p w14:paraId="06F30EEB" w14:textId="77777777" w:rsidR="0097090C" w:rsidRPr="00CD105F" w:rsidRDefault="0097090C" w:rsidP="0097090C">
            <w:pPr>
              <w:jc w:val="right"/>
              <w:rPr>
                <w:rFonts w:cs="Arial"/>
                <w:color w:val="000000"/>
              </w:rPr>
            </w:pPr>
            <w:r w:rsidRPr="00CD105F">
              <w:rPr>
                <w:rFonts w:cs="Arial"/>
                <w:color w:val="000000"/>
              </w:rPr>
              <w:t>1</w:t>
            </w:r>
          </w:p>
        </w:tc>
      </w:tr>
      <w:tr w:rsidR="0097090C" w:rsidRPr="00CD105F" w14:paraId="03B6E3F3" w14:textId="77777777" w:rsidTr="0097090C">
        <w:trPr>
          <w:trHeight w:val="300"/>
        </w:trPr>
        <w:tc>
          <w:tcPr>
            <w:tcW w:w="4772" w:type="dxa"/>
            <w:tcBorders>
              <w:top w:val="single" w:sz="4" w:space="0" w:color="auto"/>
              <w:left w:val="nil"/>
              <w:bottom w:val="single" w:sz="4" w:space="0" w:color="auto"/>
              <w:right w:val="nil"/>
            </w:tcBorders>
            <w:shd w:val="clear" w:color="auto" w:fill="auto"/>
            <w:noWrap/>
            <w:vAlign w:val="center"/>
            <w:hideMark/>
          </w:tcPr>
          <w:p w14:paraId="7346366E" w14:textId="77777777" w:rsidR="0097090C" w:rsidRPr="00CD105F" w:rsidRDefault="0097090C" w:rsidP="0097090C">
            <w:pPr>
              <w:rPr>
                <w:rFonts w:cs="Arial"/>
                <w:b/>
                <w:bCs/>
                <w:color w:val="000000"/>
              </w:rPr>
            </w:pPr>
            <w:r w:rsidRPr="00CD105F">
              <w:rPr>
                <w:rFonts w:cs="Arial"/>
                <w:b/>
                <w:bCs/>
                <w:color w:val="000000"/>
              </w:rPr>
              <w:t>Total executive numbers at 30 June</w:t>
            </w:r>
          </w:p>
        </w:tc>
        <w:tc>
          <w:tcPr>
            <w:tcW w:w="1147" w:type="dxa"/>
            <w:tcBorders>
              <w:top w:val="single" w:sz="4" w:space="0" w:color="auto"/>
              <w:left w:val="nil"/>
              <w:bottom w:val="single" w:sz="4" w:space="0" w:color="auto"/>
              <w:right w:val="nil"/>
            </w:tcBorders>
            <w:shd w:val="clear" w:color="auto" w:fill="auto"/>
            <w:noWrap/>
            <w:vAlign w:val="center"/>
            <w:hideMark/>
          </w:tcPr>
          <w:p w14:paraId="67A30123" w14:textId="77777777" w:rsidR="0097090C" w:rsidRPr="00CD105F" w:rsidRDefault="0097090C" w:rsidP="0097090C">
            <w:pPr>
              <w:rPr>
                <w:rFonts w:cs="Arial"/>
                <w:b/>
                <w:bCs/>
                <w:color w:val="000000"/>
              </w:rPr>
            </w:pPr>
            <w:r w:rsidRPr="00CD105F">
              <w:rPr>
                <w:rFonts w:cs="Arial"/>
                <w:b/>
                <w:bCs/>
                <w:color w:val="000000"/>
              </w:rPr>
              <w:t> </w:t>
            </w:r>
          </w:p>
        </w:tc>
        <w:tc>
          <w:tcPr>
            <w:tcW w:w="1147" w:type="dxa"/>
            <w:tcBorders>
              <w:top w:val="single" w:sz="4" w:space="0" w:color="auto"/>
              <w:left w:val="nil"/>
              <w:bottom w:val="single" w:sz="4" w:space="0" w:color="auto"/>
              <w:right w:val="nil"/>
            </w:tcBorders>
            <w:shd w:val="clear" w:color="auto" w:fill="auto"/>
            <w:noWrap/>
            <w:vAlign w:val="center"/>
            <w:hideMark/>
          </w:tcPr>
          <w:p w14:paraId="736F7A32" w14:textId="77777777" w:rsidR="0097090C" w:rsidRPr="00CD105F" w:rsidRDefault="0097090C" w:rsidP="0097090C">
            <w:pPr>
              <w:rPr>
                <w:rFonts w:cs="Arial"/>
                <w:b/>
                <w:bCs/>
                <w:color w:val="000000"/>
              </w:rPr>
            </w:pPr>
            <w:r w:rsidRPr="00CD105F">
              <w:rPr>
                <w:rFonts w:cs="Arial"/>
                <w:b/>
                <w:bCs/>
                <w:color w:val="000000"/>
              </w:rPr>
              <w:t> </w:t>
            </w:r>
          </w:p>
        </w:tc>
        <w:tc>
          <w:tcPr>
            <w:tcW w:w="1147" w:type="dxa"/>
            <w:tcBorders>
              <w:top w:val="single" w:sz="4" w:space="0" w:color="auto"/>
              <w:left w:val="nil"/>
              <w:bottom w:val="single" w:sz="4" w:space="0" w:color="auto"/>
              <w:right w:val="nil"/>
            </w:tcBorders>
            <w:shd w:val="clear" w:color="000000" w:fill="D9D9D9"/>
            <w:noWrap/>
            <w:vAlign w:val="center"/>
            <w:hideMark/>
          </w:tcPr>
          <w:p w14:paraId="16AFD23E" w14:textId="77777777" w:rsidR="0097090C" w:rsidRPr="00CD105F" w:rsidRDefault="0097090C" w:rsidP="0097090C">
            <w:pPr>
              <w:jc w:val="right"/>
              <w:rPr>
                <w:rFonts w:cs="Arial"/>
                <w:b/>
                <w:bCs/>
                <w:color w:val="000000"/>
              </w:rPr>
            </w:pPr>
            <w:r w:rsidRPr="00CD105F">
              <w:rPr>
                <w:rFonts w:cs="Arial"/>
                <w:b/>
                <w:bCs/>
                <w:color w:val="000000"/>
              </w:rPr>
              <w:t>4</w:t>
            </w:r>
          </w:p>
        </w:tc>
        <w:tc>
          <w:tcPr>
            <w:tcW w:w="1147" w:type="dxa"/>
            <w:tcBorders>
              <w:top w:val="single" w:sz="4" w:space="0" w:color="auto"/>
              <w:left w:val="nil"/>
              <w:bottom w:val="single" w:sz="4" w:space="0" w:color="auto"/>
              <w:right w:val="nil"/>
            </w:tcBorders>
            <w:shd w:val="clear" w:color="auto" w:fill="auto"/>
            <w:noWrap/>
            <w:vAlign w:val="center"/>
            <w:hideMark/>
          </w:tcPr>
          <w:p w14:paraId="72215496" w14:textId="77777777" w:rsidR="0097090C" w:rsidRPr="00CD105F" w:rsidRDefault="0097090C" w:rsidP="0097090C">
            <w:pPr>
              <w:jc w:val="right"/>
              <w:rPr>
                <w:rFonts w:cs="Arial"/>
                <w:b/>
                <w:bCs/>
                <w:color w:val="000000"/>
              </w:rPr>
            </w:pPr>
            <w:r w:rsidRPr="00CD105F">
              <w:rPr>
                <w:rFonts w:cs="Arial"/>
                <w:b/>
                <w:bCs/>
                <w:color w:val="000000"/>
              </w:rPr>
              <w:t>4</w:t>
            </w:r>
          </w:p>
        </w:tc>
      </w:tr>
    </w:tbl>
    <w:p w14:paraId="1A5392A8" w14:textId="77777777" w:rsidR="0097090C" w:rsidRDefault="0097090C" w:rsidP="0097090C">
      <w:pPr>
        <w:spacing w:before="60" w:after="60"/>
        <w:rPr>
          <w:rFonts w:cs="Arial"/>
          <w:b/>
          <w:szCs w:val="22"/>
        </w:rPr>
      </w:pPr>
    </w:p>
    <w:p w14:paraId="132E0569" w14:textId="77777777" w:rsidR="0097090C" w:rsidRDefault="0097090C" w:rsidP="0097090C">
      <w:pPr>
        <w:pStyle w:val="Heading5"/>
      </w:pPr>
      <w:r>
        <w:t>16(e) Ex Gratia Expenses</w:t>
      </w:r>
    </w:p>
    <w:p w14:paraId="67924078" w14:textId="77777777" w:rsidR="0097090C" w:rsidRPr="003731A3" w:rsidRDefault="0097090C" w:rsidP="0097090C">
      <w:pPr>
        <w:tabs>
          <w:tab w:val="left" w:pos="0"/>
          <w:tab w:val="left" w:pos="720"/>
          <w:tab w:val="left" w:pos="1440"/>
        </w:tabs>
        <w:spacing w:before="120"/>
        <w:rPr>
          <w:color w:val="000000"/>
        </w:rPr>
      </w:pPr>
      <w:r w:rsidRPr="003731A3">
        <w:rPr>
          <w:color w:val="000000"/>
        </w:rPr>
        <w:t>There were no ex gratia expenses in aggregate or individually in excess of $5,000 (2014/2015 – nil).</w:t>
      </w:r>
    </w:p>
    <w:p w14:paraId="70C025B1" w14:textId="77777777" w:rsidR="0097090C" w:rsidRDefault="0097090C" w:rsidP="0097090C">
      <w:pPr>
        <w:spacing w:before="60" w:after="60"/>
        <w:rPr>
          <w:rFonts w:cs="Arial"/>
          <w:b/>
          <w:szCs w:val="22"/>
        </w:rPr>
      </w:pPr>
    </w:p>
    <w:p w14:paraId="1672D8EF" w14:textId="77777777" w:rsidR="0097090C" w:rsidRPr="00097A22" w:rsidRDefault="0097090C" w:rsidP="0097090C">
      <w:pPr>
        <w:pStyle w:val="Heading5"/>
      </w:pPr>
      <w:r>
        <w:t xml:space="preserve">17. </w:t>
      </w:r>
      <w:r w:rsidRPr="00097A22">
        <w:t>Superannuation</w:t>
      </w:r>
    </w:p>
    <w:p w14:paraId="4EF91660" w14:textId="77777777" w:rsidR="0097090C" w:rsidRPr="008C7785" w:rsidRDefault="0097090C" w:rsidP="0097090C">
      <w:pPr>
        <w:tabs>
          <w:tab w:val="left" w:pos="0"/>
          <w:tab w:val="left" w:pos="720"/>
          <w:tab w:val="left" w:pos="1440"/>
        </w:tabs>
        <w:spacing w:before="120"/>
        <w:rPr>
          <w:color w:val="000000"/>
        </w:rPr>
      </w:pPr>
      <w:r w:rsidRPr="008C7785">
        <w:rPr>
          <w:color w:val="000000"/>
        </w:rPr>
        <w:t>Museum Victoria is required to recognise all superannuation payments as expenses in its comprehensive operating statement.  The Department of Treasury and Finance shall recognise the aggregate unfunded superannuation liability relating to employing entities in its financial statements of 30 June 201</w:t>
      </w:r>
      <w:r>
        <w:rPr>
          <w:color w:val="000000"/>
        </w:rPr>
        <w:t>6</w:t>
      </w:r>
      <w:r w:rsidRPr="008C7785">
        <w:rPr>
          <w:color w:val="000000"/>
        </w:rPr>
        <w:t xml:space="preserve"> as the Victorian Government has assumed responsibility for this liability.</w:t>
      </w:r>
    </w:p>
    <w:p w14:paraId="44DC3AA4" w14:textId="77777777" w:rsidR="0097090C" w:rsidRDefault="0097090C" w:rsidP="0097090C">
      <w:pPr>
        <w:rPr>
          <w:rFonts w:cs="Arial"/>
        </w:rPr>
      </w:pPr>
    </w:p>
    <w:p w14:paraId="4FC27048" w14:textId="77777777" w:rsidR="0097090C" w:rsidRDefault="0097090C" w:rsidP="0097090C">
      <w:pPr>
        <w:rPr>
          <w:rFonts w:cs="Arial"/>
        </w:rPr>
      </w:pPr>
      <w:r w:rsidRPr="001F2E97">
        <w:rPr>
          <w:rFonts w:cs="Arial"/>
        </w:rPr>
        <w:t>There were no contributions outstanding at the year</w:t>
      </w:r>
      <w:r>
        <w:rPr>
          <w:rFonts w:cs="Arial"/>
        </w:rPr>
        <w:t xml:space="preserve"> end. </w:t>
      </w:r>
      <w:r w:rsidRPr="001F2E97">
        <w:rPr>
          <w:rFonts w:cs="Arial"/>
        </w:rPr>
        <w:t>The major employee superannuation funds and</w:t>
      </w:r>
      <w:r>
        <w:rPr>
          <w:rFonts w:cs="Arial"/>
        </w:rPr>
        <w:t xml:space="preserve"> </w:t>
      </w:r>
      <w:r w:rsidRPr="001F2E97">
        <w:rPr>
          <w:rFonts w:cs="Arial"/>
        </w:rPr>
        <w:t>c</w:t>
      </w:r>
      <w:r>
        <w:rPr>
          <w:rFonts w:cs="Arial"/>
        </w:rPr>
        <w:t xml:space="preserve">ontributions paid or payable by Museums Board </w:t>
      </w:r>
      <w:r w:rsidRPr="001F2E97">
        <w:rPr>
          <w:rFonts w:cs="Arial"/>
        </w:rPr>
        <w:t>of Victoria are</w:t>
      </w:r>
      <w:r>
        <w:rPr>
          <w:rFonts w:cs="Arial"/>
        </w:rPr>
        <w:t xml:space="preserve"> </w:t>
      </w:r>
      <w:r w:rsidRPr="001F2E97">
        <w:rPr>
          <w:rFonts w:cs="Arial"/>
        </w:rPr>
        <w:t>as follows. The total amount of superannuation excludes amounts</w:t>
      </w:r>
      <w:r>
        <w:rPr>
          <w:rFonts w:cs="Arial"/>
        </w:rPr>
        <w:t xml:space="preserve"> </w:t>
      </w:r>
      <w:r w:rsidRPr="001F2E97">
        <w:rPr>
          <w:rFonts w:cs="Arial"/>
        </w:rPr>
        <w:t>paid under salary sacrifice arrangements.</w:t>
      </w:r>
    </w:p>
    <w:p w14:paraId="715A57AA" w14:textId="77777777" w:rsidR="0097090C" w:rsidRDefault="0097090C" w:rsidP="0097090C">
      <w:pPr>
        <w:rPr>
          <w:rFonts w:cs="Arial"/>
        </w:rPr>
      </w:pPr>
    </w:p>
    <w:tbl>
      <w:tblPr>
        <w:tblW w:w="9360" w:type="dxa"/>
        <w:tblInd w:w="108" w:type="dxa"/>
        <w:tblLook w:val="04A0" w:firstRow="1" w:lastRow="0" w:firstColumn="1" w:lastColumn="0" w:noHBand="0" w:noVBand="1"/>
      </w:tblPr>
      <w:tblGrid>
        <w:gridCol w:w="6095"/>
        <w:gridCol w:w="731"/>
        <w:gridCol w:w="1267"/>
        <w:gridCol w:w="1267"/>
      </w:tblGrid>
      <w:tr w:rsidR="0097090C" w:rsidRPr="00E14A9A" w14:paraId="58DC1AC5" w14:textId="77777777" w:rsidTr="0097090C">
        <w:trPr>
          <w:trHeight w:val="300"/>
        </w:trPr>
        <w:tc>
          <w:tcPr>
            <w:tcW w:w="6095" w:type="dxa"/>
            <w:tcBorders>
              <w:top w:val="single" w:sz="4" w:space="0" w:color="auto"/>
              <w:left w:val="nil"/>
              <w:bottom w:val="single" w:sz="4" w:space="0" w:color="auto"/>
              <w:right w:val="nil"/>
            </w:tcBorders>
            <w:shd w:val="clear" w:color="auto" w:fill="auto"/>
            <w:noWrap/>
            <w:vAlign w:val="center"/>
            <w:hideMark/>
          </w:tcPr>
          <w:p w14:paraId="31E208F9" w14:textId="77777777" w:rsidR="0097090C" w:rsidRPr="00E14A9A" w:rsidRDefault="0097090C" w:rsidP="0097090C">
            <w:pPr>
              <w:rPr>
                <w:rFonts w:cs="Arial"/>
                <w:color w:val="000000"/>
              </w:rPr>
            </w:pPr>
            <w:r w:rsidRPr="00E14A9A">
              <w:rPr>
                <w:rFonts w:cs="Arial"/>
                <w:color w:val="000000"/>
              </w:rPr>
              <w:t> </w:t>
            </w:r>
          </w:p>
        </w:tc>
        <w:tc>
          <w:tcPr>
            <w:tcW w:w="731" w:type="dxa"/>
            <w:tcBorders>
              <w:top w:val="single" w:sz="4" w:space="0" w:color="auto"/>
              <w:left w:val="nil"/>
              <w:bottom w:val="single" w:sz="4" w:space="0" w:color="auto"/>
              <w:right w:val="nil"/>
            </w:tcBorders>
            <w:shd w:val="clear" w:color="auto" w:fill="auto"/>
            <w:noWrap/>
            <w:vAlign w:val="center"/>
            <w:hideMark/>
          </w:tcPr>
          <w:p w14:paraId="477F07CE" w14:textId="77777777" w:rsidR="0097090C" w:rsidRPr="00E14A9A" w:rsidRDefault="0097090C" w:rsidP="0097090C">
            <w:pPr>
              <w:jc w:val="center"/>
              <w:rPr>
                <w:rFonts w:cs="Arial"/>
                <w:color w:val="000000"/>
              </w:rPr>
            </w:pPr>
            <w:r w:rsidRPr="00E14A9A">
              <w:rPr>
                <w:rFonts w:cs="Arial"/>
                <w:color w:val="000000"/>
              </w:rPr>
              <w:t> </w:t>
            </w:r>
          </w:p>
        </w:tc>
        <w:tc>
          <w:tcPr>
            <w:tcW w:w="1267" w:type="dxa"/>
            <w:tcBorders>
              <w:top w:val="single" w:sz="4" w:space="0" w:color="auto"/>
              <w:left w:val="nil"/>
              <w:bottom w:val="single" w:sz="4" w:space="0" w:color="auto"/>
              <w:right w:val="nil"/>
            </w:tcBorders>
            <w:shd w:val="clear" w:color="000000" w:fill="D9D9D9"/>
            <w:noWrap/>
            <w:vAlign w:val="center"/>
            <w:hideMark/>
          </w:tcPr>
          <w:p w14:paraId="6F5B5162" w14:textId="77777777" w:rsidR="0097090C" w:rsidRPr="00E14A9A" w:rsidRDefault="0097090C" w:rsidP="0097090C">
            <w:pPr>
              <w:jc w:val="right"/>
              <w:rPr>
                <w:rFonts w:cs="Arial"/>
                <w:color w:val="000000"/>
              </w:rPr>
            </w:pPr>
            <w:r w:rsidRPr="00E14A9A">
              <w:rPr>
                <w:rFonts w:cs="Arial"/>
                <w:color w:val="000000"/>
              </w:rPr>
              <w:t>2016</w:t>
            </w:r>
          </w:p>
        </w:tc>
        <w:tc>
          <w:tcPr>
            <w:tcW w:w="1267" w:type="dxa"/>
            <w:tcBorders>
              <w:top w:val="single" w:sz="4" w:space="0" w:color="auto"/>
              <w:left w:val="nil"/>
              <w:bottom w:val="single" w:sz="4" w:space="0" w:color="auto"/>
              <w:right w:val="nil"/>
            </w:tcBorders>
            <w:shd w:val="clear" w:color="auto" w:fill="auto"/>
            <w:noWrap/>
            <w:vAlign w:val="center"/>
            <w:hideMark/>
          </w:tcPr>
          <w:p w14:paraId="1D4E1DDB" w14:textId="77777777" w:rsidR="0097090C" w:rsidRPr="00E14A9A" w:rsidRDefault="0097090C" w:rsidP="0097090C">
            <w:pPr>
              <w:jc w:val="right"/>
              <w:rPr>
                <w:rFonts w:cs="Arial"/>
                <w:color w:val="000000"/>
              </w:rPr>
            </w:pPr>
            <w:r w:rsidRPr="00E14A9A">
              <w:rPr>
                <w:rFonts w:cs="Arial"/>
                <w:color w:val="000000"/>
              </w:rPr>
              <w:t>2015</w:t>
            </w:r>
          </w:p>
        </w:tc>
      </w:tr>
      <w:tr w:rsidR="0097090C" w:rsidRPr="00E14A9A" w14:paraId="226FBD2D" w14:textId="77777777" w:rsidTr="0097090C">
        <w:trPr>
          <w:trHeight w:val="300"/>
        </w:trPr>
        <w:tc>
          <w:tcPr>
            <w:tcW w:w="6095" w:type="dxa"/>
            <w:tcBorders>
              <w:top w:val="nil"/>
              <w:left w:val="nil"/>
              <w:bottom w:val="single" w:sz="4" w:space="0" w:color="auto"/>
              <w:right w:val="nil"/>
            </w:tcBorders>
            <w:shd w:val="clear" w:color="auto" w:fill="auto"/>
            <w:noWrap/>
            <w:vAlign w:val="center"/>
            <w:hideMark/>
          </w:tcPr>
          <w:p w14:paraId="0EFBEAF6" w14:textId="77777777" w:rsidR="0097090C" w:rsidRPr="00E14A9A" w:rsidRDefault="0097090C" w:rsidP="0097090C">
            <w:pPr>
              <w:rPr>
                <w:rFonts w:cs="Arial"/>
                <w:color w:val="000000"/>
              </w:rPr>
            </w:pPr>
            <w:r w:rsidRPr="00E14A9A">
              <w:rPr>
                <w:rFonts w:cs="Arial"/>
                <w:color w:val="000000"/>
              </w:rPr>
              <w:t> </w:t>
            </w:r>
          </w:p>
        </w:tc>
        <w:tc>
          <w:tcPr>
            <w:tcW w:w="731" w:type="dxa"/>
            <w:tcBorders>
              <w:top w:val="nil"/>
              <w:left w:val="nil"/>
              <w:bottom w:val="single" w:sz="4" w:space="0" w:color="auto"/>
              <w:right w:val="nil"/>
            </w:tcBorders>
            <w:shd w:val="clear" w:color="auto" w:fill="auto"/>
            <w:noWrap/>
            <w:vAlign w:val="center"/>
            <w:hideMark/>
          </w:tcPr>
          <w:p w14:paraId="7171885A" w14:textId="77777777" w:rsidR="0097090C" w:rsidRPr="00E14A9A" w:rsidRDefault="0097090C" w:rsidP="0097090C">
            <w:pPr>
              <w:rPr>
                <w:rFonts w:cs="Arial"/>
                <w:color w:val="000000"/>
              </w:rPr>
            </w:pPr>
            <w:r w:rsidRPr="00E14A9A">
              <w:rPr>
                <w:rFonts w:cs="Arial"/>
                <w:color w:val="000000"/>
              </w:rPr>
              <w:t> </w:t>
            </w:r>
          </w:p>
        </w:tc>
        <w:tc>
          <w:tcPr>
            <w:tcW w:w="1267" w:type="dxa"/>
            <w:tcBorders>
              <w:top w:val="nil"/>
              <w:left w:val="nil"/>
              <w:bottom w:val="single" w:sz="4" w:space="0" w:color="auto"/>
              <w:right w:val="nil"/>
            </w:tcBorders>
            <w:shd w:val="clear" w:color="000000" w:fill="D9D9D9"/>
            <w:noWrap/>
            <w:vAlign w:val="center"/>
            <w:hideMark/>
          </w:tcPr>
          <w:p w14:paraId="2B88CC3F" w14:textId="77777777" w:rsidR="0097090C" w:rsidRPr="00E14A9A" w:rsidRDefault="0097090C" w:rsidP="0097090C">
            <w:pPr>
              <w:jc w:val="right"/>
              <w:rPr>
                <w:rFonts w:cs="Arial"/>
                <w:color w:val="000000"/>
              </w:rPr>
            </w:pPr>
            <w:r w:rsidRPr="00E14A9A">
              <w:rPr>
                <w:rFonts w:cs="Arial"/>
                <w:color w:val="000000"/>
              </w:rPr>
              <w:t>$'000</w:t>
            </w:r>
          </w:p>
        </w:tc>
        <w:tc>
          <w:tcPr>
            <w:tcW w:w="1267" w:type="dxa"/>
            <w:tcBorders>
              <w:top w:val="nil"/>
              <w:left w:val="nil"/>
              <w:bottom w:val="single" w:sz="4" w:space="0" w:color="auto"/>
              <w:right w:val="nil"/>
            </w:tcBorders>
            <w:shd w:val="clear" w:color="auto" w:fill="auto"/>
            <w:noWrap/>
            <w:vAlign w:val="center"/>
            <w:hideMark/>
          </w:tcPr>
          <w:p w14:paraId="3A1067ED" w14:textId="77777777" w:rsidR="0097090C" w:rsidRPr="00E14A9A" w:rsidRDefault="0097090C" w:rsidP="0097090C">
            <w:pPr>
              <w:jc w:val="right"/>
              <w:rPr>
                <w:rFonts w:cs="Arial"/>
                <w:color w:val="000000"/>
              </w:rPr>
            </w:pPr>
            <w:r w:rsidRPr="00E14A9A">
              <w:rPr>
                <w:rFonts w:cs="Arial"/>
                <w:color w:val="000000"/>
              </w:rPr>
              <w:t>$'000</w:t>
            </w:r>
          </w:p>
        </w:tc>
      </w:tr>
      <w:tr w:rsidR="0097090C" w:rsidRPr="00E14A9A" w14:paraId="72D232E1" w14:textId="77777777" w:rsidTr="0097090C">
        <w:trPr>
          <w:trHeight w:val="300"/>
        </w:trPr>
        <w:tc>
          <w:tcPr>
            <w:tcW w:w="6095" w:type="dxa"/>
            <w:tcBorders>
              <w:top w:val="nil"/>
              <w:left w:val="nil"/>
              <w:bottom w:val="nil"/>
              <w:right w:val="nil"/>
            </w:tcBorders>
            <w:shd w:val="clear" w:color="auto" w:fill="auto"/>
            <w:vAlign w:val="center"/>
            <w:hideMark/>
          </w:tcPr>
          <w:p w14:paraId="33B9252A" w14:textId="77777777" w:rsidR="0097090C" w:rsidRPr="00E14A9A" w:rsidRDefault="0097090C" w:rsidP="0097090C">
            <w:pPr>
              <w:rPr>
                <w:rFonts w:cs="Arial"/>
                <w:color w:val="000000"/>
              </w:rPr>
            </w:pPr>
            <w:r w:rsidRPr="00E14A9A">
              <w:rPr>
                <w:rFonts w:cs="Arial"/>
                <w:color w:val="000000"/>
              </w:rPr>
              <w:t>State Superannuation Fund (VicSuper Scheme)</w:t>
            </w:r>
          </w:p>
        </w:tc>
        <w:tc>
          <w:tcPr>
            <w:tcW w:w="731" w:type="dxa"/>
            <w:tcBorders>
              <w:top w:val="nil"/>
              <w:left w:val="nil"/>
              <w:bottom w:val="nil"/>
              <w:right w:val="nil"/>
            </w:tcBorders>
            <w:shd w:val="clear" w:color="auto" w:fill="auto"/>
            <w:vAlign w:val="center"/>
            <w:hideMark/>
          </w:tcPr>
          <w:p w14:paraId="60D3907A" w14:textId="77777777" w:rsidR="0097090C" w:rsidRPr="00E14A9A"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2F5A7874" w14:textId="77777777" w:rsidR="0097090C" w:rsidRPr="00E14A9A" w:rsidRDefault="0097090C" w:rsidP="0097090C">
            <w:pPr>
              <w:jc w:val="right"/>
              <w:rPr>
                <w:rFonts w:cs="Arial"/>
                <w:color w:val="000000"/>
              </w:rPr>
            </w:pPr>
            <w:r w:rsidRPr="00E14A9A">
              <w:rPr>
                <w:rFonts w:cs="Arial"/>
                <w:color w:val="000000"/>
              </w:rPr>
              <w:t>2,146</w:t>
            </w:r>
          </w:p>
        </w:tc>
        <w:tc>
          <w:tcPr>
            <w:tcW w:w="1267" w:type="dxa"/>
            <w:tcBorders>
              <w:top w:val="nil"/>
              <w:left w:val="nil"/>
              <w:bottom w:val="nil"/>
              <w:right w:val="nil"/>
            </w:tcBorders>
            <w:shd w:val="clear" w:color="auto" w:fill="auto"/>
            <w:vAlign w:val="center"/>
            <w:hideMark/>
          </w:tcPr>
          <w:p w14:paraId="3CCBD5B4" w14:textId="77777777" w:rsidR="0097090C" w:rsidRPr="00E14A9A" w:rsidRDefault="0097090C" w:rsidP="0097090C">
            <w:pPr>
              <w:jc w:val="right"/>
              <w:rPr>
                <w:rFonts w:cs="Arial"/>
                <w:color w:val="000000"/>
              </w:rPr>
            </w:pPr>
            <w:r w:rsidRPr="00E14A9A">
              <w:rPr>
                <w:rFonts w:cs="Arial"/>
                <w:color w:val="000000"/>
              </w:rPr>
              <w:t>2024</w:t>
            </w:r>
          </w:p>
        </w:tc>
      </w:tr>
      <w:tr w:rsidR="0097090C" w:rsidRPr="00E14A9A" w14:paraId="6C3AEF4F" w14:textId="77777777" w:rsidTr="0097090C">
        <w:trPr>
          <w:trHeight w:val="300"/>
        </w:trPr>
        <w:tc>
          <w:tcPr>
            <w:tcW w:w="6095" w:type="dxa"/>
            <w:tcBorders>
              <w:top w:val="nil"/>
              <w:left w:val="nil"/>
              <w:bottom w:val="nil"/>
              <w:right w:val="nil"/>
            </w:tcBorders>
            <w:shd w:val="clear" w:color="auto" w:fill="auto"/>
            <w:vAlign w:val="center"/>
            <w:hideMark/>
          </w:tcPr>
          <w:p w14:paraId="04F6CF70" w14:textId="77777777" w:rsidR="0097090C" w:rsidRPr="00E14A9A" w:rsidRDefault="0097090C" w:rsidP="0097090C">
            <w:pPr>
              <w:rPr>
                <w:rFonts w:cs="Arial"/>
                <w:color w:val="000000"/>
              </w:rPr>
            </w:pPr>
            <w:r w:rsidRPr="00E14A9A">
              <w:rPr>
                <w:rFonts w:cs="Arial"/>
                <w:color w:val="000000"/>
              </w:rPr>
              <w:t>State Superannuation Fund (Revised Scheme &amp; New)</w:t>
            </w:r>
          </w:p>
        </w:tc>
        <w:tc>
          <w:tcPr>
            <w:tcW w:w="731" w:type="dxa"/>
            <w:tcBorders>
              <w:top w:val="nil"/>
              <w:left w:val="nil"/>
              <w:bottom w:val="nil"/>
              <w:right w:val="nil"/>
            </w:tcBorders>
            <w:shd w:val="clear" w:color="auto" w:fill="auto"/>
            <w:vAlign w:val="center"/>
            <w:hideMark/>
          </w:tcPr>
          <w:p w14:paraId="0B80AC2B" w14:textId="77777777" w:rsidR="0097090C" w:rsidRPr="00E14A9A"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6259B51A" w14:textId="77777777" w:rsidR="0097090C" w:rsidRPr="00E14A9A" w:rsidRDefault="0097090C" w:rsidP="0097090C">
            <w:pPr>
              <w:jc w:val="right"/>
              <w:rPr>
                <w:rFonts w:cs="Arial"/>
                <w:color w:val="000000"/>
              </w:rPr>
            </w:pPr>
            <w:r w:rsidRPr="00E14A9A">
              <w:rPr>
                <w:rFonts w:cs="Arial"/>
                <w:color w:val="000000"/>
              </w:rPr>
              <w:t>354</w:t>
            </w:r>
          </w:p>
        </w:tc>
        <w:tc>
          <w:tcPr>
            <w:tcW w:w="1267" w:type="dxa"/>
            <w:tcBorders>
              <w:top w:val="nil"/>
              <w:left w:val="nil"/>
              <w:bottom w:val="nil"/>
              <w:right w:val="nil"/>
            </w:tcBorders>
            <w:shd w:val="clear" w:color="auto" w:fill="auto"/>
            <w:vAlign w:val="center"/>
            <w:hideMark/>
          </w:tcPr>
          <w:p w14:paraId="26858B3A" w14:textId="77777777" w:rsidR="0097090C" w:rsidRPr="00E14A9A" w:rsidRDefault="0097090C" w:rsidP="0097090C">
            <w:pPr>
              <w:jc w:val="right"/>
              <w:rPr>
                <w:rFonts w:cs="Arial"/>
                <w:color w:val="000000"/>
              </w:rPr>
            </w:pPr>
            <w:r w:rsidRPr="00E14A9A">
              <w:rPr>
                <w:rFonts w:cs="Arial"/>
                <w:color w:val="000000"/>
              </w:rPr>
              <w:t>400</w:t>
            </w:r>
          </w:p>
        </w:tc>
      </w:tr>
      <w:tr w:rsidR="0097090C" w:rsidRPr="00E14A9A" w14:paraId="6E2C85DE" w14:textId="77777777" w:rsidTr="0097090C">
        <w:trPr>
          <w:trHeight w:val="300"/>
        </w:trPr>
        <w:tc>
          <w:tcPr>
            <w:tcW w:w="6095" w:type="dxa"/>
            <w:tcBorders>
              <w:top w:val="nil"/>
              <w:left w:val="nil"/>
              <w:bottom w:val="nil"/>
              <w:right w:val="nil"/>
            </w:tcBorders>
            <w:shd w:val="clear" w:color="auto" w:fill="auto"/>
            <w:vAlign w:val="center"/>
            <w:hideMark/>
          </w:tcPr>
          <w:p w14:paraId="2BFB8F3B" w14:textId="77777777" w:rsidR="0097090C" w:rsidRPr="00E14A9A" w:rsidRDefault="0097090C" w:rsidP="0097090C">
            <w:pPr>
              <w:rPr>
                <w:rFonts w:cs="Arial"/>
                <w:color w:val="000000"/>
              </w:rPr>
            </w:pPr>
            <w:r w:rsidRPr="00E14A9A">
              <w:rPr>
                <w:rFonts w:cs="Arial"/>
                <w:color w:val="000000"/>
              </w:rPr>
              <w:t>Retail Employees Superannuation Fund</w:t>
            </w:r>
          </w:p>
        </w:tc>
        <w:tc>
          <w:tcPr>
            <w:tcW w:w="731" w:type="dxa"/>
            <w:tcBorders>
              <w:top w:val="nil"/>
              <w:left w:val="nil"/>
              <w:bottom w:val="nil"/>
              <w:right w:val="nil"/>
            </w:tcBorders>
            <w:shd w:val="clear" w:color="auto" w:fill="auto"/>
            <w:vAlign w:val="center"/>
            <w:hideMark/>
          </w:tcPr>
          <w:p w14:paraId="6CB282B4" w14:textId="77777777" w:rsidR="0097090C" w:rsidRPr="00E14A9A"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174D1D0B" w14:textId="77777777" w:rsidR="0097090C" w:rsidRPr="00E14A9A" w:rsidRDefault="0097090C" w:rsidP="0097090C">
            <w:pPr>
              <w:jc w:val="right"/>
              <w:rPr>
                <w:rFonts w:cs="Arial"/>
                <w:color w:val="000000"/>
              </w:rPr>
            </w:pPr>
            <w:r w:rsidRPr="00E14A9A">
              <w:rPr>
                <w:rFonts w:cs="Arial"/>
                <w:color w:val="000000"/>
              </w:rPr>
              <w:t>240</w:t>
            </w:r>
          </w:p>
        </w:tc>
        <w:tc>
          <w:tcPr>
            <w:tcW w:w="1267" w:type="dxa"/>
            <w:tcBorders>
              <w:top w:val="nil"/>
              <w:left w:val="nil"/>
              <w:bottom w:val="nil"/>
              <w:right w:val="nil"/>
            </w:tcBorders>
            <w:shd w:val="clear" w:color="auto" w:fill="auto"/>
            <w:vAlign w:val="center"/>
            <w:hideMark/>
          </w:tcPr>
          <w:p w14:paraId="045FE6F9" w14:textId="77777777" w:rsidR="0097090C" w:rsidRPr="00E14A9A" w:rsidRDefault="0097090C" w:rsidP="0097090C">
            <w:pPr>
              <w:jc w:val="right"/>
              <w:rPr>
                <w:rFonts w:cs="Arial"/>
                <w:color w:val="000000"/>
              </w:rPr>
            </w:pPr>
            <w:r w:rsidRPr="00E14A9A">
              <w:rPr>
                <w:rFonts w:cs="Arial"/>
                <w:color w:val="000000"/>
              </w:rPr>
              <w:t>207</w:t>
            </w:r>
          </w:p>
        </w:tc>
      </w:tr>
      <w:tr w:rsidR="0097090C" w:rsidRPr="00E14A9A" w14:paraId="7238CF88" w14:textId="77777777" w:rsidTr="0097090C">
        <w:trPr>
          <w:trHeight w:val="300"/>
        </w:trPr>
        <w:tc>
          <w:tcPr>
            <w:tcW w:w="6095" w:type="dxa"/>
            <w:tcBorders>
              <w:top w:val="nil"/>
              <w:left w:val="nil"/>
              <w:bottom w:val="nil"/>
              <w:right w:val="nil"/>
            </w:tcBorders>
            <w:shd w:val="clear" w:color="auto" w:fill="auto"/>
            <w:vAlign w:val="center"/>
            <w:hideMark/>
          </w:tcPr>
          <w:p w14:paraId="3D188451" w14:textId="77777777" w:rsidR="0097090C" w:rsidRPr="00E14A9A" w:rsidRDefault="0097090C" w:rsidP="0097090C">
            <w:pPr>
              <w:rPr>
                <w:rFonts w:cs="Arial"/>
                <w:color w:val="000000"/>
              </w:rPr>
            </w:pPr>
            <w:r w:rsidRPr="00E14A9A">
              <w:rPr>
                <w:rFonts w:cs="Arial"/>
                <w:color w:val="000000"/>
              </w:rPr>
              <w:t>Other funds</w:t>
            </w:r>
          </w:p>
        </w:tc>
        <w:tc>
          <w:tcPr>
            <w:tcW w:w="731" w:type="dxa"/>
            <w:tcBorders>
              <w:top w:val="nil"/>
              <w:left w:val="nil"/>
              <w:bottom w:val="nil"/>
              <w:right w:val="nil"/>
            </w:tcBorders>
            <w:shd w:val="clear" w:color="auto" w:fill="auto"/>
            <w:vAlign w:val="center"/>
            <w:hideMark/>
          </w:tcPr>
          <w:p w14:paraId="7098FC34" w14:textId="77777777" w:rsidR="0097090C" w:rsidRPr="00E14A9A"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38103C7F" w14:textId="77777777" w:rsidR="0097090C" w:rsidRPr="00E14A9A" w:rsidRDefault="0097090C" w:rsidP="0097090C">
            <w:pPr>
              <w:jc w:val="right"/>
              <w:rPr>
                <w:rFonts w:cs="Arial"/>
                <w:color w:val="000000"/>
              </w:rPr>
            </w:pPr>
            <w:r w:rsidRPr="00E14A9A">
              <w:rPr>
                <w:rFonts w:cs="Arial"/>
                <w:color w:val="000000"/>
              </w:rPr>
              <w:t>646</w:t>
            </w:r>
          </w:p>
        </w:tc>
        <w:tc>
          <w:tcPr>
            <w:tcW w:w="1267" w:type="dxa"/>
            <w:tcBorders>
              <w:top w:val="nil"/>
              <w:left w:val="nil"/>
              <w:bottom w:val="nil"/>
              <w:right w:val="nil"/>
            </w:tcBorders>
            <w:shd w:val="clear" w:color="auto" w:fill="auto"/>
            <w:vAlign w:val="center"/>
            <w:hideMark/>
          </w:tcPr>
          <w:p w14:paraId="61ED934D" w14:textId="77777777" w:rsidR="0097090C" w:rsidRPr="00E14A9A" w:rsidRDefault="0097090C" w:rsidP="0097090C">
            <w:pPr>
              <w:jc w:val="right"/>
              <w:rPr>
                <w:rFonts w:cs="Arial"/>
                <w:color w:val="000000"/>
              </w:rPr>
            </w:pPr>
            <w:r w:rsidRPr="00E14A9A">
              <w:rPr>
                <w:rFonts w:cs="Arial"/>
                <w:color w:val="000000"/>
              </w:rPr>
              <w:t>593</w:t>
            </w:r>
          </w:p>
        </w:tc>
      </w:tr>
      <w:tr w:rsidR="0097090C" w:rsidRPr="00E14A9A" w14:paraId="4EB73EE0" w14:textId="77777777" w:rsidTr="0097090C">
        <w:trPr>
          <w:trHeight w:val="300"/>
        </w:trPr>
        <w:tc>
          <w:tcPr>
            <w:tcW w:w="6095" w:type="dxa"/>
            <w:tcBorders>
              <w:top w:val="single" w:sz="4" w:space="0" w:color="auto"/>
              <w:left w:val="nil"/>
              <w:bottom w:val="single" w:sz="4" w:space="0" w:color="auto"/>
              <w:right w:val="nil"/>
            </w:tcBorders>
            <w:shd w:val="clear" w:color="auto" w:fill="auto"/>
            <w:vAlign w:val="center"/>
            <w:hideMark/>
          </w:tcPr>
          <w:p w14:paraId="087E7717" w14:textId="77777777" w:rsidR="0097090C" w:rsidRPr="00E14A9A" w:rsidRDefault="0097090C" w:rsidP="0097090C">
            <w:pPr>
              <w:rPr>
                <w:rFonts w:cs="Arial"/>
                <w:b/>
                <w:bCs/>
                <w:color w:val="000000"/>
              </w:rPr>
            </w:pPr>
            <w:r w:rsidRPr="00E14A9A">
              <w:rPr>
                <w:rFonts w:cs="Arial"/>
                <w:b/>
                <w:bCs/>
                <w:color w:val="000000"/>
              </w:rPr>
              <w:t>Total</w:t>
            </w:r>
          </w:p>
        </w:tc>
        <w:tc>
          <w:tcPr>
            <w:tcW w:w="731" w:type="dxa"/>
            <w:tcBorders>
              <w:top w:val="single" w:sz="4" w:space="0" w:color="auto"/>
              <w:left w:val="nil"/>
              <w:bottom w:val="single" w:sz="4" w:space="0" w:color="auto"/>
              <w:right w:val="nil"/>
            </w:tcBorders>
            <w:shd w:val="clear" w:color="auto" w:fill="auto"/>
            <w:vAlign w:val="center"/>
            <w:hideMark/>
          </w:tcPr>
          <w:p w14:paraId="76AB695F" w14:textId="77777777" w:rsidR="0097090C" w:rsidRPr="00E14A9A" w:rsidRDefault="0097090C" w:rsidP="0097090C">
            <w:pPr>
              <w:jc w:val="center"/>
              <w:rPr>
                <w:rFonts w:cs="Arial"/>
                <w:b/>
                <w:bCs/>
                <w:color w:val="000000"/>
              </w:rPr>
            </w:pPr>
            <w:r w:rsidRPr="00E14A9A">
              <w:rPr>
                <w:rFonts w:cs="Arial"/>
                <w:b/>
                <w:b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28F64E4F" w14:textId="77777777" w:rsidR="0097090C" w:rsidRPr="00E14A9A" w:rsidRDefault="0097090C" w:rsidP="0097090C">
            <w:pPr>
              <w:jc w:val="right"/>
              <w:rPr>
                <w:rFonts w:cs="Arial"/>
                <w:b/>
                <w:bCs/>
                <w:color w:val="000000"/>
              </w:rPr>
            </w:pPr>
            <w:r w:rsidRPr="00E14A9A">
              <w:rPr>
                <w:rFonts w:cs="Arial"/>
                <w:b/>
                <w:bCs/>
                <w:color w:val="000000"/>
              </w:rPr>
              <w:t>3,386</w:t>
            </w:r>
          </w:p>
        </w:tc>
        <w:tc>
          <w:tcPr>
            <w:tcW w:w="1267" w:type="dxa"/>
            <w:tcBorders>
              <w:top w:val="single" w:sz="4" w:space="0" w:color="auto"/>
              <w:left w:val="nil"/>
              <w:bottom w:val="single" w:sz="4" w:space="0" w:color="auto"/>
              <w:right w:val="nil"/>
            </w:tcBorders>
            <w:shd w:val="clear" w:color="auto" w:fill="auto"/>
            <w:vAlign w:val="center"/>
            <w:hideMark/>
          </w:tcPr>
          <w:p w14:paraId="0C26FCA7" w14:textId="77777777" w:rsidR="0097090C" w:rsidRPr="00E14A9A" w:rsidRDefault="0097090C" w:rsidP="0097090C">
            <w:pPr>
              <w:jc w:val="right"/>
              <w:rPr>
                <w:rFonts w:cs="Arial"/>
                <w:b/>
                <w:bCs/>
                <w:color w:val="000000"/>
              </w:rPr>
            </w:pPr>
            <w:r w:rsidRPr="00E14A9A">
              <w:rPr>
                <w:rFonts w:cs="Arial"/>
                <w:b/>
                <w:bCs/>
                <w:color w:val="000000"/>
              </w:rPr>
              <w:t>3,224</w:t>
            </w:r>
          </w:p>
        </w:tc>
      </w:tr>
    </w:tbl>
    <w:p w14:paraId="66F3F7A8" w14:textId="77777777" w:rsidR="0097090C" w:rsidRDefault="0097090C" w:rsidP="0097090C">
      <w:pPr>
        <w:pStyle w:val="Heading5"/>
      </w:pPr>
      <w:r w:rsidRPr="00097A22">
        <w:t>18. Leases and Commitments for Expenditure</w:t>
      </w:r>
    </w:p>
    <w:tbl>
      <w:tblPr>
        <w:tblW w:w="9360" w:type="dxa"/>
        <w:tblInd w:w="108" w:type="dxa"/>
        <w:tblLook w:val="04A0" w:firstRow="1" w:lastRow="0" w:firstColumn="1" w:lastColumn="0" w:noHBand="0" w:noVBand="1"/>
      </w:tblPr>
      <w:tblGrid>
        <w:gridCol w:w="6095"/>
        <w:gridCol w:w="731"/>
        <w:gridCol w:w="1267"/>
        <w:gridCol w:w="1267"/>
      </w:tblGrid>
      <w:tr w:rsidR="0097090C" w:rsidRPr="00DC397E" w14:paraId="0F1322F4" w14:textId="77777777" w:rsidTr="0097090C">
        <w:trPr>
          <w:trHeight w:val="285"/>
        </w:trPr>
        <w:tc>
          <w:tcPr>
            <w:tcW w:w="6095" w:type="dxa"/>
            <w:tcBorders>
              <w:top w:val="single" w:sz="4" w:space="0" w:color="auto"/>
              <w:left w:val="nil"/>
              <w:bottom w:val="single" w:sz="4" w:space="0" w:color="auto"/>
              <w:right w:val="nil"/>
            </w:tcBorders>
            <w:shd w:val="clear" w:color="auto" w:fill="auto"/>
            <w:noWrap/>
            <w:vAlign w:val="center"/>
            <w:hideMark/>
          </w:tcPr>
          <w:p w14:paraId="3870D188" w14:textId="77777777" w:rsidR="0097090C" w:rsidRPr="00DC397E" w:rsidRDefault="0097090C" w:rsidP="0097090C">
            <w:pPr>
              <w:rPr>
                <w:rFonts w:cs="Arial"/>
                <w:color w:val="000000"/>
              </w:rPr>
            </w:pPr>
            <w:r w:rsidRPr="00DC397E">
              <w:rPr>
                <w:rFonts w:cs="Arial"/>
                <w:color w:val="000000"/>
              </w:rPr>
              <w:t> </w:t>
            </w:r>
          </w:p>
        </w:tc>
        <w:tc>
          <w:tcPr>
            <w:tcW w:w="731" w:type="dxa"/>
            <w:tcBorders>
              <w:top w:val="single" w:sz="4" w:space="0" w:color="auto"/>
              <w:left w:val="nil"/>
              <w:bottom w:val="single" w:sz="4" w:space="0" w:color="auto"/>
              <w:right w:val="nil"/>
            </w:tcBorders>
            <w:shd w:val="clear" w:color="auto" w:fill="auto"/>
            <w:noWrap/>
            <w:vAlign w:val="center"/>
            <w:hideMark/>
          </w:tcPr>
          <w:p w14:paraId="5B231EA7" w14:textId="77777777" w:rsidR="0097090C" w:rsidRPr="00DC397E" w:rsidRDefault="0097090C" w:rsidP="0097090C">
            <w:pPr>
              <w:jc w:val="center"/>
              <w:rPr>
                <w:rFonts w:cs="Arial"/>
                <w:color w:val="000000"/>
              </w:rPr>
            </w:pPr>
            <w:r w:rsidRPr="00DC397E">
              <w:rPr>
                <w:rFonts w:cs="Arial"/>
                <w:color w:val="000000"/>
              </w:rPr>
              <w:t> </w:t>
            </w:r>
          </w:p>
        </w:tc>
        <w:tc>
          <w:tcPr>
            <w:tcW w:w="1267" w:type="dxa"/>
            <w:tcBorders>
              <w:top w:val="single" w:sz="4" w:space="0" w:color="auto"/>
              <w:left w:val="nil"/>
              <w:bottom w:val="single" w:sz="4" w:space="0" w:color="auto"/>
              <w:right w:val="nil"/>
            </w:tcBorders>
            <w:shd w:val="clear" w:color="000000" w:fill="D9D9D9"/>
            <w:noWrap/>
            <w:vAlign w:val="center"/>
            <w:hideMark/>
          </w:tcPr>
          <w:p w14:paraId="6D5BDB1C" w14:textId="77777777" w:rsidR="0097090C" w:rsidRPr="009A27BA" w:rsidRDefault="0097090C" w:rsidP="0097090C">
            <w:pPr>
              <w:jc w:val="right"/>
              <w:rPr>
                <w:rFonts w:cs="Arial"/>
                <w:b/>
                <w:color w:val="000000"/>
              </w:rPr>
            </w:pPr>
            <w:r w:rsidRPr="009A27BA">
              <w:rPr>
                <w:rFonts w:cs="Arial"/>
                <w:b/>
                <w:color w:val="000000"/>
              </w:rPr>
              <w:t>2016</w:t>
            </w:r>
          </w:p>
        </w:tc>
        <w:tc>
          <w:tcPr>
            <w:tcW w:w="1267" w:type="dxa"/>
            <w:tcBorders>
              <w:top w:val="single" w:sz="4" w:space="0" w:color="auto"/>
              <w:left w:val="nil"/>
              <w:bottom w:val="single" w:sz="4" w:space="0" w:color="auto"/>
              <w:right w:val="nil"/>
            </w:tcBorders>
            <w:shd w:val="clear" w:color="auto" w:fill="auto"/>
            <w:noWrap/>
            <w:vAlign w:val="center"/>
            <w:hideMark/>
          </w:tcPr>
          <w:p w14:paraId="77F1B755" w14:textId="77777777" w:rsidR="0097090C" w:rsidRPr="009A27BA" w:rsidRDefault="0097090C" w:rsidP="0097090C">
            <w:pPr>
              <w:jc w:val="right"/>
              <w:rPr>
                <w:rFonts w:cs="Arial"/>
                <w:b/>
                <w:color w:val="000000"/>
              </w:rPr>
            </w:pPr>
            <w:r w:rsidRPr="009A27BA">
              <w:rPr>
                <w:rFonts w:cs="Arial"/>
                <w:b/>
                <w:color w:val="000000"/>
              </w:rPr>
              <w:t>2015</w:t>
            </w:r>
          </w:p>
        </w:tc>
      </w:tr>
      <w:tr w:rsidR="0097090C" w:rsidRPr="00DC397E" w14:paraId="28977033" w14:textId="77777777" w:rsidTr="0097090C">
        <w:trPr>
          <w:trHeight w:val="285"/>
        </w:trPr>
        <w:tc>
          <w:tcPr>
            <w:tcW w:w="6095" w:type="dxa"/>
            <w:tcBorders>
              <w:top w:val="nil"/>
              <w:left w:val="nil"/>
              <w:bottom w:val="single" w:sz="4" w:space="0" w:color="auto"/>
              <w:right w:val="nil"/>
            </w:tcBorders>
            <w:shd w:val="clear" w:color="auto" w:fill="auto"/>
            <w:noWrap/>
            <w:vAlign w:val="center"/>
            <w:hideMark/>
          </w:tcPr>
          <w:p w14:paraId="6C30B3D8" w14:textId="77777777" w:rsidR="0097090C" w:rsidRPr="00DC397E" w:rsidRDefault="0097090C" w:rsidP="0097090C">
            <w:pPr>
              <w:rPr>
                <w:rFonts w:cs="Arial"/>
                <w:color w:val="000000"/>
              </w:rPr>
            </w:pPr>
            <w:r w:rsidRPr="00DC397E">
              <w:rPr>
                <w:rFonts w:cs="Arial"/>
                <w:color w:val="000000"/>
              </w:rPr>
              <w:t> </w:t>
            </w:r>
          </w:p>
        </w:tc>
        <w:tc>
          <w:tcPr>
            <w:tcW w:w="731" w:type="dxa"/>
            <w:tcBorders>
              <w:top w:val="nil"/>
              <w:left w:val="nil"/>
              <w:bottom w:val="single" w:sz="4" w:space="0" w:color="auto"/>
              <w:right w:val="nil"/>
            </w:tcBorders>
            <w:shd w:val="clear" w:color="auto" w:fill="auto"/>
            <w:noWrap/>
            <w:vAlign w:val="center"/>
            <w:hideMark/>
          </w:tcPr>
          <w:p w14:paraId="23705111" w14:textId="77777777" w:rsidR="0097090C" w:rsidRPr="00DC397E" w:rsidRDefault="0097090C" w:rsidP="0097090C">
            <w:pPr>
              <w:rPr>
                <w:rFonts w:cs="Arial"/>
                <w:color w:val="000000"/>
              </w:rPr>
            </w:pPr>
            <w:r w:rsidRPr="00DC397E">
              <w:rPr>
                <w:rFonts w:cs="Arial"/>
                <w:color w:val="000000"/>
              </w:rPr>
              <w:t> </w:t>
            </w:r>
          </w:p>
        </w:tc>
        <w:tc>
          <w:tcPr>
            <w:tcW w:w="1267" w:type="dxa"/>
            <w:tcBorders>
              <w:top w:val="nil"/>
              <w:left w:val="nil"/>
              <w:bottom w:val="single" w:sz="4" w:space="0" w:color="auto"/>
              <w:right w:val="nil"/>
            </w:tcBorders>
            <w:shd w:val="clear" w:color="000000" w:fill="D9D9D9"/>
            <w:noWrap/>
            <w:vAlign w:val="center"/>
            <w:hideMark/>
          </w:tcPr>
          <w:p w14:paraId="26E2CCB9" w14:textId="77777777" w:rsidR="0097090C" w:rsidRPr="009A27BA" w:rsidRDefault="0097090C" w:rsidP="0097090C">
            <w:pPr>
              <w:jc w:val="right"/>
              <w:rPr>
                <w:rFonts w:cs="Arial"/>
                <w:b/>
                <w:color w:val="000000"/>
              </w:rPr>
            </w:pPr>
            <w:r w:rsidRPr="009A27BA">
              <w:rPr>
                <w:rFonts w:cs="Arial"/>
                <w:b/>
                <w:color w:val="000000"/>
              </w:rPr>
              <w:t>$'000</w:t>
            </w:r>
          </w:p>
        </w:tc>
        <w:tc>
          <w:tcPr>
            <w:tcW w:w="1267" w:type="dxa"/>
            <w:tcBorders>
              <w:top w:val="nil"/>
              <w:left w:val="nil"/>
              <w:bottom w:val="single" w:sz="4" w:space="0" w:color="auto"/>
              <w:right w:val="nil"/>
            </w:tcBorders>
            <w:shd w:val="clear" w:color="auto" w:fill="auto"/>
            <w:noWrap/>
            <w:vAlign w:val="center"/>
            <w:hideMark/>
          </w:tcPr>
          <w:p w14:paraId="65D49CFD" w14:textId="77777777" w:rsidR="0097090C" w:rsidRPr="009A27BA" w:rsidRDefault="0097090C" w:rsidP="0097090C">
            <w:pPr>
              <w:jc w:val="right"/>
              <w:rPr>
                <w:rFonts w:cs="Arial"/>
                <w:b/>
                <w:color w:val="000000"/>
              </w:rPr>
            </w:pPr>
            <w:r w:rsidRPr="009A27BA">
              <w:rPr>
                <w:rFonts w:cs="Arial"/>
                <w:b/>
                <w:color w:val="000000"/>
              </w:rPr>
              <w:t>$'000</w:t>
            </w:r>
          </w:p>
        </w:tc>
      </w:tr>
      <w:tr w:rsidR="0097090C" w:rsidRPr="00DC397E" w14:paraId="0E84FB32" w14:textId="77777777" w:rsidTr="0097090C">
        <w:trPr>
          <w:trHeight w:val="285"/>
        </w:trPr>
        <w:tc>
          <w:tcPr>
            <w:tcW w:w="6095" w:type="dxa"/>
            <w:tcBorders>
              <w:top w:val="nil"/>
              <w:left w:val="nil"/>
              <w:bottom w:val="nil"/>
              <w:right w:val="nil"/>
            </w:tcBorders>
            <w:shd w:val="clear" w:color="auto" w:fill="auto"/>
            <w:noWrap/>
            <w:vAlign w:val="center"/>
          </w:tcPr>
          <w:p w14:paraId="54B829A5" w14:textId="77777777" w:rsidR="0097090C" w:rsidRPr="00DC397E" w:rsidRDefault="0097090C" w:rsidP="0097090C">
            <w:pPr>
              <w:rPr>
                <w:rFonts w:cs="Arial"/>
                <w:color w:val="000000"/>
              </w:rPr>
            </w:pPr>
            <w:r>
              <w:rPr>
                <w:rFonts w:cs="Arial"/>
                <w:b/>
                <w:bCs/>
                <w:color w:val="000000"/>
              </w:rPr>
              <w:t>Capital Expenditure</w:t>
            </w:r>
            <w:r w:rsidRPr="00DC397E">
              <w:rPr>
                <w:rFonts w:cs="Arial"/>
                <w:b/>
                <w:bCs/>
                <w:color w:val="000000"/>
              </w:rPr>
              <w:t xml:space="preserve"> Commitments</w:t>
            </w:r>
          </w:p>
        </w:tc>
        <w:tc>
          <w:tcPr>
            <w:tcW w:w="731" w:type="dxa"/>
            <w:tcBorders>
              <w:top w:val="nil"/>
              <w:left w:val="nil"/>
              <w:bottom w:val="nil"/>
              <w:right w:val="nil"/>
            </w:tcBorders>
            <w:shd w:val="clear" w:color="auto" w:fill="auto"/>
            <w:noWrap/>
            <w:vAlign w:val="center"/>
          </w:tcPr>
          <w:p w14:paraId="382285F8" w14:textId="77777777" w:rsidR="0097090C" w:rsidRPr="00DC397E" w:rsidRDefault="0097090C" w:rsidP="0097090C">
            <w:pPr>
              <w:rPr>
                <w:rFonts w:cs="Arial"/>
                <w:color w:val="000000"/>
              </w:rPr>
            </w:pPr>
            <w:r w:rsidRPr="00DC397E">
              <w:rPr>
                <w:rFonts w:ascii="Calibri" w:hAnsi="Calibri"/>
                <w:color w:val="000000"/>
                <w:szCs w:val="22"/>
              </w:rPr>
              <w:t> </w:t>
            </w:r>
          </w:p>
        </w:tc>
        <w:tc>
          <w:tcPr>
            <w:tcW w:w="1267" w:type="dxa"/>
            <w:tcBorders>
              <w:top w:val="nil"/>
              <w:left w:val="nil"/>
              <w:bottom w:val="nil"/>
              <w:right w:val="nil"/>
            </w:tcBorders>
            <w:shd w:val="clear" w:color="000000" w:fill="D9D9D9"/>
            <w:noWrap/>
            <w:vAlign w:val="center"/>
          </w:tcPr>
          <w:p w14:paraId="1F7A4B92"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noWrap/>
            <w:vAlign w:val="center"/>
          </w:tcPr>
          <w:p w14:paraId="31B1D6AA" w14:textId="77777777" w:rsidR="0097090C" w:rsidRPr="00DC397E" w:rsidRDefault="0097090C" w:rsidP="0097090C">
            <w:pPr>
              <w:jc w:val="right"/>
              <w:rPr>
                <w:rFonts w:cs="Arial"/>
                <w:color w:val="000000"/>
              </w:rPr>
            </w:pPr>
            <w:r w:rsidRPr="00DC397E">
              <w:rPr>
                <w:rFonts w:cs="Arial"/>
                <w:color w:val="000000"/>
              </w:rPr>
              <w:t> </w:t>
            </w:r>
          </w:p>
        </w:tc>
      </w:tr>
      <w:tr w:rsidR="0097090C" w:rsidRPr="00DC397E" w14:paraId="470776A0" w14:textId="77777777" w:rsidTr="0097090C">
        <w:trPr>
          <w:trHeight w:val="285"/>
        </w:trPr>
        <w:tc>
          <w:tcPr>
            <w:tcW w:w="6095" w:type="dxa"/>
            <w:tcBorders>
              <w:top w:val="nil"/>
              <w:left w:val="nil"/>
              <w:bottom w:val="nil"/>
              <w:right w:val="nil"/>
            </w:tcBorders>
            <w:shd w:val="clear" w:color="auto" w:fill="auto"/>
            <w:noWrap/>
            <w:vAlign w:val="center"/>
          </w:tcPr>
          <w:p w14:paraId="1EA572ED" w14:textId="77777777" w:rsidR="0097090C" w:rsidRPr="00DC397E" w:rsidRDefault="0097090C" w:rsidP="0097090C">
            <w:pPr>
              <w:rPr>
                <w:rFonts w:cs="Arial"/>
                <w:color w:val="000000"/>
              </w:rPr>
            </w:pPr>
            <w:r>
              <w:rPr>
                <w:rFonts w:cs="Arial"/>
                <w:color w:val="000000"/>
              </w:rPr>
              <w:t>Non-cancellable capital expenditure</w:t>
            </w:r>
            <w:r w:rsidRPr="00DC397E">
              <w:rPr>
                <w:rFonts w:cs="Arial"/>
                <w:color w:val="000000"/>
              </w:rPr>
              <w:t xml:space="preserve"> contracted</w:t>
            </w:r>
            <w:r>
              <w:rPr>
                <w:rFonts w:cs="Arial"/>
                <w:color w:val="000000"/>
              </w:rPr>
              <w:t>:</w:t>
            </w:r>
          </w:p>
        </w:tc>
        <w:tc>
          <w:tcPr>
            <w:tcW w:w="731" w:type="dxa"/>
            <w:tcBorders>
              <w:top w:val="nil"/>
              <w:left w:val="nil"/>
              <w:bottom w:val="nil"/>
              <w:right w:val="nil"/>
            </w:tcBorders>
            <w:shd w:val="clear" w:color="auto" w:fill="auto"/>
            <w:noWrap/>
            <w:vAlign w:val="center"/>
          </w:tcPr>
          <w:p w14:paraId="4C36A5B2" w14:textId="77777777" w:rsidR="0097090C" w:rsidRPr="00DC397E" w:rsidRDefault="0097090C" w:rsidP="0097090C">
            <w:pPr>
              <w:rPr>
                <w:rFonts w:cs="Arial"/>
                <w:color w:val="000000"/>
              </w:rPr>
            </w:pPr>
          </w:p>
        </w:tc>
        <w:tc>
          <w:tcPr>
            <w:tcW w:w="1267" w:type="dxa"/>
            <w:tcBorders>
              <w:top w:val="nil"/>
              <w:left w:val="nil"/>
              <w:bottom w:val="nil"/>
              <w:right w:val="nil"/>
            </w:tcBorders>
            <w:shd w:val="clear" w:color="000000" w:fill="D9D9D9"/>
            <w:noWrap/>
            <w:vAlign w:val="center"/>
          </w:tcPr>
          <w:p w14:paraId="677F6EF6"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noWrap/>
            <w:vAlign w:val="center"/>
          </w:tcPr>
          <w:p w14:paraId="1ED0B048" w14:textId="77777777" w:rsidR="0097090C" w:rsidRPr="00DC397E" w:rsidRDefault="0097090C" w:rsidP="0097090C">
            <w:pPr>
              <w:jc w:val="right"/>
              <w:rPr>
                <w:rFonts w:cs="Arial"/>
                <w:color w:val="000000"/>
              </w:rPr>
            </w:pPr>
          </w:p>
        </w:tc>
      </w:tr>
      <w:tr w:rsidR="0097090C" w:rsidRPr="00DC397E" w14:paraId="29CAC8C1" w14:textId="77777777" w:rsidTr="0097090C">
        <w:trPr>
          <w:trHeight w:val="285"/>
        </w:trPr>
        <w:tc>
          <w:tcPr>
            <w:tcW w:w="6095" w:type="dxa"/>
            <w:tcBorders>
              <w:top w:val="nil"/>
              <w:left w:val="nil"/>
              <w:bottom w:val="nil"/>
              <w:right w:val="nil"/>
            </w:tcBorders>
            <w:shd w:val="clear" w:color="auto" w:fill="auto"/>
            <w:noWrap/>
            <w:vAlign w:val="center"/>
          </w:tcPr>
          <w:p w14:paraId="045EA202" w14:textId="77777777" w:rsidR="0097090C" w:rsidRPr="00DC397E" w:rsidRDefault="0097090C" w:rsidP="0097090C">
            <w:pPr>
              <w:rPr>
                <w:rFonts w:cs="Arial"/>
                <w:color w:val="000000"/>
              </w:rPr>
            </w:pPr>
            <w:r w:rsidRPr="00DC397E">
              <w:rPr>
                <w:rFonts w:cs="Arial"/>
                <w:color w:val="000000"/>
              </w:rPr>
              <w:t>Payable:</w:t>
            </w:r>
          </w:p>
        </w:tc>
        <w:tc>
          <w:tcPr>
            <w:tcW w:w="731" w:type="dxa"/>
            <w:tcBorders>
              <w:top w:val="nil"/>
              <w:left w:val="nil"/>
              <w:bottom w:val="nil"/>
              <w:right w:val="nil"/>
            </w:tcBorders>
            <w:shd w:val="clear" w:color="auto" w:fill="auto"/>
            <w:noWrap/>
            <w:vAlign w:val="center"/>
          </w:tcPr>
          <w:p w14:paraId="3D79DDF3" w14:textId="77777777" w:rsidR="0097090C" w:rsidRPr="00DC397E" w:rsidRDefault="0097090C" w:rsidP="0097090C">
            <w:pPr>
              <w:rPr>
                <w:rFonts w:cs="Arial"/>
                <w:color w:val="000000"/>
              </w:rPr>
            </w:pPr>
          </w:p>
        </w:tc>
        <w:tc>
          <w:tcPr>
            <w:tcW w:w="1267" w:type="dxa"/>
            <w:tcBorders>
              <w:top w:val="nil"/>
              <w:left w:val="nil"/>
              <w:bottom w:val="nil"/>
              <w:right w:val="nil"/>
            </w:tcBorders>
            <w:shd w:val="clear" w:color="000000" w:fill="D9D9D9"/>
            <w:noWrap/>
            <w:vAlign w:val="center"/>
          </w:tcPr>
          <w:p w14:paraId="0744881A"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noWrap/>
            <w:vAlign w:val="center"/>
          </w:tcPr>
          <w:p w14:paraId="6B25F23C" w14:textId="77777777" w:rsidR="0097090C" w:rsidRPr="00DC397E" w:rsidRDefault="0097090C" w:rsidP="0097090C">
            <w:pPr>
              <w:jc w:val="right"/>
              <w:rPr>
                <w:rFonts w:cs="Arial"/>
                <w:color w:val="000000"/>
              </w:rPr>
            </w:pPr>
          </w:p>
        </w:tc>
      </w:tr>
      <w:tr w:rsidR="0097090C" w:rsidRPr="00DC397E" w14:paraId="5F436FC1" w14:textId="77777777" w:rsidTr="0097090C">
        <w:trPr>
          <w:trHeight w:val="285"/>
        </w:trPr>
        <w:tc>
          <w:tcPr>
            <w:tcW w:w="6095" w:type="dxa"/>
            <w:tcBorders>
              <w:top w:val="nil"/>
              <w:left w:val="nil"/>
              <w:bottom w:val="nil"/>
              <w:right w:val="nil"/>
            </w:tcBorders>
            <w:shd w:val="clear" w:color="auto" w:fill="auto"/>
            <w:noWrap/>
            <w:vAlign w:val="center"/>
          </w:tcPr>
          <w:p w14:paraId="63846FC0" w14:textId="77777777" w:rsidR="0097090C" w:rsidRPr="00DC397E" w:rsidRDefault="0097090C" w:rsidP="0097090C">
            <w:pPr>
              <w:rPr>
                <w:rFonts w:cs="Arial"/>
                <w:color w:val="000000"/>
              </w:rPr>
            </w:pPr>
            <w:r w:rsidRPr="00DC397E">
              <w:rPr>
                <w:rFonts w:cs="Arial"/>
                <w:color w:val="000000"/>
              </w:rPr>
              <w:t>Not longer than 1 year</w:t>
            </w:r>
          </w:p>
        </w:tc>
        <w:tc>
          <w:tcPr>
            <w:tcW w:w="731" w:type="dxa"/>
            <w:tcBorders>
              <w:top w:val="nil"/>
              <w:left w:val="nil"/>
              <w:bottom w:val="nil"/>
              <w:right w:val="nil"/>
            </w:tcBorders>
            <w:shd w:val="clear" w:color="auto" w:fill="auto"/>
            <w:noWrap/>
            <w:vAlign w:val="center"/>
          </w:tcPr>
          <w:p w14:paraId="6ABFF835" w14:textId="77777777" w:rsidR="0097090C" w:rsidRPr="00DC397E" w:rsidRDefault="0097090C" w:rsidP="0097090C">
            <w:pPr>
              <w:rPr>
                <w:rFonts w:cs="Arial"/>
                <w:color w:val="000000"/>
              </w:rPr>
            </w:pPr>
          </w:p>
        </w:tc>
        <w:tc>
          <w:tcPr>
            <w:tcW w:w="1267" w:type="dxa"/>
            <w:tcBorders>
              <w:top w:val="nil"/>
              <w:left w:val="nil"/>
              <w:bottom w:val="nil"/>
              <w:right w:val="nil"/>
            </w:tcBorders>
            <w:shd w:val="clear" w:color="000000" w:fill="D9D9D9"/>
            <w:noWrap/>
            <w:vAlign w:val="center"/>
          </w:tcPr>
          <w:p w14:paraId="61A1F2D3" w14:textId="77777777" w:rsidR="0097090C" w:rsidRPr="00DC397E" w:rsidRDefault="0097090C" w:rsidP="0097090C">
            <w:pPr>
              <w:jc w:val="right"/>
              <w:rPr>
                <w:rFonts w:cs="Arial"/>
                <w:color w:val="000000"/>
              </w:rPr>
            </w:pPr>
            <w:r>
              <w:rPr>
                <w:rFonts w:cs="Arial"/>
                <w:color w:val="000000"/>
              </w:rPr>
              <w:t>5,703</w:t>
            </w:r>
          </w:p>
        </w:tc>
        <w:tc>
          <w:tcPr>
            <w:tcW w:w="1267" w:type="dxa"/>
            <w:tcBorders>
              <w:top w:val="nil"/>
              <w:left w:val="nil"/>
              <w:bottom w:val="nil"/>
              <w:right w:val="nil"/>
            </w:tcBorders>
            <w:shd w:val="clear" w:color="auto" w:fill="auto"/>
            <w:noWrap/>
            <w:vAlign w:val="center"/>
          </w:tcPr>
          <w:p w14:paraId="1CED863C" w14:textId="77777777" w:rsidR="0097090C" w:rsidRPr="00DC397E" w:rsidRDefault="0097090C" w:rsidP="0097090C">
            <w:pPr>
              <w:jc w:val="right"/>
              <w:rPr>
                <w:rFonts w:cs="Arial"/>
                <w:color w:val="000000"/>
              </w:rPr>
            </w:pPr>
            <w:r>
              <w:rPr>
                <w:rFonts w:cs="Arial"/>
                <w:color w:val="000000"/>
              </w:rPr>
              <w:t>0</w:t>
            </w:r>
          </w:p>
        </w:tc>
      </w:tr>
      <w:tr w:rsidR="0097090C" w:rsidRPr="00DC397E" w14:paraId="4828104D" w14:textId="77777777" w:rsidTr="0097090C">
        <w:trPr>
          <w:trHeight w:val="285"/>
        </w:trPr>
        <w:tc>
          <w:tcPr>
            <w:tcW w:w="6095" w:type="dxa"/>
            <w:tcBorders>
              <w:top w:val="nil"/>
              <w:left w:val="nil"/>
              <w:bottom w:val="single" w:sz="4" w:space="0" w:color="auto"/>
              <w:right w:val="nil"/>
            </w:tcBorders>
            <w:shd w:val="clear" w:color="auto" w:fill="auto"/>
            <w:noWrap/>
            <w:vAlign w:val="center"/>
          </w:tcPr>
          <w:p w14:paraId="392335A7" w14:textId="77777777" w:rsidR="0097090C" w:rsidRPr="00DC397E" w:rsidRDefault="0097090C" w:rsidP="0097090C">
            <w:pPr>
              <w:rPr>
                <w:rFonts w:cs="Arial"/>
                <w:color w:val="000000"/>
              </w:rPr>
            </w:pPr>
            <w:r w:rsidRPr="00DC397E">
              <w:rPr>
                <w:rFonts w:cs="Arial"/>
                <w:color w:val="000000"/>
              </w:rPr>
              <w:t>Longer than 1 year but not longer than 5 years</w:t>
            </w:r>
          </w:p>
        </w:tc>
        <w:tc>
          <w:tcPr>
            <w:tcW w:w="731" w:type="dxa"/>
            <w:tcBorders>
              <w:top w:val="nil"/>
              <w:left w:val="nil"/>
              <w:bottom w:val="single" w:sz="4" w:space="0" w:color="auto"/>
              <w:right w:val="nil"/>
            </w:tcBorders>
            <w:shd w:val="clear" w:color="auto" w:fill="auto"/>
            <w:noWrap/>
            <w:vAlign w:val="center"/>
          </w:tcPr>
          <w:p w14:paraId="16CE08C9" w14:textId="77777777" w:rsidR="0097090C" w:rsidRPr="00DC397E" w:rsidRDefault="0097090C" w:rsidP="0097090C">
            <w:pPr>
              <w:rPr>
                <w:rFonts w:cs="Arial"/>
                <w:color w:val="000000"/>
              </w:rPr>
            </w:pPr>
            <w:r w:rsidRPr="00DC397E">
              <w:rPr>
                <w:rFonts w:ascii="Calibri" w:hAnsi="Calibri"/>
                <w:color w:val="000000"/>
                <w:szCs w:val="22"/>
              </w:rPr>
              <w:t> </w:t>
            </w:r>
          </w:p>
        </w:tc>
        <w:tc>
          <w:tcPr>
            <w:tcW w:w="1267" w:type="dxa"/>
            <w:tcBorders>
              <w:top w:val="nil"/>
              <w:left w:val="nil"/>
              <w:bottom w:val="single" w:sz="4" w:space="0" w:color="auto"/>
              <w:right w:val="nil"/>
            </w:tcBorders>
            <w:shd w:val="clear" w:color="000000" w:fill="D9D9D9"/>
            <w:noWrap/>
            <w:vAlign w:val="center"/>
          </w:tcPr>
          <w:p w14:paraId="7933B493" w14:textId="77777777" w:rsidR="0097090C" w:rsidRPr="00DC397E" w:rsidRDefault="0097090C" w:rsidP="0097090C">
            <w:pPr>
              <w:jc w:val="right"/>
              <w:rPr>
                <w:rFonts w:cs="Arial"/>
                <w:color w:val="000000"/>
              </w:rPr>
            </w:pPr>
            <w:r>
              <w:rPr>
                <w:rFonts w:cs="Arial"/>
                <w:color w:val="000000"/>
              </w:rPr>
              <w:t>5,395</w:t>
            </w:r>
          </w:p>
        </w:tc>
        <w:tc>
          <w:tcPr>
            <w:tcW w:w="1267" w:type="dxa"/>
            <w:tcBorders>
              <w:top w:val="nil"/>
              <w:left w:val="nil"/>
              <w:bottom w:val="single" w:sz="4" w:space="0" w:color="auto"/>
              <w:right w:val="nil"/>
            </w:tcBorders>
            <w:shd w:val="clear" w:color="auto" w:fill="auto"/>
            <w:noWrap/>
            <w:vAlign w:val="center"/>
          </w:tcPr>
          <w:p w14:paraId="4FA35606" w14:textId="77777777" w:rsidR="0097090C" w:rsidRPr="00DC397E" w:rsidRDefault="0097090C" w:rsidP="0097090C">
            <w:pPr>
              <w:jc w:val="right"/>
              <w:rPr>
                <w:rFonts w:cs="Arial"/>
                <w:color w:val="000000"/>
              </w:rPr>
            </w:pPr>
            <w:r>
              <w:rPr>
                <w:rFonts w:cs="Arial"/>
                <w:color w:val="000000"/>
              </w:rPr>
              <w:t>0</w:t>
            </w:r>
          </w:p>
        </w:tc>
      </w:tr>
      <w:tr w:rsidR="0097090C" w:rsidRPr="00DC397E" w14:paraId="76CB90CD" w14:textId="77777777" w:rsidTr="0097090C">
        <w:trPr>
          <w:trHeight w:val="285"/>
        </w:trPr>
        <w:tc>
          <w:tcPr>
            <w:tcW w:w="6095" w:type="dxa"/>
            <w:tcBorders>
              <w:top w:val="nil"/>
              <w:left w:val="nil"/>
              <w:bottom w:val="single" w:sz="4" w:space="0" w:color="auto"/>
              <w:right w:val="nil"/>
            </w:tcBorders>
            <w:shd w:val="clear" w:color="auto" w:fill="auto"/>
            <w:noWrap/>
            <w:vAlign w:val="center"/>
          </w:tcPr>
          <w:p w14:paraId="440637EF" w14:textId="77777777" w:rsidR="0097090C" w:rsidRPr="00DC397E" w:rsidRDefault="0097090C" w:rsidP="0097090C">
            <w:pPr>
              <w:rPr>
                <w:rFonts w:cs="Arial"/>
                <w:color w:val="000000"/>
              </w:rPr>
            </w:pPr>
            <w:r w:rsidRPr="00DC397E">
              <w:rPr>
                <w:rFonts w:cs="Arial"/>
                <w:b/>
                <w:bCs/>
                <w:color w:val="000000"/>
              </w:rPr>
              <w:t>Total</w:t>
            </w:r>
          </w:p>
        </w:tc>
        <w:tc>
          <w:tcPr>
            <w:tcW w:w="731" w:type="dxa"/>
            <w:tcBorders>
              <w:top w:val="nil"/>
              <w:left w:val="nil"/>
              <w:bottom w:val="single" w:sz="4" w:space="0" w:color="auto"/>
              <w:right w:val="nil"/>
            </w:tcBorders>
            <w:shd w:val="clear" w:color="auto" w:fill="auto"/>
            <w:noWrap/>
            <w:vAlign w:val="center"/>
          </w:tcPr>
          <w:p w14:paraId="3D9C9D1F" w14:textId="77777777" w:rsidR="0097090C" w:rsidRPr="00DC397E" w:rsidRDefault="0097090C" w:rsidP="0097090C">
            <w:pPr>
              <w:rPr>
                <w:rFonts w:cs="Arial"/>
                <w:color w:val="000000"/>
              </w:rPr>
            </w:pPr>
            <w:r w:rsidRPr="00DC397E">
              <w:rPr>
                <w:rFonts w:cs="Arial"/>
                <w:b/>
                <w:bCs/>
                <w:color w:val="000000"/>
              </w:rPr>
              <w:t> </w:t>
            </w:r>
          </w:p>
        </w:tc>
        <w:tc>
          <w:tcPr>
            <w:tcW w:w="1267" w:type="dxa"/>
            <w:tcBorders>
              <w:top w:val="nil"/>
              <w:left w:val="nil"/>
              <w:bottom w:val="single" w:sz="4" w:space="0" w:color="auto"/>
              <w:right w:val="nil"/>
            </w:tcBorders>
            <w:shd w:val="clear" w:color="000000" w:fill="D9D9D9"/>
            <w:noWrap/>
            <w:vAlign w:val="center"/>
          </w:tcPr>
          <w:p w14:paraId="3C448B2C" w14:textId="77777777" w:rsidR="0097090C" w:rsidRPr="00DC397E" w:rsidRDefault="0097090C" w:rsidP="0097090C">
            <w:pPr>
              <w:jc w:val="right"/>
              <w:rPr>
                <w:rFonts w:cs="Arial"/>
                <w:color w:val="000000"/>
              </w:rPr>
            </w:pPr>
            <w:r>
              <w:rPr>
                <w:rFonts w:cs="Arial"/>
                <w:b/>
                <w:bCs/>
                <w:color w:val="000000"/>
              </w:rPr>
              <w:t>11,098</w:t>
            </w:r>
          </w:p>
        </w:tc>
        <w:tc>
          <w:tcPr>
            <w:tcW w:w="1267" w:type="dxa"/>
            <w:tcBorders>
              <w:top w:val="nil"/>
              <w:left w:val="nil"/>
              <w:bottom w:val="single" w:sz="4" w:space="0" w:color="auto"/>
              <w:right w:val="nil"/>
            </w:tcBorders>
            <w:shd w:val="clear" w:color="auto" w:fill="auto"/>
            <w:noWrap/>
            <w:vAlign w:val="center"/>
          </w:tcPr>
          <w:p w14:paraId="2C9BF9D1" w14:textId="77777777" w:rsidR="0097090C" w:rsidRPr="00DC397E" w:rsidRDefault="0097090C" w:rsidP="0097090C">
            <w:pPr>
              <w:jc w:val="right"/>
              <w:rPr>
                <w:rFonts w:cs="Arial"/>
                <w:color w:val="000000"/>
              </w:rPr>
            </w:pPr>
            <w:r>
              <w:rPr>
                <w:rFonts w:cs="Arial"/>
                <w:b/>
                <w:bCs/>
                <w:color w:val="000000"/>
              </w:rPr>
              <w:t>0</w:t>
            </w:r>
          </w:p>
        </w:tc>
      </w:tr>
      <w:tr w:rsidR="0097090C" w:rsidRPr="00DC397E" w14:paraId="1FA7A95A" w14:textId="77777777" w:rsidTr="0097090C">
        <w:trPr>
          <w:trHeight w:val="285"/>
        </w:trPr>
        <w:tc>
          <w:tcPr>
            <w:tcW w:w="6095" w:type="dxa"/>
            <w:tcBorders>
              <w:top w:val="nil"/>
              <w:left w:val="nil"/>
              <w:bottom w:val="nil"/>
              <w:right w:val="nil"/>
            </w:tcBorders>
            <w:shd w:val="clear" w:color="auto" w:fill="auto"/>
            <w:noWrap/>
            <w:vAlign w:val="center"/>
          </w:tcPr>
          <w:p w14:paraId="7A7F0C6B" w14:textId="77777777" w:rsidR="0097090C" w:rsidRPr="00DC397E" w:rsidRDefault="0097090C" w:rsidP="0097090C">
            <w:pPr>
              <w:rPr>
                <w:rFonts w:cs="Arial"/>
                <w:color w:val="000000"/>
              </w:rPr>
            </w:pPr>
          </w:p>
        </w:tc>
        <w:tc>
          <w:tcPr>
            <w:tcW w:w="731" w:type="dxa"/>
            <w:tcBorders>
              <w:top w:val="nil"/>
              <w:left w:val="nil"/>
              <w:bottom w:val="nil"/>
              <w:right w:val="nil"/>
            </w:tcBorders>
            <w:shd w:val="clear" w:color="auto" w:fill="auto"/>
            <w:noWrap/>
            <w:vAlign w:val="center"/>
          </w:tcPr>
          <w:p w14:paraId="770C6020" w14:textId="77777777" w:rsidR="0097090C" w:rsidRPr="00DC397E" w:rsidRDefault="0097090C" w:rsidP="0097090C">
            <w:pPr>
              <w:rPr>
                <w:rFonts w:cs="Arial"/>
                <w:color w:val="000000"/>
              </w:rPr>
            </w:pPr>
          </w:p>
        </w:tc>
        <w:tc>
          <w:tcPr>
            <w:tcW w:w="1267" w:type="dxa"/>
            <w:tcBorders>
              <w:top w:val="nil"/>
              <w:left w:val="nil"/>
              <w:bottom w:val="nil"/>
              <w:right w:val="nil"/>
            </w:tcBorders>
            <w:shd w:val="clear" w:color="000000" w:fill="D9D9D9"/>
            <w:noWrap/>
            <w:vAlign w:val="center"/>
          </w:tcPr>
          <w:p w14:paraId="30D0A430"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noWrap/>
            <w:vAlign w:val="center"/>
          </w:tcPr>
          <w:p w14:paraId="4F3782F4" w14:textId="77777777" w:rsidR="0097090C" w:rsidRPr="00DC397E" w:rsidRDefault="0097090C" w:rsidP="0097090C">
            <w:pPr>
              <w:jc w:val="right"/>
              <w:rPr>
                <w:rFonts w:cs="Arial"/>
                <w:color w:val="000000"/>
              </w:rPr>
            </w:pPr>
          </w:p>
        </w:tc>
      </w:tr>
      <w:tr w:rsidR="0097090C" w:rsidRPr="00DC397E" w14:paraId="0D775F94" w14:textId="77777777" w:rsidTr="0097090C">
        <w:trPr>
          <w:trHeight w:val="285"/>
        </w:trPr>
        <w:tc>
          <w:tcPr>
            <w:tcW w:w="6095" w:type="dxa"/>
            <w:tcBorders>
              <w:top w:val="nil"/>
              <w:left w:val="nil"/>
              <w:bottom w:val="nil"/>
              <w:right w:val="nil"/>
            </w:tcBorders>
            <w:shd w:val="clear" w:color="auto" w:fill="auto"/>
            <w:vAlign w:val="center"/>
            <w:hideMark/>
          </w:tcPr>
          <w:p w14:paraId="7E18ABF2" w14:textId="77777777" w:rsidR="0097090C" w:rsidRPr="00DC397E" w:rsidRDefault="0097090C" w:rsidP="0097090C">
            <w:pPr>
              <w:rPr>
                <w:rFonts w:cs="Arial"/>
                <w:b/>
                <w:bCs/>
                <w:color w:val="000000"/>
              </w:rPr>
            </w:pPr>
            <w:r w:rsidRPr="00DC397E">
              <w:rPr>
                <w:rFonts w:cs="Arial"/>
                <w:b/>
                <w:bCs/>
                <w:color w:val="000000"/>
              </w:rPr>
              <w:t>Operating Lease Commitments</w:t>
            </w:r>
          </w:p>
        </w:tc>
        <w:tc>
          <w:tcPr>
            <w:tcW w:w="731" w:type="dxa"/>
            <w:tcBorders>
              <w:top w:val="nil"/>
              <w:left w:val="nil"/>
              <w:bottom w:val="nil"/>
              <w:right w:val="nil"/>
            </w:tcBorders>
            <w:shd w:val="clear" w:color="auto" w:fill="auto"/>
            <w:vAlign w:val="center"/>
            <w:hideMark/>
          </w:tcPr>
          <w:p w14:paraId="13896358" w14:textId="77777777" w:rsidR="0097090C" w:rsidRPr="00DC397E" w:rsidRDefault="0097090C" w:rsidP="0097090C">
            <w:pPr>
              <w:rPr>
                <w:rFonts w:ascii="Calibri" w:hAnsi="Calibri"/>
                <w:color w:val="000000"/>
                <w:szCs w:val="22"/>
              </w:rPr>
            </w:pPr>
            <w:r w:rsidRPr="00DC397E">
              <w:rPr>
                <w:rFonts w:ascii="Calibri" w:hAnsi="Calibri"/>
                <w:color w:val="000000"/>
                <w:szCs w:val="22"/>
              </w:rPr>
              <w:t> </w:t>
            </w:r>
          </w:p>
        </w:tc>
        <w:tc>
          <w:tcPr>
            <w:tcW w:w="1267" w:type="dxa"/>
            <w:tcBorders>
              <w:top w:val="nil"/>
              <w:left w:val="nil"/>
              <w:bottom w:val="nil"/>
              <w:right w:val="nil"/>
            </w:tcBorders>
            <w:shd w:val="clear" w:color="000000" w:fill="D9D9D9"/>
            <w:vAlign w:val="center"/>
            <w:hideMark/>
          </w:tcPr>
          <w:p w14:paraId="18B4E756"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vAlign w:val="center"/>
            <w:hideMark/>
          </w:tcPr>
          <w:p w14:paraId="6F1B82D7" w14:textId="77777777" w:rsidR="0097090C" w:rsidRPr="00DC397E" w:rsidRDefault="0097090C" w:rsidP="0097090C">
            <w:pPr>
              <w:jc w:val="right"/>
              <w:rPr>
                <w:rFonts w:cs="Arial"/>
                <w:color w:val="000000"/>
              </w:rPr>
            </w:pPr>
            <w:r w:rsidRPr="00DC397E">
              <w:rPr>
                <w:rFonts w:cs="Arial"/>
                <w:color w:val="000000"/>
              </w:rPr>
              <w:t> </w:t>
            </w:r>
          </w:p>
        </w:tc>
      </w:tr>
      <w:tr w:rsidR="0097090C" w:rsidRPr="00DC397E" w14:paraId="20584CE7" w14:textId="77777777" w:rsidTr="0097090C">
        <w:trPr>
          <w:trHeight w:val="510"/>
        </w:trPr>
        <w:tc>
          <w:tcPr>
            <w:tcW w:w="6095" w:type="dxa"/>
            <w:tcBorders>
              <w:top w:val="nil"/>
              <w:left w:val="nil"/>
              <w:bottom w:val="nil"/>
              <w:right w:val="nil"/>
            </w:tcBorders>
            <w:shd w:val="clear" w:color="auto" w:fill="auto"/>
            <w:vAlign w:val="center"/>
            <w:hideMark/>
          </w:tcPr>
          <w:p w14:paraId="379A72C7" w14:textId="77777777" w:rsidR="0097090C" w:rsidRPr="00DC397E" w:rsidRDefault="0097090C" w:rsidP="0097090C">
            <w:pPr>
              <w:rPr>
                <w:rFonts w:cs="Arial"/>
                <w:color w:val="000000"/>
              </w:rPr>
            </w:pPr>
            <w:r w:rsidRPr="00DC397E">
              <w:rPr>
                <w:rFonts w:cs="Arial"/>
                <w:color w:val="000000"/>
              </w:rPr>
              <w:t>Non-cancellable operating leases contracted for but not capitalised in the accounts</w:t>
            </w:r>
          </w:p>
        </w:tc>
        <w:tc>
          <w:tcPr>
            <w:tcW w:w="731" w:type="dxa"/>
            <w:tcBorders>
              <w:top w:val="nil"/>
              <w:left w:val="nil"/>
              <w:bottom w:val="nil"/>
              <w:right w:val="nil"/>
            </w:tcBorders>
            <w:shd w:val="clear" w:color="auto" w:fill="auto"/>
            <w:vAlign w:val="center"/>
            <w:hideMark/>
          </w:tcPr>
          <w:p w14:paraId="3B32171B"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0BAD4658"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vAlign w:val="center"/>
            <w:hideMark/>
          </w:tcPr>
          <w:p w14:paraId="11706827" w14:textId="77777777" w:rsidR="0097090C" w:rsidRPr="00DC397E" w:rsidRDefault="0097090C" w:rsidP="0097090C">
            <w:pPr>
              <w:jc w:val="right"/>
              <w:rPr>
                <w:rFonts w:cs="Arial"/>
                <w:color w:val="000000"/>
              </w:rPr>
            </w:pPr>
          </w:p>
        </w:tc>
      </w:tr>
      <w:tr w:rsidR="0097090C" w:rsidRPr="00DC397E" w14:paraId="66077538" w14:textId="77777777" w:rsidTr="0097090C">
        <w:trPr>
          <w:trHeight w:val="285"/>
        </w:trPr>
        <w:tc>
          <w:tcPr>
            <w:tcW w:w="6095" w:type="dxa"/>
            <w:tcBorders>
              <w:top w:val="nil"/>
              <w:left w:val="nil"/>
              <w:bottom w:val="nil"/>
              <w:right w:val="nil"/>
            </w:tcBorders>
            <w:shd w:val="clear" w:color="auto" w:fill="auto"/>
            <w:vAlign w:val="center"/>
            <w:hideMark/>
          </w:tcPr>
          <w:p w14:paraId="768AFE40" w14:textId="77777777" w:rsidR="0097090C" w:rsidRPr="00DC397E" w:rsidRDefault="0097090C" w:rsidP="0097090C">
            <w:pPr>
              <w:rPr>
                <w:rFonts w:cs="Arial"/>
                <w:color w:val="000000"/>
              </w:rPr>
            </w:pPr>
            <w:r w:rsidRPr="00DC397E">
              <w:rPr>
                <w:rFonts w:cs="Arial"/>
                <w:color w:val="000000"/>
              </w:rPr>
              <w:t>Payable:</w:t>
            </w:r>
          </w:p>
        </w:tc>
        <w:tc>
          <w:tcPr>
            <w:tcW w:w="731" w:type="dxa"/>
            <w:tcBorders>
              <w:top w:val="nil"/>
              <w:left w:val="nil"/>
              <w:bottom w:val="nil"/>
              <w:right w:val="nil"/>
            </w:tcBorders>
            <w:shd w:val="clear" w:color="auto" w:fill="auto"/>
            <w:vAlign w:val="center"/>
            <w:hideMark/>
          </w:tcPr>
          <w:p w14:paraId="4D48D044"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7D6A93A5"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vAlign w:val="center"/>
            <w:hideMark/>
          </w:tcPr>
          <w:p w14:paraId="7CAF2410" w14:textId="77777777" w:rsidR="0097090C" w:rsidRPr="00DC397E" w:rsidRDefault="0097090C" w:rsidP="0097090C">
            <w:pPr>
              <w:jc w:val="right"/>
              <w:rPr>
                <w:rFonts w:cs="Arial"/>
                <w:color w:val="000000"/>
              </w:rPr>
            </w:pPr>
          </w:p>
        </w:tc>
      </w:tr>
      <w:tr w:rsidR="0097090C" w:rsidRPr="00DC397E" w14:paraId="2FAB0F0F" w14:textId="77777777" w:rsidTr="0097090C">
        <w:trPr>
          <w:trHeight w:val="285"/>
        </w:trPr>
        <w:tc>
          <w:tcPr>
            <w:tcW w:w="6095" w:type="dxa"/>
            <w:tcBorders>
              <w:top w:val="nil"/>
              <w:left w:val="nil"/>
              <w:bottom w:val="nil"/>
              <w:right w:val="nil"/>
            </w:tcBorders>
            <w:shd w:val="clear" w:color="auto" w:fill="auto"/>
            <w:vAlign w:val="center"/>
            <w:hideMark/>
          </w:tcPr>
          <w:p w14:paraId="4728C57A" w14:textId="77777777" w:rsidR="0097090C" w:rsidRPr="00DC397E" w:rsidRDefault="0097090C" w:rsidP="0097090C">
            <w:pPr>
              <w:rPr>
                <w:rFonts w:cs="Arial"/>
                <w:color w:val="000000"/>
              </w:rPr>
            </w:pPr>
            <w:r w:rsidRPr="00DC397E">
              <w:rPr>
                <w:rFonts w:cs="Arial"/>
                <w:color w:val="000000"/>
              </w:rPr>
              <w:t>Not longer than 1 year</w:t>
            </w:r>
          </w:p>
        </w:tc>
        <w:tc>
          <w:tcPr>
            <w:tcW w:w="731" w:type="dxa"/>
            <w:tcBorders>
              <w:top w:val="nil"/>
              <w:left w:val="nil"/>
              <w:bottom w:val="nil"/>
              <w:right w:val="nil"/>
            </w:tcBorders>
            <w:shd w:val="clear" w:color="auto" w:fill="auto"/>
            <w:vAlign w:val="center"/>
            <w:hideMark/>
          </w:tcPr>
          <w:p w14:paraId="022CB4E3"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08241A98" w14:textId="77777777" w:rsidR="0097090C" w:rsidRPr="00DC397E" w:rsidRDefault="0097090C" w:rsidP="0097090C">
            <w:pPr>
              <w:jc w:val="right"/>
              <w:rPr>
                <w:rFonts w:cs="Arial"/>
                <w:color w:val="000000"/>
              </w:rPr>
            </w:pPr>
            <w:r w:rsidRPr="00DC397E">
              <w:rPr>
                <w:rFonts w:cs="Arial"/>
                <w:color w:val="000000"/>
              </w:rPr>
              <w:t>790</w:t>
            </w:r>
          </w:p>
        </w:tc>
        <w:tc>
          <w:tcPr>
            <w:tcW w:w="1267" w:type="dxa"/>
            <w:tcBorders>
              <w:top w:val="nil"/>
              <w:left w:val="nil"/>
              <w:bottom w:val="nil"/>
              <w:right w:val="nil"/>
            </w:tcBorders>
            <w:shd w:val="clear" w:color="auto" w:fill="auto"/>
            <w:vAlign w:val="center"/>
            <w:hideMark/>
          </w:tcPr>
          <w:p w14:paraId="6C1D008D" w14:textId="77777777" w:rsidR="0097090C" w:rsidRPr="00DC397E" w:rsidRDefault="0097090C" w:rsidP="0097090C">
            <w:pPr>
              <w:jc w:val="right"/>
              <w:rPr>
                <w:rFonts w:cs="Arial"/>
                <w:color w:val="000000"/>
              </w:rPr>
            </w:pPr>
            <w:r w:rsidRPr="00DC397E">
              <w:rPr>
                <w:rFonts w:cs="Arial"/>
                <w:color w:val="000000"/>
              </w:rPr>
              <w:t>722</w:t>
            </w:r>
          </w:p>
        </w:tc>
      </w:tr>
      <w:tr w:rsidR="0097090C" w:rsidRPr="00DC397E" w14:paraId="08468074" w14:textId="77777777" w:rsidTr="0097090C">
        <w:trPr>
          <w:trHeight w:val="285"/>
        </w:trPr>
        <w:tc>
          <w:tcPr>
            <w:tcW w:w="6095" w:type="dxa"/>
            <w:tcBorders>
              <w:top w:val="nil"/>
              <w:left w:val="nil"/>
              <w:bottom w:val="single" w:sz="4" w:space="0" w:color="auto"/>
              <w:right w:val="nil"/>
            </w:tcBorders>
            <w:shd w:val="clear" w:color="auto" w:fill="auto"/>
            <w:vAlign w:val="center"/>
            <w:hideMark/>
          </w:tcPr>
          <w:p w14:paraId="506D8817" w14:textId="77777777" w:rsidR="0097090C" w:rsidRPr="00DC397E" w:rsidRDefault="0097090C" w:rsidP="0097090C">
            <w:pPr>
              <w:rPr>
                <w:rFonts w:cs="Arial"/>
                <w:color w:val="000000"/>
              </w:rPr>
            </w:pPr>
            <w:r w:rsidRPr="00DC397E">
              <w:rPr>
                <w:rFonts w:cs="Arial"/>
                <w:color w:val="000000"/>
              </w:rPr>
              <w:t>Longer than 1 year but not longer than 5 years</w:t>
            </w:r>
          </w:p>
        </w:tc>
        <w:tc>
          <w:tcPr>
            <w:tcW w:w="731" w:type="dxa"/>
            <w:tcBorders>
              <w:top w:val="nil"/>
              <w:left w:val="nil"/>
              <w:bottom w:val="single" w:sz="4" w:space="0" w:color="auto"/>
              <w:right w:val="nil"/>
            </w:tcBorders>
            <w:shd w:val="clear" w:color="auto" w:fill="auto"/>
            <w:vAlign w:val="center"/>
            <w:hideMark/>
          </w:tcPr>
          <w:p w14:paraId="150ACBCD" w14:textId="77777777" w:rsidR="0097090C" w:rsidRPr="00DC397E" w:rsidRDefault="0097090C" w:rsidP="0097090C">
            <w:pPr>
              <w:rPr>
                <w:rFonts w:ascii="Calibri" w:hAnsi="Calibri"/>
                <w:color w:val="000000"/>
                <w:szCs w:val="22"/>
              </w:rPr>
            </w:pPr>
            <w:r w:rsidRPr="00DC397E">
              <w:rPr>
                <w:rFonts w:ascii="Calibri" w:hAnsi="Calibri"/>
                <w:color w:val="000000"/>
                <w:szCs w:val="22"/>
              </w:rPr>
              <w:t> </w:t>
            </w:r>
          </w:p>
        </w:tc>
        <w:tc>
          <w:tcPr>
            <w:tcW w:w="1267" w:type="dxa"/>
            <w:tcBorders>
              <w:top w:val="nil"/>
              <w:left w:val="nil"/>
              <w:bottom w:val="single" w:sz="4" w:space="0" w:color="auto"/>
              <w:right w:val="nil"/>
            </w:tcBorders>
            <w:shd w:val="clear" w:color="000000" w:fill="D9D9D9"/>
            <w:vAlign w:val="center"/>
            <w:hideMark/>
          </w:tcPr>
          <w:p w14:paraId="5A392B19" w14:textId="77777777" w:rsidR="0097090C" w:rsidRPr="00DC397E" w:rsidRDefault="0097090C" w:rsidP="0097090C">
            <w:pPr>
              <w:jc w:val="right"/>
              <w:rPr>
                <w:rFonts w:cs="Arial"/>
                <w:color w:val="000000"/>
              </w:rPr>
            </w:pPr>
            <w:r w:rsidRPr="00DC397E">
              <w:rPr>
                <w:rFonts w:cs="Arial"/>
                <w:color w:val="000000"/>
              </w:rPr>
              <w:t>747</w:t>
            </w:r>
          </w:p>
        </w:tc>
        <w:tc>
          <w:tcPr>
            <w:tcW w:w="1267" w:type="dxa"/>
            <w:tcBorders>
              <w:top w:val="nil"/>
              <w:left w:val="nil"/>
              <w:bottom w:val="single" w:sz="4" w:space="0" w:color="auto"/>
              <w:right w:val="nil"/>
            </w:tcBorders>
            <w:shd w:val="clear" w:color="auto" w:fill="auto"/>
            <w:vAlign w:val="center"/>
            <w:hideMark/>
          </w:tcPr>
          <w:p w14:paraId="5E373DB0" w14:textId="77777777" w:rsidR="0097090C" w:rsidRPr="00DC397E" w:rsidRDefault="0097090C" w:rsidP="0097090C">
            <w:pPr>
              <w:jc w:val="right"/>
              <w:rPr>
                <w:rFonts w:cs="Arial"/>
                <w:color w:val="000000"/>
              </w:rPr>
            </w:pPr>
            <w:r w:rsidRPr="00DC397E">
              <w:rPr>
                <w:rFonts w:cs="Arial"/>
                <w:color w:val="000000"/>
              </w:rPr>
              <w:t>972</w:t>
            </w:r>
          </w:p>
        </w:tc>
      </w:tr>
      <w:tr w:rsidR="0097090C" w:rsidRPr="00DC397E" w14:paraId="5F810A2F" w14:textId="77777777" w:rsidTr="0097090C">
        <w:trPr>
          <w:trHeight w:val="285"/>
        </w:trPr>
        <w:tc>
          <w:tcPr>
            <w:tcW w:w="6095" w:type="dxa"/>
            <w:tcBorders>
              <w:top w:val="nil"/>
              <w:left w:val="nil"/>
              <w:bottom w:val="single" w:sz="4" w:space="0" w:color="auto"/>
              <w:right w:val="nil"/>
            </w:tcBorders>
            <w:shd w:val="clear" w:color="auto" w:fill="auto"/>
            <w:vAlign w:val="center"/>
            <w:hideMark/>
          </w:tcPr>
          <w:p w14:paraId="13BA8AC1" w14:textId="77777777" w:rsidR="0097090C" w:rsidRPr="00DC397E" w:rsidRDefault="0097090C" w:rsidP="0097090C">
            <w:pPr>
              <w:rPr>
                <w:rFonts w:cs="Arial"/>
                <w:b/>
                <w:bCs/>
                <w:color w:val="000000"/>
              </w:rPr>
            </w:pPr>
            <w:r w:rsidRPr="00DC397E">
              <w:rPr>
                <w:rFonts w:cs="Arial"/>
                <w:b/>
                <w:bCs/>
                <w:color w:val="000000"/>
              </w:rPr>
              <w:t>Total</w:t>
            </w:r>
          </w:p>
        </w:tc>
        <w:tc>
          <w:tcPr>
            <w:tcW w:w="731" w:type="dxa"/>
            <w:tcBorders>
              <w:top w:val="nil"/>
              <w:left w:val="nil"/>
              <w:bottom w:val="single" w:sz="4" w:space="0" w:color="auto"/>
              <w:right w:val="nil"/>
            </w:tcBorders>
            <w:shd w:val="clear" w:color="auto" w:fill="auto"/>
            <w:vAlign w:val="center"/>
            <w:hideMark/>
          </w:tcPr>
          <w:p w14:paraId="7669D2D2" w14:textId="77777777" w:rsidR="0097090C" w:rsidRPr="00DC397E" w:rsidRDefault="0097090C" w:rsidP="0097090C">
            <w:pPr>
              <w:jc w:val="center"/>
              <w:rPr>
                <w:rFonts w:cs="Arial"/>
                <w:b/>
                <w:bCs/>
                <w:color w:val="000000"/>
              </w:rPr>
            </w:pPr>
            <w:r w:rsidRPr="00DC397E">
              <w:rPr>
                <w:rFonts w:cs="Arial"/>
                <w:b/>
                <w:bCs/>
                <w:color w:val="000000"/>
              </w:rPr>
              <w:t> </w:t>
            </w:r>
          </w:p>
        </w:tc>
        <w:tc>
          <w:tcPr>
            <w:tcW w:w="1267" w:type="dxa"/>
            <w:tcBorders>
              <w:top w:val="nil"/>
              <w:left w:val="nil"/>
              <w:bottom w:val="single" w:sz="4" w:space="0" w:color="auto"/>
              <w:right w:val="nil"/>
            </w:tcBorders>
            <w:shd w:val="clear" w:color="000000" w:fill="D9D9D9"/>
            <w:vAlign w:val="center"/>
            <w:hideMark/>
          </w:tcPr>
          <w:p w14:paraId="54C9B1C8" w14:textId="77777777" w:rsidR="0097090C" w:rsidRPr="00DC397E" w:rsidRDefault="0097090C" w:rsidP="0097090C">
            <w:pPr>
              <w:jc w:val="right"/>
              <w:rPr>
                <w:rFonts w:cs="Arial"/>
                <w:b/>
                <w:bCs/>
                <w:color w:val="000000"/>
              </w:rPr>
            </w:pPr>
            <w:r w:rsidRPr="00DC397E">
              <w:rPr>
                <w:rFonts w:cs="Arial"/>
                <w:b/>
                <w:bCs/>
                <w:color w:val="000000"/>
              </w:rPr>
              <w:t>1,537</w:t>
            </w:r>
          </w:p>
        </w:tc>
        <w:tc>
          <w:tcPr>
            <w:tcW w:w="1267" w:type="dxa"/>
            <w:tcBorders>
              <w:top w:val="nil"/>
              <w:left w:val="nil"/>
              <w:bottom w:val="single" w:sz="4" w:space="0" w:color="auto"/>
              <w:right w:val="nil"/>
            </w:tcBorders>
            <w:shd w:val="clear" w:color="auto" w:fill="auto"/>
            <w:vAlign w:val="center"/>
            <w:hideMark/>
          </w:tcPr>
          <w:p w14:paraId="58B62A49" w14:textId="77777777" w:rsidR="0097090C" w:rsidRPr="00DC397E" w:rsidRDefault="0097090C" w:rsidP="0097090C">
            <w:pPr>
              <w:jc w:val="right"/>
              <w:rPr>
                <w:rFonts w:cs="Arial"/>
                <w:b/>
                <w:bCs/>
                <w:color w:val="000000"/>
              </w:rPr>
            </w:pPr>
            <w:r w:rsidRPr="00DC397E">
              <w:rPr>
                <w:rFonts w:cs="Arial"/>
                <w:b/>
                <w:bCs/>
                <w:color w:val="000000"/>
              </w:rPr>
              <w:t>1,694</w:t>
            </w:r>
          </w:p>
        </w:tc>
      </w:tr>
      <w:tr w:rsidR="0097090C" w:rsidRPr="00DC397E" w14:paraId="1BDA61E4" w14:textId="77777777" w:rsidTr="0097090C">
        <w:trPr>
          <w:trHeight w:val="285"/>
        </w:trPr>
        <w:tc>
          <w:tcPr>
            <w:tcW w:w="6095" w:type="dxa"/>
            <w:tcBorders>
              <w:top w:val="nil"/>
              <w:left w:val="nil"/>
              <w:bottom w:val="nil"/>
              <w:right w:val="nil"/>
            </w:tcBorders>
            <w:shd w:val="clear" w:color="auto" w:fill="auto"/>
            <w:vAlign w:val="center"/>
            <w:hideMark/>
          </w:tcPr>
          <w:p w14:paraId="74709AD7" w14:textId="77777777" w:rsidR="0097090C" w:rsidRPr="00DC397E" w:rsidRDefault="0097090C" w:rsidP="0097090C">
            <w:pPr>
              <w:rPr>
                <w:rFonts w:ascii="Calibri" w:hAnsi="Calibri"/>
                <w:color w:val="000000"/>
                <w:szCs w:val="22"/>
              </w:rPr>
            </w:pPr>
          </w:p>
        </w:tc>
        <w:tc>
          <w:tcPr>
            <w:tcW w:w="731" w:type="dxa"/>
            <w:tcBorders>
              <w:top w:val="nil"/>
              <w:left w:val="nil"/>
              <w:bottom w:val="nil"/>
              <w:right w:val="nil"/>
            </w:tcBorders>
            <w:shd w:val="clear" w:color="auto" w:fill="auto"/>
            <w:vAlign w:val="center"/>
            <w:hideMark/>
          </w:tcPr>
          <w:p w14:paraId="1EF12E48"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25894385"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vAlign w:val="center"/>
            <w:hideMark/>
          </w:tcPr>
          <w:p w14:paraId="1DF0041C" w14:textId="77777777" w:rsidR="0097090C" w:rsidRPr="00DC397E" w:rsidRDefault="0097090C" w:rsidP="0097090C">
            <w:pPr>
              <w:jc w:val="right"/>
              <w:rPr>
                <w:rFonts w:cs="Arial"/>
                <w:color w:val="000000"/>
              </w:rPr>
            </w:pPr>
          </w:p>
        </w:tc>
      </w:tr>
      <w:tr w:rsidR="0097090C" w:rsidRPr="00DC397E" w14:paraId="31215B23" w14:textId="77777777" w:rsidTr="0097090C">
        <w:trPr>
          <w:trHeight w:val="285"/>
        </w:trPr>
        <w:tc>
          <w:tcPr>
            <w:tcW w:w="6095" w:type="dxa"/>
            <w:tcBorders>
              <w:top w:val="nil"/>
              <w:left w:val="nil"/>
              <w:bottom w:val="nil"/>
              <w:right w:val="nil"/>
            </w:tcBorders>
            <w:shd w:val="clear" w:color="auto" w:fill="auto"/>
            <w:vAlign w:val="center"/>
            <w:hideMark/>
          </w:tcPr>
          <w:p w14:paraId="23EA38C1" w14:textId="77777777" w:rsidR="0097090C" w:rsidRPr="00DC397E" w:rsidRDefault="0097090C" w:rsidP="0097090C">
            <w:pPr>
              <w:rPr>
                <w:rFonts w:cs="Arial"/>
                <w:b/>
                <w:bCs/>
                <w:color w:val="000000"/>
              </w:rPr>
            </w:pPr>
            <w:r w:rsidRPr="00DC397E">
              <w:rPr>
                <w:rFonts w:cs="Arial"/>
                <w:b/>
                <w:bCs/>
                <w:color w:val="000000"/>
              </w:rPr>
              <w:t>Operating Expenditure Commitments</w:t>
            </w:r>
          </w:p>
        </w:tc>
        <w:tc>
          <w:tcPr>
            <w:tcW w:w="731" w:type="dxa"/>
            <w:tcBorders>
              <w:top w:val="nil"/>
              <w:left w:val="nil"/>
              <w:bottom w:val="nil"/>
              <w:right w:val="nil"/>
            </w:tcBorders>
            <w:shd w:val="clear" w:color="auto" w:fill="auto"/>
            <w:vAlign w:val="center"/>
            <w:hideMark/>
          </w:tcPr>
          <w:p w14:paraId="6B8FFE2E"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0E172226"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vAlign w:val="center"/>
            <w:hideMark/>
          </w:tcPr>
          <w:p w14:paraId="2885D3F6" w14:textId="77777777" w:rsidR="0097090C" w:rsidRPr="00DC397E" w:rsidRDefault="0097090C" w:rsidP="0097090C">
            <w:pPr>
              <w:jc w:val="right"/>
              <w:rPr>
                <w:rFonts w:cs="Arial"/>
                <w:color w:val="000000"/>
              </w:rPr>
            </w:pPr>
          </w:p>
        </w:tc>
      </w:tr>
      <w:tr w:rsidR="0097090C" w:rsidRPr="00DC397E" w14:paraId="3F14610F" w14:textId="77777777" w:rsidTr="0097090C">
        <w:trPr>
          <w:trHeight w:val="510"/>
        </w:trPr>
        <w:tc>
          <w:tcPr>
            <w:tcW w:w="6095" w:type="dxa"/>
            <w:tcBorders>
              <w:top w:val="nil"/>
              <w:left w:val="nil"/>
              <w:bottom w:val="nil"/>
              <w:right w:val="nil"/>
            </w:tcBorders>
            <w:shd w:val="clear" w:color="auto" w:fill="auto"/>
            <w:vAlign w:val="center"/>
            <w:hideMark/>
          </w:tcPr>
          <w:p w14:paraId="67B20E3A" w14:textId="77777777" w:rsidR="0097090C" w:rsidRPr="00DC397E" w:rsidRDefault="0097090C" w:rsidP="0097090C">
            <w:pPr>
              <w:rPr>
                <w:rFonts w:cs="Arial"/>
                <w:color w:val="000000"/>
              </w:rPr>
            </w:pPr>
            <w:r w:rsidRPr="00DC397E">
              <w:rPr>
                <w:rFonts w:cs="Arial"/>
                <w:color w:val="000000"/>
              </w:rPr>
              <w:t>Non-cancellable operating expenditure contracted</w:t>
            </w:r>
            <w:r>
              <w:rPr>
                <w:rFonts w:cs="Arial"/>
                <w:color w:val="000000"/>
              </w:rPr>
              <w:t>:</w:t>
            </w:r>
          </w:p>
        </w:tc>
        <w:tc>
          <w:tcPr>
            <w:tcW w:w="731" w:type="dxa"/>
            <w:tcBorders>
              <w:top w:val="nil"/>
              <w:left w:val="nil"/>
              <w:bottom w:val="nil"/>
              <w:right w:val="nil"/>
            </w:tcBorders>
            <w:shd w:val="clear" w:color="auto" w:fill="auto"/>
            <w:vAlign w:val="center"/>
            <w:hideMark/>
          </w:tcPr>
          <w:p w14:paraId="34D8AFF9"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77E3A252"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vAlign w:val="center"/>
            <w:hideMark/>
          </w:tcPr>
          <w:p w14:paraId="72D70CD6" w14:textId="77777777" w:rsidR="0097090C" w:rsidRPr="00DC397E" w:rsidRDefault="0097090C" w:rsidP="0097090C">
            <w:pPr>
              <w:jc w:val="right"/>
              <w:rPr>
                <w:rFonts w:cs="Arial"/>
                <w:color w:val="000000"/>
              </w:rPr>
            </w:pPr>
          </w:p>
        </w:tc>
      </w:tr>
      <w:tr w:rsidR="0097090C" w:rsidRPr="00DC397E" w14:paraId="526B5981" w14:textId="77777777" w:rsidTr="0097090C">
        <w:trPr>
          <w:trHeight w:val="285"/>
        </w:trPr>
        <w:tc>
          <w:tcPr>
            <w:tcW w:w="6095" w:type="dxa"/>
            <w:tcBorders>
              <w:top w:val="nil"/>
              <w:left w:val="nil"/>
              <w:bottom w:val="nil"/>
              <w:right w:val="nil"/>
            </w:tcBorders>
            <w:shd w:val="clear" w:color="auto" w:fill="auto"/>
            <w:vAlign w:val="center"/>
            <w:hideMark/>
          </w:tcPr>
          <w:p w14:paraId="0BDC44E9" w14:textId="77777777" w:rsidR="0097090C" w:rsidRPr="00DC397E" w:rsidRDefault="0097090C" w:rsidP="0097090C">
            <w:pPr>
              <w:rPr>
                <w:rFonts w:cs="Arial"/>
                <w:color w:val="000000"/>
              </w:rPr>
            </w:pPr>
            <w:r w:rsidRPr="00DC397E">
              <w:rPr>
                <w:rFonts w:cs="Arial"/>
                <w:color w:val="000000"/>
              </w:rPr>
              <w:t>Payable:</w:t>
            </w:r>
          </w:p>
        </w:tc>
        <w:tc>
          <w:tcPr>
            <w:tcW w:w="731" w:type="dxa"/>
            <w:tcBorders>
              <w:top w:val="nil"/>
              <w:left w:val="nil"/>
              <w:bottom w:val="nil"/>
              <w:right w:val="nil"/>
            </w:tcBorders>
            <w:shd w:val="clear" w:color="auto" w:fill="auto"/>
            <w:vAlign w:val="center"/>
            <w:hideMark/>
          </w:tcPr>
          <w:p w14:paraId="1C4C4490"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34EEF858" w14:textId="77777777" w:rsidR="0097090C" w:rsidRPr="00DC397E" w:rsidRDefault="0097090C" w:rsidP="0097090C">
            <w:pPr>
              <w:jc w:val="right"/>
              <w:rPr>
                <w:rFonts w:cs="Arial"/>
                <w:color w:val="000000"/>
              </w:rPr>
            </w:pPr>
            <w:r w:rsidRPr="00DC397E">
              <w:rPr>
                <w:rFonts w:cs="Arial"/>
                <w:color w:val="000000"/>
              </w:rPr>
              <w:t> </w:t>
            </w:r>
          </w:p>
        </w:tc>
        <w:tc>
          <w:tcPr>
            <w:tcW w:w="1267" w:type="dxa"/>
            <w:tcBorders>
              <w:top w:val="nil"/>
              <w:left w:val="nil"/>
              <w:bottom w:val="nil"/>
              <w:right w:val="nil"/>
            </w:tcBorders>
            <w:shd w:val="clear" w:color="auto" w:fill="auto"/>
            <w:vAlign w:val="center"/>
            <w:hideMark/>
          </w:tcPr>
          <w:p w14:paraId="4EBA0C01" w14:textId="77777777" w:rsidR="0097090C" w:rsidRPr="00DC397E" w:rsidRDefault="0097090C" w:rsidP="0097090C">
            <w:pPr>
              <w:jc w:val="right"/>
              <w:rPr>
                <w:rFonts w:cs="Arial"/>
                <w:color w:val="000000"/>
              </w:rPr>
            </w:pPr>
          </w:p>
        </w:tc>
      </w:tr>
      <w:tr w:rsidR="0097090C" w:rsidRPr="00DC397E" w14:paraId="21B38268" w14:textId="77777777" w:rsidTr="0097090C">
        <w:trPr>
          <w:trHeight w:val="285"/>
        </w:trPr>
        <w:tc>
          <w:tcPr>
            <w:tcW w:w="6095" w:type="dxa"/>
            <w:tcBorders>
              <w:top w:val="nil"/>
              <w:left w:val="nil"/>
              <w:bottom w:val="nil"/>
              <w:right w:val="nil"/>
            </w:tcBorders>
            <w:shd w:val="clear" w:color="auto" w:fill="auto"/>
            <w:vAlign w:val="center"/>
            <w:hideMark/>
          </w:tcPr>
          <w:p w14:paraId="7B558D37" w14:textId="77777777" w:rsidR="0097090C" w:rsidRPr="00DC397E" w:rsidRDefault="0097090C" w:rsidP="0097090C">
            <w:pPr>
              <w:rPr>
                <w:rFonts w:cs="Arial"/>
                <w:color w:val="000000"/>
              </w:rPr>
            </w:pPr>
            <w:r w:rsidRPr="00DC397E">
              <w:rPr>
                <w:rFonts w:cs="Arial"/>
                <w:color w:val="000000"/>
              </w:rPr>
              <w:t>Not longer than 1 year</w:t>
            </w:r>
          </w:p>
        </w:tc>
        <w:tc>
          <w:tcPr>
            <w:tcW w:w="731" w:type="dxa"/>
            <w:tcBorders>
              <w:top w:val="nil"/>
              <w:left w:val="nil"/>
              <w:bottom w:val="nil"/>
              <w:right w:val="nil"/>
            </w:tcBorders>
            <w:shd w:val="clear" w:color="auto" w:fill="auto"/>
            <w:vAlign w:val="center"/>
            <w:hideMark/>
          </w:tcPr>
          <w:p w14:paraId="1C1771A4"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4A6F6164" w14:textId="77777777" w:rsidR="0097090C" w:rsidRPr="00DC397E" w:rsidRDefault="0097090C" w:rsidP="0097090C">
            <w:pPr>
              <w:jc w:val="right"/>
              <w:rPr>
                <w:rFonts w:cs="Arial"/>
                <w:color w:val="000000"/>
              </w:rPr>
            </w:pPr>
            <w:r>
              <w:rPr>
                <w:rFonts w:cs="Arial"/>
                <w:color w:val="000000"/>
              </w:rPr>
              <w:t>2,175</w:t>
            </w:r>
          </w:p>
        </w:tc>
        <w:tc>
          <w:tcPr>
            <w:tcW w:w="1267" w:type="dxa"/>
            <w:tcBorders>
              <w:top w:val="nil"/>
              <w:left w:val="nil"/>
              <w:bottom w:val="nil"/>
              <w:right w:val="nil"/>
            </w:tcBorders>
            <w:shd w:val="clear" w:color="auto" w:fill="auto"/>
            <w:vAlign w:val="center"/>
            <w:hideMark/>
          </w:tcPr>
          <w:p w14:paraId="2DF817BD" w14:textId="77777777" w:rsidR="0097090C" w:rsidRPr="00DC397E" w:rsidRDefault="0097090C" w:rsidP="0097090C">
            <w:pPr>
              <w:jc w:val="right"/>
              <w:rPr>
                <w:rFonts w:cs="Arial"/>
                <w:color w:val="000000"/>
              </w:rPr>
            </w:pPr>
            <w:r w:rsidRPr="00DC397E">
              <w:rPr>
                <w:rFonts w:cs="Arial"/>
                <w:color w:val="000000"/>
              </w:rPr>
              <w:t>3,145</w:t>
            </w:r>
          </w:p>
        </w:tc>
      </w:tr>
      <w:tr w:rsidR="0097090C" w:rsidRPr="00DC397E" w14:paraId="342F0AC2" w14:textId="77777777" w:rsidTr="0097090C">
        <w:trPr>
          <w:trHeight w:val="285"/>
        </w:trPr>
        <w:tc>
          <w:tcPr>
            <w:tcW w:w="6095" w:type="dxa"/>
            <w:tcBorders>
              <w:top w:val="nil"/>
              <w:left w:val="nil"/>
              <w:bottom w:val="nil"/>
              <w:right w:val="nil"/>
            </w:tcBorders>
            <w:shd w:val="clear" w:color="auto" w:fill="auto"/>
            <w:vAlign w:val="center"/>
            <w:hideMark/>
          </w:tcPr>
          <w:p w14:paraId="7E9E93F6" w14:textId="77777777" w:rsidR="0097090C" w:rsidRPr="00DC397E" w:rsidRDefault="0097090C" w:rsidP="0097090C">
            <w:pPr>
              <w:rPr>
                <w:rFonts w:cs="Arial"/>
                <w:color w:val="000000"/>
              </w:rPr>
            </w:pPr>
            <w:r w:rsidRPr="00DC397E">
              <w:rPr>
                <w:rFonts w:cs="Arial"/>
                <w:color w:val="000000"/>
              </w:rPr>
              <w:t>Longer than 1 year but not longer than 5 years</w:t>
            </w:r>
          </w:p>
        </w:tc>
        <w:tc>
          <w:tcPr>
            <w:tcW w:w="731" w:type="dxa"/>
            <w:tcBorders>
              <w:top w:val="nil"/>
              <w:left w:val="nil"/>
              <w:bottom w:val="nil"/>
              <w:right w:val="nil"/>
            </w:tcBorders>
            <w:shd w:val="clear" w:color="auto" w:fill="auto"/>
            <w:vAlign w:val="center"/>
            <w:hideMark/>
          </w:tcPr>
          <w:p w14:paraId="249F4FD0" w14:textId="77777777" w:rsidR="0097090C" w:rsidRPr="00DC397E" w:rsidRDefault="0097090C" w:rsidP="0097090C">
            <w:pPr>
              <w:rPr>
                <w:rFonts w:ascii="Calibri" w:hAnsi="Calibri"/>
                <w:color w:val="000000"/>
                <w:szCs w:val="22"/>
              </w:rPr>
            </w:pPr>
          </w:p>
        </w:tc>
        <w:tc>
          <w:tcPr>
            <w:tcW w:w="1267" w:type="dxa"/>
            <w:tcBorders>
              <w:top w:val="nil"/>
              <w:left w:val="nil"/>
              <w:bottom w:val="nil"/>
              <w:right w:val="nil"/>
            </w:tcBorders>
            <w:shd w:val="clear" w:color="000000" w:fill="D9D9D9"/>
            <w:vAlign w:val="center"/>
            <w:hideMark/>
          </w:tcPr>
          <w:p w14:paraId="0EC59364" w14:textId="77777777" w:rsidR="0097090C" w:rsidRPr="00DC397E" w:rsidRDefault="0097090C" w:rsidP="0097090C">
            <w:pPr>
              <w:jc w:val="right"/>
              <w:rPr>
                <w:rFonts w:cs="Arial"/>
                <w:color w:val="000000"/>
              </w:rPr>
            </w:pPr>
            <w:r>
              <w:rPr>
                <w:rFonts w:cs="Arial"/>
                <w:color w:val="000000"/>
              </w:rPr>
              <w:t>581</w:t>
            </w:r>
          </w:p>
        </w:tc>
        <w:tc>
          <w:tcPr>
            <w:tcW w:w="1267" w:type="dxa"/>
            <w:tcBorders>
              <w:top w:val="nil"/>
              <w:left w:val="nil"/>
              <w:bottom w:val="nil"/>
              <w:right w:val="nil"/>
            </w:tcBorders>
            <w:shd w:val="clear" w:color="auto" w:fill="auto"/>
            <w:vAlign w:val="center"/>
            <w:hideMark/>
          </w:tcPr>
          <w:p w14:paraId="4CB418FA" w14:textId="77777777" w:rsidR="0097090C" w:rsidRPr="00DC397E" w:rsidRDefault="0097090C" w:rsidP="0097090C">
            <w:pPr>
              <w:jc w:val="right"/>
              <w:rPr>
                <w:rFonts w:cs="Arial"/>
                <w:color w:val="000000"/>
              </w:rPr>
            </w:pPr>
            <w:r w:rsidRPr="00DC397E">
              <w:rPr>
                <w:rFonts w:cs="Arial"/>
                <w:color w:val="000000"/>
              </w:rPr>
              <w:t>0</w:t>
            </w:r>
          </w:p>
        </w:tc>
      </w:tr>
      <w:tr w:rsidR="0097090C" w:rsidRPr="00DC397E" w14:paraId="6E5066D7" w14:textId="77777777" w:rsidTr="0097090C">
        <w:trPr>
          <w:trHeight w:val="285"/>
        </w:trPr>
        <w:tc>
          <w:tcPr>
            <w:tcW w:w="6095" w:type="dxa"/>
            <w:tcBorders>
              <w:top w:val="single" w:sz="4" w:space="0" w:color="auto"/>
              <w:left w:val="nil"/>
              <w:bottom w:val="single" w:sz="4" w:space="0" w:color="auto"/>
              <w:right w:val="nil"/>
            </w:tcBorders>
            <w:shd w:val="clear" w:color="auto" w:fill="auto"/>
            <w:vAlign w:val="center"/>
            <w:hideMark/>
          </w:tcPr>
          <w:p w14:paraId="0BBC8973" w14:textId="77777777" w:rsidR="0097090C" w:rsidRPr="00DC397E" w:rsidRDefault="0097090C" w:rsidP="0097090C">
            <w:pPr>
              <w:rPr>
                <w:rFonts w:cs="Arial"/>
                <w:b/>
                <w:bCs/>
                <w:color w:val="000000"/>
              </w:rPr>
            </w:pPr>
            <w:r w:rsidRPr="00DC397E">
              <w:rPr>
                <w:rFonts w:cs="Arial"/>
                <w:b/>
                <w:bCs/>
                <w:color w:val="000000"/>
              </w:rPr>
              <w:t>Total</w:t>
            </w:r>
          </w:p>
        </w:tc>
        <w:tc>
          <w:tcPr>
            <w:tcW w:w="731" w:type="dxa"/>
            <w:tcBorders>
              <w:top w:val="single" w:sz="4" w:space="0" w:color="auto"/>
              <w:left w:val="nil"/>
              <w:bottom w:val="single" w:sz="4" w:space="0" w:color="auto"/>
              <w:right w:val="nil"/>
            </w:tcBorders>
            <w:shd w:val="clear" w:color="auto" w:fill="auto"/>
            <w:vAlign w:val="center"/>
            <w:hideMark/>
          </w:tcPr>
          <w:p w14:paraId="5AF1B381" w14:textId="77777777" w:rsidR="0097090C" w:rsidRPr="00DC397E" w:rsidRDefault="0097090C" w:rsidP="0097090C">
            <w:pPr>
              <w:jc w:val="center"/>
              <w:rPr>
                <w:rFonts w:cs="Arial"/>
                <w:b/>
                <w:bCs/>
                <w:color w:val="000000"/>
              </w:rPr>
            </w:pPr>
            <w:r w:rsidRPr="00DC397E">
              <w:rPr>
                <w:rFonts w:cs="Arial"/>
                <w:b/>
                <w:bCs/>
                <w:color w:val="000000"/>
              </w:rPr>
              <w:t> </w:t>
            </w:r>
          </w:p>
        </w:tc>
        <w:tc>
          <w:tcPr>
            <w:tcW w:w="1267" w:type="dxa"/>
            <w:tcBorders>
              <w:top w:val="single" w:sz="4" w:space="0" w:color="auto"/>
              <w:left w:val="nil"/>
              <w:bottom w:val="single" w:sz="4" w:space="0" w:color="auto"/>
              <w:right w:val="nil"/>
            </w:tcBorders>
            <w:shd w:val="clear" w:color="000000" w:fill="D9D9D9"/>
            <w:vAlign w:val="center"/>
            <w:hideMark/>
          </w:tcPr>
          <w:p w14:paraId="05803495" w14:textId="77777777" w:rsidR="0097090C" w:rsidRPr="00DC397E" w:rsidRDefault="0097090C" w:rsidP="0097090C">
            <w:pPr>
              <w:jc w:val="right"/>
              <w:rPr>
                <w:rFonts w:cs="Arial"/>
                <w:b/>
                <w:bCs/>
                <w:color w:val="000000"/>
              </w:rPr>
            </w:pPr>
            <w:r>
              <w:rPr>
                <w:rFonts w:cs="Arial"/>
                <w:b/>
                <w:bCs/>
                <w:color w:val="000000"/>
              </w:rPr>
              <w:t>2,756</w:t>
            </w:r>
          </w:p>
        </w:tc>
        <w:tc>
          <w:tcPr>
            <w:tcW w:w="1267" w:type="dxa"/>
            <w:tcBorders>
              <w:top w:val="single" w:sz="4" w:space="0" w:color="auto"/>
              <w:left w:val="nil"/>
              <w:bottom w:val="single" w:sz="4" w:space="0" w:color="auto"/>
              <w:right w:val="nil"/>
            </w:tcBorders>
            <w:shd w:val="clear" w:color="auto" w:fill="auto"/>
            <w:vAlign w:val="center"/>
            <w:hideMark/>
          </w:tcPr>
          <w:p w14:paraId="226DEE01" w14:textId="77777777" w:rsidR="0097090C" w:rsidRPr="00DC397E" w:rsidRDefault="0097090C" w:rsidP="0097090C">
            <w:pPr>
              <w:jc w:val="right"/>
              <w:rPr>
                <w:rFonts w:cs="Arial"/>
                <w:b/>
                <w:bCs/>
                <w:color w:val="000000"/>
              </w:rPr>
            </w:pPr>
            <w:r w:rsidRPr="00DC397E">
              <w:rPr>
                <w:rFonts w:cs="Arial"/>
                <w:b/>
                <w:bCs/>
                <w:color w:val="000000"/>
              </w:rPr>
              <w:t>3,145</w:t>
            </w:r>
          </w:p>
        </w:tc>
      </w:tr>
      <w:tr w:rsidR="0097090C" w:rsidRPr="00DC397E" w14:paraId="29684F88" w14:textId="77777777" w:rsidTr="0097090C">
        <w:trPr>
          <w:trHeight w:val="285"/>
        </w:trPr>
        <w:tc>
          <w:tcPr>
            <w:tcW w:w="6095" w:type="dxa"/>
            <w:tcBorders>
              <w:top w:val="nil"/>
              <w:left w:val="nil"/>
              <w:bottom w:val="single" w:sz="4" w:space="0" w:color="auto"/>
              <w:right w:val="nil"/>
            </w:tcBorders>
            <w:shd w:val="clear" w:color="auto" w:fill="auto"/>
            <w:vAlign w:val="center"/>
            <w:hideMark/>
          </w:tcPr>
          <w:p w14:paraId="1D863514" w14:textId="77777777" w:rsidR="0097090C" w:rsidRPr="00DC397E" w:rsidRDefault="0097090C" w:rsidP="0097090C">
            <w:pPr>
              <w:rPr>
                <w:rFonts w:cs="Arial"/>
                <w:b/>
                <w:bCs/>
                <w:color w:val="000000"/>
              </w:rPr>
            </w:pPr>
            <w:r>
              <w:rPr>
                <w:rFonts w:cs="Arial"/>
                <w:b/>
                <w:bCs/>
                <w:color w:val="000000"/>
              </w:rPr>
              <w:t xml:space="preserve">Total </w:t>
            </w:r>
            <w:r w:rsidRPr="00DC397E">
              <w:rPr>
                <w:rFonts w:cs="Arial"/>
                <w:b/>
                <w:bCs/>
                <w:color w:val="000000"/>
              </w:rPr>
              <w:t>Commitments</w:t>
            </w:r>
          </w:p>
        </w:tc>
        <w:tc>
          <w:tcPr>
            <w:tcW w:w="731" w:type="dxa"/>
            <w:tcBorders>
              <w:top w:val="nil"/>
              <w:left w:val="nil"/>
              <w:bottom w:val="single" w:sz="4" w:space="0" w:color="auto"/>
              <w:right w:val="nil"/>
            </w:tcBorders>
            <w:shd w:val="clear" w:color="auto" w:fill="auto"/>
            <w:vAlign w:val="center"/>
            <w:hideMark/>
          </w:tcPr>
          <w:p w14:paraId="40AEF431" w14:textId="77777777" w:rsidR="0097090C" w:rsidRPr="00DC397E" w:rsidRDefault="0097090C" w:rsidP="0097090C">
            <w:pPr>
              <w:jc w:val="center"/>
              <w:rPr>
                <w:rFonts w:cs="Arial"/>
                <w:b/>
                <w:bCs/>
                <w:color w:val="000000"/>
              </w:rPr>
            </w:pPr>
            <w:r w:rsidRPr="00DC397E">
              <w:rPr>
                <w:rFonts w:cs="Arial"/>
                <w:b/>
                <w:bCs/>
                <w:color w:val="000000"/>
              </w:rPr>
              <w:t> </w:t>
            </w:r>
          </w:p>
        </w:tc>
        <w:tc>
          <w:tcPr>
            <w:tcW w:w="1267" w:type="dxa"/>
            <w:tcBorders>
              <w:top w:val="nil"/>
              <w:left w:val="nil"/>
              <w:bottom w:val="single" w:sz="4" w:space="0" w:color="auto"/>
              <w:right w:val="nil"/>
            </w:tcBorders>
            <w:shd w:val="clear" w:color="000000" w:fill="D9D9D9"/>
            <w:vAlign w:val="center"/>
            <w:hideMark/>
          </w:tcPr>
          <w:p w14:paraId="12DAD0EC" w14:textId="77777777" w:rsidR="0097090C" w:rsidRPr="00DC397E" w:rsidRDefault="0097090C" w:rsidP="0097090C">
            <w:pPr>
              <w:jc w:val="right"/>
              <w:rPr>
                <w:rFonts w:cs="Arial"/>
                <w:b/>
                <w:bCs/>
                <w:color w:val="000000"/>
              </w:rPr>
            </w:pPr>
            <w:r>
              <w:rPr>
                <w:rFonts w:cs="Arial"/>
                <w:b/>
                <w:bCs/>
                <w:color w:val="000000"/>
              </w:rPr>
              <w:t>15,391</w:t>
            </w:r>
          </w:p>
        </w:tc>
        <w:tc>
          <w:tcPr>
            <w:tcW w:w="1267" w:type="dxa"/>
            <w:tcBorders>
              <w:top w:val="nil"/>
              <w:left w:val="nil"/>
              <w:bottom w:val="single" w:sz="4" w:space="0" w:color="auto"/>
              <w:right w:val="nil"/>
            </w:tcBorders>
            <w:shd w:val="clear" w:color="auto" w:fill="auto"/>
            <w:vAlign w:val="center"/>
            <w:hideMark/>
          </w:tcPr>
          <w:p w14:paraId="6F8DAE65" w14:textId="77777777" w:rsidR="0097090C" w:rsidRPr="00DC397E" w:rsidRDefault="0097090C" w:rsidP="0097090C">
            <w:pPr>
              <w:jc w:val="right"/>
              <w:rPr>
                <w:rFonts w:cs="Arial"/>
                <w:b/>
                <w:bCs/>
                <w:color w:val="000000"/>
              </w:rPr>
            </w:pPr>
            <w:r w:rsidRPr="00DC397E">
              <w:rPr>
                <w:rFonts w:cs="Arial"/>
                <w:b/>
                <w:bCs/>
                <w:color w:val="000000"/>
              </w:rPr>
              <w:t>4,839</w:t>
            </w:r>
          </w:p>
        </w:tc>
      </w:tr>
    </w:tbl>
    <w:p w14:paraId="21BFCB2E" w14:textId="77777777" w:rsidR="0097090C" w:rsidRDefault="0097090C" w:rsidP="0097090C">
      <w:pPr>
        <w:spacing w:before="60" w:after="60"/>
        <w:rPr>
          <w:rFonts w:cs="Arial"/>
          <w:sz w:val="18"/>
          <w:szCs w:val="18"/>
        </w:rPr>
      </w:pPr>
    </w:p>
    <w:tbl>
      <w:tblPr>
        <w:tblW w:w="9340" w:type="dxa"/>
        <w:tblInd w:w="108" w:type="dxa"/>
        <w:tblLook w:val="04A0" w:firstRow="1" w:lastRow="0" w:firstColumn="1" w:lastColumn="0" w:noHBand="0" w:noVBand="1"/>
      </w:tblPr>
      <w:tblGrid>
        <w:gridCol w:w="4636"/>
        <w:gridCol w:w="736"/>
        <w:gridCol w:w="992"/>
        <w:gridCol w:w="992"/>
        <w:gridCol w:w="992"/>
        <w:gridCol w:w="992"/>
      </w:tblGrid>
      <w:tr w:rsidR="0097090C" w:rsidRPr="00326499" w14:paraId="21E1791E" w14:textId="77777777" w:rsidTr="0097090C">
        <w:trPr>
          <w:trHeight w:val="670"/>
        </w:trPr>
        <w:tc>
          <w:tcPr>
            <w:tcW w:w="4636" w:type="dxa"/>
            <w:tcBorders>
              <w:top w:val="single" w:sz="4" w:space="0" w:color="auto"/>
              <w:left w:val="nil"/>
              <w:bottom w:val="single" w:sz="4" w:space="0" w:color="auto"/>
              <w:right w:val="nil"/>
            </w:tcBorders>
            <w:shd w:val="clear" w:color="auto" w:fill="auto"/>
            <w:noWrap/>
            <w:vAlign w:val="center"/>
            <w:hideMark/>
          </w:tcPr>
          <w:p w14:paraId="55E27515" w14:textId="77777777" w:rsidR="0097090C" w:rsidRPr="00326499" w:rsidRDefault="0097090C" w:rsidP="0097090C">
            <w:pPr>
              <w:rPr>
                <w:rFonts w:cs="Arial"/>
                <w:b/>
                <w:bCs/>
                <w:color w:val="000000"/>
                <w:szCs w:val="22"/>
              </w:rPr>
            </w:pPr>
            <w:r w:rsidRPr="00326499">
              <w:rPr>
                <w:rFonts w:cs="Arial"/>
                <w:b/>
                <w:bCs/>
                <w:color w:val="000000"/>
                <w:szCs w:val="22"/>
              </w:rPr>
              <w:t> </w:t>
            </w:r>
          </w:p>
        </w:tc>
        <w:tc>
          <w:tcPr>
            <w:tcW w:w="736" w:type="dxa"/>
            <w:tcBorders>
              <w:top w:val="single" w:sz="4" w:space="0" w:color="auto"/>
              <w:left w:val="nil"/>
              <w:bottom w:val="single" w:sz="4" w:space="0" w:color="auto"/>
              <w:right w:val="nil"/>
            </w:tcBorders>
            <w:shd w:val="clear" w:color="auto" w:fill="auto"/>
            <w:noWrap/>
            <w:vAlign w:val="center"/>
            <w:hideMark/>
          </w:tcPr>
          <w:p w14:paraId="6BB28A82" w14:textId="77777777" w:rsidR="0097090C" w:rsidRPr="00326499" w:rsidRDefault="0097090C" w:rsidP="0097090C">
            <w:pPr>
              <w:rPr>
                <w:rFonts w:cs="Arial"/>
                <w:color w:val="000000"/>
                <w:szCs w:val="22"/>
              </w:rPr>
            </w:pPr>
            <w:r w:rsidRPr="00326499">
              <w:rPr>
                <w:rFonts w:cs="Arial"/>
                <w:color w:val="000000"/>
                <w:szCs w:val="22"/>
              </w:rPr>
              <w:t> </w:t>
            </w:r>
          </w:p>
        </w:tc>
        <w:tc>
          <w:tcPr>
            <w:tcW w:w="1984" w:type="dxa"/>
            <w:gridSpan w:val="2"/>
            <w:tcBorders>
              <w:top w:val="single" w:sz="4" w:space="0" w:color="auto"/>
              <w:left w:val="nil"/>
              <w:bottom w:val="single" w:sz="4" w:space="0" w:color="auto"/>
              <w:right w:val="nil"/>
            </w:tcBorders>
            <w:shd w:val="clear" w:color="auto" w:fill="auto"/>
            <w:vAlign w:val="center"/>
            <w:hideMark/>
          </w:tcPr>
          <w:p w14:paraId="3B787BF0" w14:textId="77777777" w:rsidR="0097090C" w:rsidRPr="00326499" w:rsidRDefault="0097090C" w:rsidP="0097090C">
            <w:pPr>
              <w:jc w:val="center"/>
              <w:rPr>
                <w:rFonts w:cs="Arial"/>
                <w:i/>
                <w:iCs/>
                <w:color w:val="000000"/>
              </w:rPr>
            </w:pPr>
            <w:r w:rsidRPr="00326499">
              <w:rPr>
                <w:rFonts w:cs="Arial"/>
                <w:i/>
                <w:iCs/>
                <w:color w:val="000000"/>
              </w:rPr>
              <w:t xml:space="preserve">Minimum future lease payments </w:t>
            </w:r>
          </w:p>
        </w:tc>
        <w:tc>
          <w:tcPr>
            <w:tcW w:w="1984" w:type="dxa"/>
            <w:gridSpan w:val="2"/>
            <w:tcBorders>
              <w:top w:val="single" w:sz="4" w:space="0" w:color="auto"/>
              <w:left w:val="nil"/>
              <w:bottom w:val="single" w:sz="4" w:space="0" w:color="auto"/>
              <w:right w:val="nil"/>
            </w:tcBorders>
            <w:shd w:val="clear" w:color="auto" w:fill="auto"/>
            <w:vAlign w:val="center"/>
            <w:hideMark/>
          </w:tcPr>
          <w:p w14:paraId="18377072" w14:textId="77777777" w:rsidR="0097090C" w:rsidRPr="00326499" w:rsidRDefault="0097090C" w:rsidP="0097090C">
            <w:pPr>
              <w:jc w:val="center"/>
              <w:rPr>
                <w:rFonts w:cs="Arial"/>
                <w:i/>
                <w:iCs/>
                <w:color w:val="000000"/>
              </w:rPr>
            </w:pPr>
            <w:r w:rsidRPr="00326499">
              <w:rPr>
                <w:rFonts w:cs="Arial"/>
                <w:i/>
                <w:iCs/>
                <w:color w:val="000000"/>
              </w:rPr>
              <w:t>Present value of minimum future lease payments</w:t>
            </w:r>
          </w:p>
        </w:tc>
      </w:tr>
      <w:tr w:rsidR="0097090C" w:rsidRPr="00326499" w14:paraId="0CEC7AE2" w14:textId="77777777" w:rsidTr="0097090C">
        <w:trPr>
          <w:trHeight w:val="285"/>
        </w:trPr>
        <w:tc>
          <w:tcPr>
            <w:tcW w:w="4636" w:type="dxa"/>
            <w:tcBorders>
              <w:top w:val="nil"/>
              <w:left w:val="nil"/>
              <w:bottom w:val="single" w:sz="4" w:space="0" w:color="auto"/>
              <w:right w:val="nil"/>
            </w:tcBorders>
            <w:shd w:val="clear" w:color="auto" w:fill="auto"/>
            <w:noWrap/>
            <w:vAlign w:val="center"/>
            <w:hideMark/>
          </w:tcPr>
          <w:p w14:paraId="61F0341C" w14:textId="77777777" w:rsidR="0097090C" w:rsidRPr="00326499" w:rsidRDefault="0097090C" w:rsidP="0097090C">
            <w:pPr>
              <w:rPr>
                <w:rFonts w:cs="Arial"/>
                <w:color w:val="000000"/>
              </w:rPr>
            </w:pPr>
            <w:r w:rsidRPr="00326499">
              <w:rPr>
                <w:rFonts w:cs="Arial"/>
                <w:color w:val="000000"/>
              </w:rPr>
              <w:t> </w:t>
            </w:r>
          </w:p>
        </w:tc>
        <w:tc>
          <w:tcPr>
            <w:tcW w:w="736" w:type="dxa"/>
            <w:tcBorders>
              <w:top w:val="nil"/>
              <w:left w:val="nil"/>
              <w:bottom w:val="single" w:sz="4" w:space="0" w:color="auto"/>
              <w:right w:val="nil"/>
            </w:tcBorders>
            <w:shd w:val="clear" w:color="auto" w:fill="auto"/>
            <w:noWrap/>
            <w:vAlign w:val="center"/>
            <w:hideMark/>
          </w:tcPr>
          <w:p w14:paraId="570C098F" w14:textId="77777777" w:rsidR="0097090C" w:rsidRPr="00326499" w:rsidRDefault="0097090C" w:rsidP="0097090C">
            <w:pPr>
              <w:jc w:val="center"/>
              <w:rPr>
                <w:rFonts w:cs="Arial"/>
                <w:color w:val="000000"/>
              </w:rPr>
            </w:pPr>
            <w:r w:rsidRPr="00326499">
              <w:rPr>
                <w:rFonts w:cs="Arial"/>
                <w:color w:val="000000"/>
              </w:rPr>
              <w:t> </w:t>
            </w:r>
          </w:p>
        </w:tc>
        <w:tc>
          <w:tcPr>
            <w:tcW w:w="992" w:type="dxa"/>
            <w:tcBorders>
              <w:top w:val="nil"/>
              <w:left w:val="nil"/>
              <w:bottom w:val="single" w:sz="4" w:space="0" w:color="auto"/>
              <w:right w:val="nil"/>
            </w:tcBorders>
            <w:shd w:val="clear" w:color="000000" w:fill="D9D9D9"/>
            <w:noWrap/>
            <w:vAlign w:val="center"/>
            <w:hideMark/>
          </w:tcPr>
          <w:p w14:paraId="03D7A8AA" w14:textId="77777777" w:rsidR="0097090C" w:rsidRPr="00326499" w:rsidRDefault="0097090C" w:rsidP="0097090C">
            <w:pPr>
              <w:jc w:val="right"/>
              <w:rPr>
                <w:rFonts w:cs="Arial"/>
                <w:color w:val="000000"/>
              </w:rPr>
            </w:pPr>
            <w:r w:rsidRPr="00326499">
              <w:rPr>
                <w:rFonts w:cs="Arial"/>
                <w:color w:val="000000"/>
              </w:rPr>
              <w:t>2016</w:t>
            </w:r>
          </w:p>
        </w:tc>
        <w:tc>
          <w:tcPr>
            <w:tcW w:w="992" w:type="dxa"/>
            <w:tcBorders>
              <w:top w:val="nil"/>
              <w:left w:val="nil"/>
              <w:bottom w:val="single" w:sz="4" w:space="0" w:color="auto"/>
              <w:right w:val="nil"/>
            </w:tcBorders>
            <w:shd w:val="clear" w:color="auto" w:fill="auto"/>
            <w:noWrap/>
            <w:vAlign w:val="center"/>
            <w:hideMark/>
          </w:tcPr>
          <w:p w14:paraId="036E42F3" w14:textId="77777777" w:rsidR="0097090C" w:rsidRPr="00326499" w:rsidRDefault="0097090C" w:rsidP="0097090C">
            <w:pPr>
              <w:jc w:val="right"/>
              <w:rPr>
                <w:rFonts w:cs="Arial"/>
                <w:color w:val="000000"/>
              </w:rPr>
            </w:pPr>
            <w:r w:rsidRPr="00326499">
              <w:rPr>
                <w:rFonts w:cs="Arial"/>
                <w:color w:val="000000"/>
              </w:rPr>
              <w:t>2015</w:t>
            </w:r>
          </w:p>
        </w:tc>
        <w:tc>
          <w:tcPr>
            <w:tcW w:w="992" w:type="dxa"/>
            <w:tcBorders>
              <w:top w:val="nil"/>
              <w:left w:val="nil"/>
              <w:bottom w:val="single" w:sz="4" w:space="0" w:color="auto"/>
              <w:right w:val="nil"/>
            </w:tcBorders>
            <w:shd w:val="clear" w:color="000000" w:fill="D9D9D9"/>
            <w:noWrap/>
            <w:vAlign w:val="center"/>
            <w:hideMark/>
          </w:tcPr>
          <w:p w14:paraId="380B18CE" w14:textId="77777777" w:rsidR="0097090C" w:rsidRPr="00326499" w:rsidRDefault="0097090C" w:rsidP="0097090C">
            <w:pPr>
              <w:jc w:val="right"/>
              <w:rPr>
                <w:rFonts w:cs="Arial"/>
                <w:color w:val="000000"/>
              </w:rPr>
            </w:pPr>
            <w:r w:rsidRPr="00326499">
              <w:rPr>
                <w:rFonts w:cs="Arial"/>
                <w:color w:val="000000"/>
              </w:rPr>
              <w:t>2016</w:t>
            </w:r>
          </w:p>
        </w:tc>
        <w:tc>
          <w:tcPr>
            <w:tcW w:w="992" w:type="dxa"/>
            <w:tcBorders>
              <w:top w:val="nil"/>
              <w:left w:val="nil"/>
              <w:bottom w:val="single" w:sz="4" w:space="0" w:color="auto"/>
              <w:right w:val="nil"/>
            </w:tcBorders>
            <w:shd w:val="clear" w:color="auto" w:fill="auto"/>
            <w:noWrap/>
            <w:vAlign w:val="center"/>
            <w:hideMark/>
          </w:tcPr>
          <w:p w14:paraId="1CC356FA" w14:textId="77777777" w:rsidR="0097090C" w:rsidRPr="00326499" w:rsidRDefault="0097090C" w:rsidP="0097090C">
            <w:pPr>
              <w:jc w:val="right"/>
              <w:rPr>
                <w:rFonts w:cs="Arial"/>
                <w:color w:val="000000"/>
              </w:rPr>
            </w:pPr>
            <w:r w:rsidRPr="00326499">
              <w:rPr>
                <w:rFonts w:cs="Arial"/>
                <w:color w:val="000000"/>
              </w:rPr>
              <w:t>2015</w:t>
            </w:r>
          </w:p>
        </w:tc>
      </w:tr>
      <w:tr w:rsidR="0097090C" w:rsidRPr="00326499" w14:paraId="686CC2BF" w14:textId="77777777" w:rsidTr="0097090C">
        <w:trPr>
          <w:trHeight w:val="285"/>
        </w:trPr>
        <w:tc>
          <w:tcPr>
            <w:tcW w:w="4636" w:type="dxa"/>
            <w:tcBorders>
              <w:top w:val="nil"/>
              <w:left w:val="nil"/>
              <w:bottom w:val="single" w:sz="4" w:space="0" w:color="auto"/>
              <w:right w:val="nil"/>
            </w:tcBorders>
            <w:shd w:val="clear" w:color="auto" w:fill="auto"/>
            <w:noWrap/>
            <w:vAlign w:val="center"/>
            <w:hideMark/>
          </w:tcPr>
          <w:p w14:paraId="6732DD35" w14:textId="77777777" w:rsidR="0097090C" w:rsidRPr="00326499" w:rsidRDefault="0097090C" w:rsidP="0097090C">
            <w:pPr>
              <w:rPr>
                <w:rFonts w:cs="Arial"/>
                <w:color w:val="000000"/>
              </w:rPr>
            </w:pPr>
            <w:r w:rsidRPr="00326499">
              <w:rPr>
                <w:rFonts w:cs="Arial"/>
                <w:color w:val="000000"/>
              </w:rPr>
              <w:t> </w:t>
            </w:r>
          </w:p>
        </w:tc>
        <w:tc>
          <w:tcPr>
            <w:tcW w:w="736" w:type="dxa"/>
            <w:tcBorders>
              <w:top w:val="nil"/>
              <w:left w:val="nil"/>
              <w:bottom w:val="single" w:sz="4" w:space="0" w:color="auto"/>
              <w:right w:val="nil"/>
            </w:tcBorders>
            <w:shd w:val="clear" w:color="auto" w:fill="auto"/>
            <w:noWrap/>
            <w:vAlign w:val="center"/>
            <w:hideMark/>
          </w:tcPr>
          <w:p w14:paraId="255D216F" w14:textId="77777777" w:rsidR="0097090C" w:rsidRPr="00326499" w:rsidRDefault="0097090C" w:rsidP="0097090C">
            <w:pPr>
              <w:rPr>
                <w:rFonts w:cs="Arial"/>
                <w:color w:val="000000"/>
              </w:rPr>
            </w:pPr>
            <w:r w:rsidRPr="00326499">
              <w:rPr>
                <w:rFonts w:cs="Arial"/>
                <w:color w:val="000000"/>
              </w:rPr>
              <w:t> </w:t>
            </w:r>
          </w:p>
        </w:tc>
        <w:tc>
          <w:tcPr>
            <w:tcW w:w="992" w:type="dxa"/>
            <w:tcBorders>
              <w:top w:val="nil"/>
              <w:left w:val="nil"/>
              <w:bottom w:val="single" w:sz="4" w:space="0" w:color="auto"/>
              <w:right w:val="nil"/>
            </w:tcBorders>
            <w:shd w:val="clear" w:color="000000" w:fill="D9D9D9"/>
            <w:noWrap/>
            <w:vAlign w:val="center"/>
            <w:hideMark/>
          </w:tcPr>
          <w:p w14:paraId="00D85760" w14:textId="77777777" w:rsidR="0097090C" w:rsidRPr="00326499" w:rsidRDefault="0097090C" w:rsidP="0097090C">
            <w:pPr>
              <w:jc w:val="right"/>
              <w:rPr>
                <w:rFonts w:cs="Arial"/>
                <w:color w:val="000000"/>
              </w:rPr>
            </w:pPr>
            <w:r w:rsidRPr="00326499">
              <w:rPr>
                <w:rFonts w:cs="Arial"/>
                <w:color w:val="000000"/>
              </w:rPr>
              <w:t>$'000</w:t>
            </w:r>
          </w:p>
        </w:tc>
        <w:tc>
          <w:tcPr>
            <w:tcW w:w="992" w:type="dxa"/>
            <w:tcBorders>
              <w:top w:val="nil"/>
              <w:left w:val="nil"/>
              <w:bottom w:val="single" w:sz="4" w:space="0" w:color="auto"/>
              <w:right w:val="nil"/>
            </w:tcBorders>
            <w:shd w:val="clear" w:color="auto" w:fill="auto"/>
            <w:noWrap/>
            <w:vAlign w:val="center"/>
            <w:hideMark/>
          </w:tcPr>
          <w:p w14:paraId="069CAC42" w14:textId="77777777" w:rsidR="0097090C" w:rsidRPr="00326499" w:rsidRDefault="0097090C" w:rsidP="0097090C">
            <w:pPr>
              <w:jc w:val="right"/>
              <w:rPr>
                <w:rFonts w:cs="Arial"/>
                <w:color w:val="000000"/>
              </w:rPr>
            </w:pPr>
            <w:r w:rsidRPr="00326499">
              <w:rPr>
                <w:rFonts w:cs="Arial"/>
                <w:color w:val="000000"/>
              </w:rPr>
              <w:t>$'000</w:t>
            </w:r>
          </w:p>
        </w:tc>
        <w:tc>
          <w:tcPr>
            <w:tcW w:w="992" w:type="dxa"/>
            <w:tcBorders>
              <w:top w:val="nil"/>
              <w:left w:val="nil"/>
              <w:bottom w:val="single" w:sz="4" w:space="0" w:color="auto"/>
              <w:right w:val="nil"/>
            </w:tcBorders>
            <w:shd w:val="clear" w:color="000000" w:fill="D9D9D9"/>
            <w:noWrap/>
            <w:vAlign w:val="center"/>
            <w:hideMark/>
          </w:tcPr>
          <w:p w14:paraId="4389242A" w14:textId="77777777" w:rsidR="0097090C" w:rsidRPr="00326499" w:rsidRDefault="0097090C" w:rsidP="0097090C">
            <w:pPr>
              <w:jc w:val="right"/>
              <w:rPr>
                <w:rFonts w:cs="Arial"/>
                <w:color w:val="000000"/>
              </w:rPr>
            </w:pPr>
            <w:r w:rsidRPr="00326499">
              <w:rPr>
                <w:rFonts w:cs="Arial"/>
                <w:color w:val="000000"/>
              </w:rPr>
              <w:t>$'000</w:t>
            </w:r>
          </w:p>
        </w:tc>
        <w:tc>
          <w:tcPr>
            <w:tcW w:w="992" w:type="dxa"/>
            <w:tcBorders>
              <w:top w:val="nil"/>
              <w:left w:val="nil"/>
              <w:bottom w:val="single" w:sz="4" w:space="0" w:color="auto"/>
              <w:right w:val="nil"/>
            </w:tcBorders>
            <w:shd w:val="clear" w:color="auto" w:fill="auto"/>
            <w:noWrap/>
            <w:vAlign w:val="center"/>
            <w:hideMark/>
          </w:tcPr>
          <w:p w14:paraId="7F3D2977" w14:textId="77777777" w:rsidR="0097090C" w:rsidRPr="00326499" w:rsidRDefault="0097090C" w:rsidP="0097090C">
            <w:pPr>
              <w:jc w:val="right"/>
              <w:rPr>
                <w:rFonts w:cs="Arial"/>
                <w:color w:val="000000"/>
              </w:rPr>
            </w:pPr>
            <w:r w:rsidRPr="00326499">
              <w:rPr>
                <w:rFonts w:cs="Arial"/>
                <w:color w:val="000000"/>
              </w:rPr>
              <w:t>$'000</w:t>
            </w:r>
          </w:p>
        </w:tc>
      </w:tr>
      <w:tr w:rsidR="0097090C" w:rsidRPr="00326499" w14:paraId="78DC1427" w14:textId="77777777" w:rsidTr="0097090C">
        <w:trPr>
          <w:trHeight w:val="285"/>
        </w:trPr>
        <w:tc>
          <w:tcPr>
            <w:tcW w:w="4636" w:type="dxa"/>
            <w:tcBorders>
              <w:top w:val="nil"/>
              <w:left w:val="nil"/>
              <w:bottom w:val="nil"/>
              <w:right w:val="nil"/>
            </w:tcBorders>
            <w:shd w:val="clear" w:color="auto" w:fill="auto"/>
            <w:vAlign w:val="center"/>
            <w:hideMark/>
          </w:tcPr>
          <w:p w14:paraId="2F7817CB" w14:textId="77777777" w:rsidR="0097090C" w:rsidRPr="00326499" w:rsidRDefault="0097090C" w:rsidP="0097090C">
            <w:pPr>
              <w:rPr>
                <w:rFonts w:cs="Arial"/>
                <w:b/>
                <w:bCs/>
                <w:color w:val="000000"/>
              </w:rPr>
            </w:pPr>
            <w:r w:rsidRPr="00326499">
              <w:rPr>
                <w:rFonts w:cs="Arial"/>
                <w:b/>
                <w:bCs/>
                <w:color w:val="000000"/>
              </w:rPr>
              <w:t xml:space="preserve">Finance Leases </w:t>
            </w:r>
          </w:p>
        </w:tc>
        <w:tc>
          <w:tcPr>
            <w:tcW w:w="736" w:type="dxa"/>
            <w:tcBorders>
              <w:top w:val="nil"/>
              <w:left w:val="nil"/>
              <w:bottom w:val="nil"/>
              <w:right w:val="nil"/>
            </w:tcBorders>
            <w:shd w:val="clear" w:color="auto" w:fill="auto"/>
            <w:vAlign w:val="center"/>
            <w:hideMark/>
          </w:tcPr>
          <w:p w14:paraId="2D358AA2"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7A14320E"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73D12EAE" w14:textId="77777777" w:rsidR="0097090C" w:rsidRPr="00326499" w:rsidRDefault="0097090C" w:rsidP="0097090C">
            <w:pPr>
              <w:jc w:val="right"/>
              <w:rPr>
                <w:rFonts w:cs="Arial"/>
                <w:color w:val="000000"/>
              </w:rPr>
            </w:pPr>
          </w:p>
        </w:tc>
        <w:tc>
          <w:tcPr>
            <w:tcW w:w="992" w:type="dxa"/>
            <w:tcBorders>
              <w:top w:val="nil"/>
              <w:left w:val="nil"/>
              <w:bottom w:val="nil"/>
              <w:right w:val="nil"/>
            </w:tcBorders>
            <w:shd w:val="clear" w:color="000000" w:fill="D9D9D9"/>
            <w:vAlign w:val="center"/>
            <w:hideMark/>
          </w:tcPr>
          <w:p w14:paraId="3AF8C31F"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7462441D" w14:textId="77777777" w:rsidR="0097090C" w:rsidRPr="00326499" w:rsidRDefault="0097090C" w:rsidP="0097090C">
            <w:pPr>
              <w:jc w:val="right"/>
              <w:rPr>
                <w:rFonts w:cs="Arial"/>
                <w:color w:val="000000"/>
              </w:rPr>
            </w:pPr>
          </w:p>
        </w:tc>
      </w:tr>
      <w:tr w:rsidR="0097090C" w:rsidRPr="00326499" w14:paraId="150B2E84" w14:textId="77777777" w:rsidTr="0097090C">
        <w:trPr>
          <w:trHeight w:val="285"/>
        </w:trPr>
        <w:tc>
          <w:tcPr>
            <w:tcW w:w="4636" w:type="dxa"/>
            <w:tcBorders>
              <w:top w:val="nil"/>
              <w:left w:val="nil"/>
              <w:bottom w:val="nil"/>
              <w:right w:val="nil"/>
            </w:tcBorders>
            <w:shd w:val="clear" w:color="auto" w:fill="auto"/>
            <w:vAlign w:val="center"/>
            <w:hideMark/>
          </w:tcPr>
          <w:p w14:paraId="2DFE13AE" w14:textId="77777777" w:rsidR="0097090C" w:rsidRPr="00326499" w:rsidRDefault="0097090C" w:rsidP="0097090C">
            <w:pPr>
              <w:rPr>
                <w:rFonts w:cs="Arial"/>
                <w:color w:val="000000"/>
              </w:rPr>
            </w:pPr>
            <w:r w:rsidRPr="00326499">
              <w:rPr>
                <w:rFonts w:cs="Arial"/>
                <w:color w:val="000000"/>
              </w:rPr>
              <w:t>Finance leases are payable as follows:</w:t>
            </w:r>
          </w:p>
        </w:tc>
        <w:tc>
          <w:tcPr>
            <w:tcW w:w="736" w:type="dxa"/>
            <w:tcBorders>
              <w:top w:val="nil"/>
              <w:left w:val="nil"/>
              <w:bottom w:val="nil"/>
              <w:right w:val="nil"/>
            </w:tcBorders>
            <w:shd w:val="clear" w:color="auto" w:fill="auto"/>
            <w:vAlign w:val="center"/>
            <w:hideMark/>
          </w:tcPr>
          <w:p w14:paraId="0745C944"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1B46DB05"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084D13D4" w14:textId="77777777" w:rsidR="0097090C" w:rsidRPr="00326499" w:rsidRDefault="0097090C" w:rsidP="0097090C">
            <w:pPr>
              <w:jc w:val="right"/>
              <w:rPr>
                <w:rFonts w:cs="Arial"/>
                <w:color w:val="000000"/>
              </w:rPr>
            </w:pPr>
          </w:p>
        </w:tc>
        <w:tc>
          <w:tcPr>
            <w:tcW w:w="992" w:type="dxa"/>
            <w:tcBorders>
              <w:top w:val="nil"/>
              <w:left w:val="nil"/>
              <w:bottom w:val="nil"/>
              <w:right w:val="nil"/>
            </w:tcBorders>
            <w:shd w:val="clear" w:color="000000" w:fill="D9D9D9"/>
            <w:vAlign w:val="center"/>
            <w:hideMark/>
          </w:tcPr>
          <w:p w14:paraId="0FFE6AA9"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2E4E832D" w14:textId="77777777" w:rsidR="0097090C" w:rsidRPr="00326499" w:rsidRDefault="0097090C" w:rsidP="0097090C">
            <w:pPr>
              <w:jc w:val="right"/>
              <w:rPr>
                <w:rFonts w:cs="Arial"/>
                <w:color w:val="000000"/>
              </w:rPr>
            </w:pPr>
          </w:p>
        </w:tc>
      </w:tr>
      <w:tr w:rsidR="0097090C" w:rsidRPr="00326499" w14:paraId="2F504055" w14:textId="77777777" w:rsidTr="0097090C">
        <w:trPr>
          <w:trHeight w:val="285"/>
        </w:trPr>
        <w:tc>
          <w:tcPr>
            <w:tcW w:w="4636" w:type="dxa"/>
            <w:tcBorders>
              <w:top w:val="nil"/>
              <w:left w:val="nil"/>
              <w:bottom w:val="nil"/>
              <w:right w:val="nil"/>
            </w:tcBorders>
            <w:shd w:val="clear" w:color="auto" w:fill="auto"/>
            <w:vAlign w:val="center"/>
            <w:hideMark/>
          </w:tcPr>
          <w:p w14:paraId="69043745" w14:textId="77777777" w:rsidR="0097090C" w:rsidRPr="00326499" w:rsidRDefault="0097090C" w:rsidP="0097090C">
            <w:pPr>
              <w:rPr>
                <w:rFonts w:cs="Arial"/>
                <w:color w:val="000000"/>
              </w:rPr>
            </w:pPr>
            <w:r w:rsidRPr="00326499">
              <w:rPr>
                <w:rFonts w:cs="Arial"/>
                <w:color w:val="000000"/>
              </w:rPr>
              <w:t>Not longer than 1 year</w:t>
            </w:r>
          </w:p>
        </w:tc>
        <w:tc>
          <w:tcPr>
            <w:tcW w:w="736" w:type="dxa"/>
            <w:tcBorders>
              <w:top w:val="nil"/>
              <w:left w:val="nil"/>
              <w:bottom w:val="nil"/>
              <w:right w:val="nil"/>
            </w:tcBorders>
            <w:shd w:val="clear" w:color="auto" w:fill="auto"/>
            <w:vAlign w:val="center"/>
            <w:hideMark/>
          </w:tcPr>
          <w:p w14:paraId="61C9508B"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0323D5B7" w14:textId="77777777" w:rsidR="0097090C" w:rsidRPr="00326499" w:rsidRDefault="0097090C" w:rsidP="0097090C">
            <w:pPr>
              <w:jc w:val="right"/>
              <w:rPr>
                <w:rFonts w:cs="Arial"/>
                <w:color w:val="000000"/>
              </w:rPr>
            </w:pPr>
            <w:r w:rsidRPr="00326499">
              <w:rPr>
                <w:rFonts w:cs="Arial"/>
                <w:color w:val="000000"/>
              </w:rPr>
              <w:t>199</w:t>
            </w:r>
          </w:p>
        </w:tc>
        <w:tc>
          <w:tcPr>
            <w:tcW w:w="992" w:type="dxa"/>
            <w:tcBorders>
              <w:top w:val="nil"/>
              <w:left w:val="nil"/>
              <w:bottom w:val="nil"/>
              <w:right w:val="nil"/>
            </w:tcBorders>
            <w:shd w:val="clear" w:color="auto" w:fill="auto"/>
            <w:vAlign w:val="center"/>
            <w:hideMark/>
          </w:tcPr>
          <w:p w14:paraId="10CA9291" w14:textId="77777777" w:rsidR="0097090C" w:rsidRPr="00326499" w:rsidRDefault="0097090C" w:rsidP="0097090C">
            <w:pPr>
              <w:jc w:val="right"/>
              <w:rPr>
                <w:rFonts w:cs="Arial"/>
                <w:color w:val="000000"/>
              </w:rPr>
            </w:pPr>
            <w:r w:rsidRPr="00326499">
              <w:rPr>
                <w:rFonts w:cs="Arial"/>
                <w:color w:val="000000"/>
              </w:rPr>
              <w:t>140</w:t>
            </w:r>
          </w:p>
        </w:tc>
        <w:tc>
          <w:tcPr>
            <w:tcW w:w="992" w:type="dxa"/>
            <w:tcBorders>
              <w:top w:val="nil"/>
              <w:left w:val="nil"/>
              <w:bottom w:val="nil"/>
              <w:right w:val="nil"/>
            </w:tcBorders>
            <w:shd w:val="clear" w:color="000000" w:fill="D9D9D9"/>
            <w:vAlign w:val="center"/>
            <w:hideMark/>
          </w:tcPr>
          <w:p w14:paraId="46658A49" w14:textId="77777777" w:rsidR="0097090C" w:rsidRPr="00326499" w:rsidRDefault="0097090C" w:rsidP="0097090C">
            <w:pPr>
              <w:jc w:val="right"/>
              <w:rPr>
                <w:rFonts w:cs="Arial"/>
                <w:color w:val="000000"/>
              </w:rPr>
            </w:pPr>
            <w:r w:rsidRPr="00326499">
              <w:rPr>
                <w:rFonts w:cs="Arial"/>
                <w:color w:val="000000"/>
              </w:rPr>
              <w:t>185</w:t>
            </w:r>
          </w:p>
        </w:tc>
        <w:tc>
          <w:tcPr>
            <w:tcW w:w="992" w:type="dxa"/>
            <w:tcBorders>
              <w:top w:val="nil"/>
              <w:left w:val="nil"/>
              <w:bottom w:val="nil"/>
              <w:right w:val="nil"/>
            </w:tcBorders>
            <w:shd w:val="clear" w:color="auto" w:fill="auto"/>
            <w:vAlign w:val="center"/>
            <w:hideMark/>
          </w:tcPr>
          <w:p w14:paraId="4076F98C" w14:textId="77777777" w:rsidR="0097090C" w:rsidRPr="00326499" w:rsidRDefault="0097090C" w:rsidP="0097090C">
            <w:pPr>
              <w:jc w:val="right"/>
              <w:rPr>
                <w:rFonts w:cs="Arial"/>
                <w:color w:val="000000"/>
              </w:rPr>
            </w:pPr>
            <w:r w:rsidRPr="00326499">
              <w:rPr>
                <w:rFonts w:cs="Arial"/>
                <w:color w:val="000000"/>
              </w:rPr>
              <w:t>130</w:t>
            </w:r>
          </w:p>
        </w:tc>
      </w:tr>
      <w:tr w:rsidR="0097090C" w:rsidRPr="00326499" w14:paraId="638F7EFF" w14:textId="77777777" w:rsidTr="0097090C">
        <w:trPr>
          <w:trHeight w:val="285"/>
        </w:trPr>
        <w:tc>
          <w:tcPr>
            <w:tcW w:w="4636" w:type="dxa"/>
            <w:tcBorders>
              <w:top w:val="nil"/>
              <w:left w:val="nil"/>
              <w:bottom w:val="single" w:sz="4" w:space="0" w:color="auto"/>
              <w:right w:val="nil"/>
            </w:tcBorders>
            <w:shd w:val="clear" w:color="auto" w:fill="auto"/>
            <w:vAlign w:val="center"/>
            <w:hideMark/>
          </w:tcPr>
          <w:p w14:paraId="34C0D9DE" w14:textId="77777777" w:rsidR="0097090C" w:rsidRPr="00326499" w:rsidRDefault="0097090C" w:rsidP="0097090C">
            <w:pPr>
              <w:rPr>
                <w:rFonts w:cs="Arial"/>
                <w:color w:val="000000"/>
              </w:rPr>
            </w:pPr>
            <w:r w:rsidRPr="00326499">
              <w:rPr>
                <w:rFonts w:cs="Arial"/>
                <w:color w:val="000000"/>
              </w:rPr>
              <w:t>Longer than 1 year but not longer than 5 years</w:t>
            </w:r>
          </w:p>
        </w:tc>
        <w:tc>
          <w:tcPr>
            <w:tcW w:w="736" w:type="dxa"/>
            <w:tcBorders>
              <w:top w:val="nil"/>
              <w:left w:val="nil"/>
              <w:bottom w:val="single" w:sz="4" w:space="0" w:color="auto"/>
              <w:right w:val="nil"/>
            </w:tcBorders>
            <w:shd w:val="clear" w:color="auto" w:fill="auto"/>
            <w:vAlign w:val="center"/>
            <w:hideMark/>
          </w:tcPr>
          <w:p w14:paraId="6572DD15" w14:textId="77777777" w:rsidR="0097090C" w:rsidRPr="00326499" w:rsidRDefault="0097090C" w:rsidP="0097090C">
            <w:pPr>
              <w:jc w:val="center"/>
              <w:rPr>
                <w:rFonts w:cs="Arial"/>
                <w:color w:val="000000"/>
              </w:rPr>
            </w:pPr>
            <w:r w:rsidRPr="00326499">
              <w:rPr>
                <w:rFonts w:cs="Arial"/>
                <w:color w:val="000000"/>
              </w:rPr>
              <w:t> </w:t>
            </w:r>
          </w:p>
        </w:tc>
        <w:tc>
          <w:tcPr>
            <w:tcW w:w="992" w:type="dxa"/>
            <w:tcBorders>
              <w:top w:val="nil"/>
              <w:left w:val="nil"/>
              <w:bottom w:val="single" w:sz="4" w:space="0" w:color="auto"/>
              <w:right w:val="nil"/>
            </w:tcBorders>
            <w:shd w:val="clear" w:color="000000" w:fill="D9D9D9"/>
            <w:vAlign w:val="center"/>
            <w:hideMark/>
          </w:tcPr>
          <w:p w14:paraId="02985AC1" w14:textId="77777777" w:rsidR="0097090C" w:rsidRPr="00326499" w:rsidRDefault="0097090C" w:rsidP="0097090C">
            <w:pPr>
              <w:jc w:val="right"/>
              <w:rPr>
                <w:rFonts w:cs="Arial"/>
                <w:color w:val="000000"/>
              </w:rPr>
            </w:pPr>
            <w:r w:rsidRPr="00326499">
              <w:rPr>
                <w:rFonts w:cs="Arial"/>
                <w:color w:val="000000"/>
              </w:rPr>
              <w:t>287</w:t>
            </w:r>
          </w:p>
        </w:tc>
        <w:tc>
          <w:tcPr>
            <w:tcW w:w="992" w:type="dxa"/>
            <w:tcBorders>
              <w:top w:val="nil"/>
              <w:left w:val="nil"/>
              <w:bottom w:val="single" w:sz="4" w:space="0" w:color="auto"/>
              <w:right w:val="nil"/>
            </w:tcBorders>
            <w:shd w:val="clear" w:color="auto" w:fill="auto"/>
            <w:vAlign w:val="center"/>
            <w:hideMark/>
          </w:tcPr>
          <w:p w14:paraId="29DE55B6" w14:textId="77777777" w:rsidR="0097090C" w:rsidRPr="00326499" w:rsidRDefault="0097090C" w:rsidP="0097090C">
            <w:pPr>
              <w:jc w:val="right"/>
              <w:rPr>
                <w:rFonts w:cs="Arial"/>
                <w:color w:val="000000"/>
              </w:rPr>
            </w:pPr>
            <w:r w:rsidRPr="00326499">
              <w:rPr>
                <w:rFonts w:cs="Arial"/>
                <w:color w:val="000000"/>
              </w:rPr>
              <w:t>150</w:t>
            </w:r>
          </w:p>
        </w:tc>
        <w:tc>
          <w:tcPr>
            <w:tcW w:w="992" w:type="dxa"/>
            <w:tcBorders>
              <w:top w:val="nil"/>
              <w:left w:val="nil"/>
              <w:bottom w:val="single" w:sz="4" w:space="0" w:color="auto"/>
              <w:right w:val="nil"/>
            </w:tcBorders>
            <w:shd w:val="clear" w:color="000000" w:fill="D9D9D9"/>
            <w:vAlign w:val="center"/>
            <w:hideMark/>
          </w:tcPr>
          <w:p w14:paraId="518AF86A" w14:textId="77777777" w:rsidR="0097090C" w:rsidRPr="00326499" w:rsidRDefault="0097090C" w:rsidP="0097090C">
            <w:pPr>
              <w:jc w:val="right"/>
              <w:rPr>
                <w:rFonts w:cs="Arial"/>
                <w:color w:val="000000"/>
              </w:rPr>
            </w:pPr>
            <w:r w:rsidRPr="00326499">
              <w:rPr>
                <w:rFonts w:cs="Arial"/>
                <w:color w:val="000000"/>
              </w:rPr>
              <w:t>272</w:t>
            </w:r>
          </w:p>
        </w:tc>
        <w:tc>
          <w:tcPr>
            <w:tcW w:w="992" w:type="dxa"/>
            <w:tcBorders>
              <w:top w:val="nil"/>
              <w:left w:val="nil"/>
              <w:bottom w:val="single" w:sz="4" w:space="0" w:color="auto"/>
              <w:right w:val="nil"/>
            </w:tcBorders>
            <w:shd w:val="clear" w:color="auto" w:fill="auto"/>
            <w:vAlign w:val="center"/>
            <w:hideMark/>
          </w:tcPr>
          <w:p w14:paraId="5B68EE6C" w14:textId="77777777" w:rsidR="0097090C" w:rsidRPr="00326499" w:rsidRDefault="0097090C" w:rsidP="0097090C">
            <w:pPr>
              <w:jc w:val="right"/>
              <w:rPr>
                <w:rFonts w:cs="Arial"/>
                <w:color w:val="000000"/>
              </w:rPr>
            </w:pPr>
            <w:r w:rsidRPr="00326499">
              <w:rPr>
                <w:rFonts w:cs="Arial"/>
                <w:color w:val="000000"/>
              </w:rPr>
              <w:t>144</w:t>
            </w:r>
          </w:p>
        </w:tc>
      </w:tr>
      <w:tr w:rsidR="0097090C" w:rsidRPr="00326499" w14:paraId="18149642" w14:textId="77777777" w:rsidTr="0097090C">
        <w:trPr>
          <w:trHeight w:val="285"/>
        </w:trPr>
        <w:tc>
          <w:tcPr>
            <w:tcW w:w="4636" w:type="dxa"/>
            <w:tcBorders>
              <w:top w:val="nil"/>
              <w:left w:val="nil"/>
              <w:bottom w:val="nil"/>
              <w:right w:val="nil"/>
            </w:tcBorders>
            <w:shd w:val="clear" w:color="auto" w:fill="auto"/>
            <w:vAlign w:val="center"/>
            <w:hideMark/>
          </w:tcPr>
          <w:p w14:paraId="1307EDB5" w14:textId="77777777" w:rsidR="0097090C" w:rsidRPr="00326499" w:rsidRDefault="0097090C" w:rsidP="0097090C">
            <w:pPr>
              <w:rPr>
                <w:rFonts w:cs="Arial"/>
                <w:b/>
                <w:bCs/>
                <w:color w:val="000000"/>
              </w:rPr>
            </w:pPr>
            <w:r w:rsidRPr="00326499">
              <w:rPr>
                <w:rFonts w:cs="Arial"/>
                <w:b/>
                <w:bCs/>
                <w:color w:val="000000"/>
              </w:rPr>
              <w:t>Minimum lease payments</w:t>
            </w:r>
          </w:p>
        </w:tc>
        <w:tc>
          <w:tcPr>
            <w:tcW w:w="736" w:type="dxa"/>
            <w:tcBorders>
              <w:top w:val="nil"/>
              <w:left w:val="nil"/>
              <w:bottom w:val="nil"/>
              <w:right w:val="nil"/>
            </w:tcBorders>
            <w:shd w:val="clear" w:color="auto" w:fill="auto"/>
            <w:vAlign w:val="center"/>
            <w:hideMark/>
          </w:tcPr>
          <w:p w14:paraId="3236EFE7" w14:textId="77777777" w:rsidR="0097090C" w:rsidRPr="00326499" w:rsidRDefault="0097090C" w:rsidP="0097090C">
            <w:pPr>
              <w:rPr>
                <w:rFonts w:ascii="Calibri" w:hAnsi="Calibri"/>
                <w:b/>
                <w:bCs/>
                <w:color w:val="000000"/>
                <w:szCs w:val="22"/>
              </w:rPr>
            </w:pPr>
          </w:p>
        </w:tc>
        <w:tc>
          <w:tcPr>
            <w:tcW w:w="992" w:type="dxa"/>
            <w:tcBorders>
              <w:top w:val="nil"/>
              <w:left w:val="nil"/>
              <w:bottom w:val="nil"/>
              <w:right w:val="nil"/>
            </w:tcBorders>
            <w:shd w:val="clear" w:color="000000" w:fill="D9D9D9"/>
            <w:vAlign w:val="center"/>
            <w:hideMark/>
          </w:tcPr>
          <w:p w14:paraId="009E3EC6" w14:textId="77777777" w:rsidR="0097090C" w:rsidRPr="00326499" w:rsidRDefault="0097090C" w:rsidP="0097090C">
            <w:pPr>
              <w:jc w:val="right"/>
              <w:rPr>
                <w:rFonts w:cs="Arial"/>
                <w:b/>
                <w:bCs/>
                <w:color w:val="000000"/>
              </w:rPr>
            </w:pPr>
            <w:r w:rsidRPr="00326499">
              <w:rPr>
                <w:rFonts w:cs="Arial"/>
                <w:b/>
                <w:bCs/>
                <w:color w:val="000000"/>
              </w:rPr>
              <w:t>486</w:t>
            </w:r>
          </w:p>
        </w:tc>
        <w:tc>
          <w:tcPr>
            <w:tcW w:w="992" w:type="dxa"/>
            <w:tcBorders>
              <w:top w:val="nil"/>
              <w:left w:val="nil"/>
              <w:bottom w:val="nil"/>
              <w:right w:val="nil"/>
            </w:tcBorders>
            <w:shd w:val="clear" w:color="auto" w:fill="auto"/>
            <w:vAlign w:val="center"/>
            <w:hideMark/>
          </w:tcPr>
          <w:p w14:paraId="51DADAD7" w14:textId="77777777" w:rsidR="0097090C" w:rsidRPr="00326499" w:rsidRDefault="0097090C" w:rsidP="0097090C">
            <w:pPr>
              <w:jc w:val="right"/>
              <w:rPr>
                <w:rFonts w:cs="Arial"/>
                <w:b/>
                <w:bCs/>
                <w:color w:val="000000"/>
              </w:rPr>
            </w:pPr>
            <w:r w:rsidRPr="00326499">
              <w:rPr>
                <w:rFonts w:cs="Arial"/>
                <w:b/>
                <w:bCs/>
                <w:color w:val="000000"/>
              </w:rPr>
              <w:t>290</w:t>
            </w:r>
          </w:p>
        </w:tc>
        <w:tc>
          <w:tcPr>
            <w:tcW w:w="992" w:type="dxa"/>
            <w:tcBorders>
              <w:top w:val="nil"/>
              <w:left w:val="nil"/>
              <w:bottom w:val="nil"/>
              <w:right w:val="nil"/>
            </w:tcBorders>
            <w:shd w:val="clear" w:color="000000" w:fill="D9D9D9"/>
            <w:vAlign w:val="center"/>
            <w:hideMark/>
          </w:tcPr>
          <w:p w14:paraId="540A4AB0" w14:textId="77777777" w:rsidR="0097090C" w:rsidRPr="00326499" w:rsidRDefault="0097090C" w:rsidP="0097090C">
            <w:pPr>
              <w:jc w:val="right"/>
              <w:rPr>
                <w:rFonts w:cs="Arial"/>
                <w:b/>
                <w:bCs/>
                <w:color w:val="000000"/>
              </w:rPr>
            </w:pPr>
            <w:r w:rsidRPr="00326499">
              <w:rPr>
                <w:rFonts w:cs="Arial"/>
                <w:b/>
                <w:bCs/>
                <w:color w:val="000000"/>
              </w:rPr>
              <w:t>457</w:t>
            </w:r>
          </w:p>
        </w:tc>
        <w:tc>
          <w:tcPr>
            <w:tcW w:w="992" w:type="dxa"/>
            <w:tcBorders>
              <w:top w:val="nil"/>
              <w:left w:val="nil"/>
              <w:bottom w:val="nil"/>
              <w:right w:val="nil"/>
            </w:tcBorders>
            <w:shd w:val="clear" w:color="auto" w:fill="auto"/>
            <w:vAlign w:val="center"/>
            <w:hideMark/>
          </w:tcPr>
          <w:p w14:paraId="29E02C6A" w14:textId="77777777" w:rsidR="0097090C" w:rsidRPr="00326499" w:rsidRDefault="0097090C" w:rsidP="0097090C">
            <w:pPr>
              <w:jc w:val="right"/>
              <w:rPr>
                <w:rFonts w:cs="Arial"/>
                <w:b/>
                <w:bCs/>
                <w:color w:val="000000"/>
              </w:rPr>
            </w:pPr>
            <w:r w:rsidRPr="00326499">
              <w:rPr>
                <w:rFonts w:cs="Arial"/>
                <w:b/>
                <w:bCs/>
                <w:color w:val="000000"/>
              </w:rPr>
              <w:t>274</w:t>
            </w:r>
          </w:p>
        </w:tc>
      </w:tr>
      <w:tr w:rsidR="0097090C" w:rsidRPr="00326499" w14:paraId="3D2A6BB2" w14:textId="77777777" w:rsidTr="0097090C">
        <w:trPr>
          <w:trHeight w:val="285"/>
        </w:trPr>
        <w:tc>
          <w:tcPr>
            <w:tcW w:w="4636" w:type="dxa"/>
            <w:tcBorders>
              <w:top w:val="nil"/>
              <w:left w:val="nil"/>
              <w:bottom w:val="single" w:sz="4" w:space="0" w:color="auto"/>
              <w:right w:val="nil"/>
            </w:tcBorders>
            <w:shd w:val="clear" w:color="auto" w:fill="auto"/>
            <w:vAlign w:val="center"/>
            <w:hideMark/>
          </w:tcPr>
          <w:p w14:paraId="68D51AD8" w14:textId="77777777" w:rsidR="0097090C" w:rsidRPr="00326499" w:rsidRDefault="0097090C" w:rsidP="0097090C">
            <w:pPr>
              <w:rPr>
                <w:rFonts w:cs="Arial"/>
                <w:color w:val="000000"/>
              </w:rPr>
            </w:pPr>
            <w:r w:rsidRPr="00326499">
              <w:rPr>
                <w:rFonts w:cs="Arial"/>
                <w:color w:val="000000"/>
              </w:rPr>
              <w:t>Less future finance charges</w:t>
            </w:r>
          </w:p>
        </w:tc>
        <w:tc>
          <w:tcPr>
            <w:tcW w:w="736" w:type="dxa"/>
            <w:tcBorders>
              <w:top w:val="nil"/>
              <w:left w:val="nil"/>
              <w:bottom w:val="single" w:sz="4" w:space="0" w:color="auto"/>
              <w:right w:val="nil"/>
            </w:tcBorders>
            <w:shd w:val="clear" w:color="auto" w:fill="auto"/>
            <w:vAlign w:val="center"/>
            <w:hideMark/>
          </w:tcPr>
          <w:p w14:paraId="5273CB80" w14:textId="77777777" w:rsidR="0097090C" w:rsidRPr="00326499" w:rsidRDefault="0097090C" w:rsidP="0097090C">
            <w:pPr>
              <w:jc w:val="center"/>
              <w:rPr>
                <w:rFonts w:cs="Arial"/>
                <w:color w:val="000000"/>
              </w:rPr>
            </w:pPr>
            <w:r w:rsidRPr="00326499">
              <w:rPr>
                <w:rFonts w:cs="Arial"/>
                <w:color w:val="000000"/>
              </w:rPr>
              <w:t> </w:t>
            </w:r>
          </w:p>
        </w:tc>
        <w:tc>
          <w:tcPr>
            <w:tcW w:w="992" w:type="dxa"/>
            <w:tcBorders>
              <w:top w:val="nil"/>
              <w:left w:val="nil"/>
              <w:bottom w:val="single" w:sz="4" w:space="0" w:color="auto"/>
              <w:right w:val="nil"/>
            </w:tcBorders>
            <w:shd w:val="clear" w:color="000000" w:fill="D9D9D9"/>
            <w:vAlign w:val="center"/>
            <w:hideMark/>
          </w:tcPr>
          <w:p w14:paraId="3F52D114" w14:textId="77777777" w:rsidR="0097090C" w:rsidRPr="00326499" w:rsidRDefault="0097090C" w:rsidP="0097090C">
            <w:pPr>
              <w:jc w:val="right"/>
              <w:rPr>
                <w:rFonts w:cs="Arial"/>
                <w:color w:val="000000"/>
              </w:rPr>
            </w:pPr>
            <w:r w:rsidRPr="00326499">
              <w:rPr>
                <w:rFonts w:cs="Arial"/>
                <w:color w:val="000000"/>
              </w:rPr>
              <w:t>(29)</w:t>
            </w:r>
          </w:p>
        </w:tc>
        <w:tc>
          <w:tcPr>
            <w:tcW w:w="992" w:type="dxa"/>
            <w:tcBorders>
              <w:top w:val="nil"/>
              <w:left w:val="nil"/>
              <w:bottom w:val="single" w:sz="4" w:space="0" w:color="auto"/>
              <w:right w:val="nil"/>
            </w:tcBorders>
            <w:shd w:val="clear" w:color="auto" w:fill="auto"/>
            <w:vAlign w:val="center"/>
            <w:hideMark/>
          </w:tcPr>
          <w:p w14:paraId="672BD576" w14:textId="77777777" w:rsidR="0097090C" w:rsidRPr="00326499" w:rsidRDefault="0097090C" w:rsidP="0097090C">
            <w:pPr>
              <w:jc w:val="right"/>
              <w:rPr>
                <w:rFonts w:cs="Arial"/>
                <w:color w:val="000000"/>
              </w:rPr>
            </w:pPr>
            <w:r w:rsidRPr="00326499">
              <w:rPr>
                <w:rFonts w:cs="Arial"/>
                <w:color w:val="000000"/>
              </w:rPr>
              <w:t>(16)</w:t>
            </w:r>
          </w:p>
        </w:tc>
        <w:tc>
          <w:tcPr>
            <w:tcW w:w="992" w:type="dxa"/>
            <w:tcBorders>
              <w:top w:val="nil"/>
              <w:left w:val="nil"/>
              <w:bottom w:val="single" w:sz="4" w:space="0" w:color="auto"/>
              <w:right w:val="nil"/>
            </w:tcBorders>
            <w:shd w:val="clear" w:color="000000" w:fill="D9D9D9"/>
            <w:vAlign w:val="center"/>
            <w:hideMark/>
          </w:tcPr>
          <w:p w14:paraId="17A910F9" w14:textId="77777777" w:rsidR="0097090C" w:rsidRPr="00326499" w:rsidRDefault="0097090C" w:rsidP="0097090C">
            <w:pPr>
              <w:jc w:val="right"/>
              <w:rPr>
                <w:rFonts w:cs="Arial"/>
                <w:color w:val="000000"/>
              </w:rPr>
            </w:pPr>
            <w:r w:rsidRPr="00326499">
              <w:rPr>
                <w:rFonts w:cs="Arial"/>
                <w:color w:val="000000"/>
              </w:rPr>
              <w:t>0</w:t>
            </w:r>
          </w:p>
        </w:tc>
        <w:tc>
          <w:tcPr>
            <w:tcW w:w="992" w:type="dxa"/>
            <w:tcBorders>
              <w:top w:val="nil"/>
              <w:left w:val="nil"/>
              <w:bottom w:val="single" w:sz="4" w:space="0" w:color="auto"/>
              <w:right w:val="nil"/>
            </w:tcBorders>
            <w:shd w:val="clear" w:color="auto" w:fill="auto"/>
            <w:vAlign w:val="center"/>
            <w:hideMark/>
          </w:tcPr>
          <w:p w14:paraId="4BFCD2A9" w14:textId="77777777" w:rsidR="0097090C" w:rsidRPr="00326499" w:rsidRDefault="0097090C" w:rsidP="0097090C">
            <w:pPr>
              <w:jc w:val="right"/>
              <w:rPr>
                <w:rFonts w:cs="Arial"/>
                <w:color w:val="000000"/>
              </w:rPr>
            </w:pPr>
            <w:r w:rsidRPr="00326499">
              <w:rPr>
                <w:rFonts w:cs="Arial"/>
                <w:color w:val="000000"/>
              </w:rPr>
              <w:t>0</w:t>
            </w:r>
          </w:p>
        </w:tc>
      </w:tr>
      <w:tr w:rsidR="0097090C" w:rsidRPr="00326499" w14:paraId="73DEBC70" w14:textId="77777777" w:rsidTr="0097090C">
        <w:trPr>
          <w:trHeight w:val="285"/>
        </w:trPr>
        <w:tc>
          <w:tcPr>
            <w:tcW w:w="4636" w:type="dxa"/>
            <w:tcBorders>
              <w:top w:val="nil"/>
              <w:left w:val="nil"/>
              <w:bottom w:val="nil"/>
              <w:right w:val="nil"/>
            </w:tcBorders>
            <w:shd w:val="clear" w:color="auto" w:fill="auto"/>
            <w:vAlign w:val="center"/>
            <w:hideMark/>
          </w:tcPr>
          <w:p w14:paraId="1F725E63" w14:textId="77777777" w:rsidR="0097090C" w:rsidRPr="00326499" w:rsidRDefault="0097090C" w:rsidP="0097090C">
            <w:pPr>
              <w:rPr>
                <w:rFonts w:cs="Arial"/>
                <w:b/>
                <w:bCs/>
                <w:color w:val="000000"/>
              </w:rPr>
            </w:pPr>
            <w:r w:rsidRPr="00326499">
              <w:rPr>
                <w:rFonts w:cs="Arial"/>
                <w:b/>
                <w:bCs/>
                <w:color w:val="000000"/>
              </w:rPr>
              <w:t>Present value of minimum lease payments</w:t>
            </w:r>
          </w:p>
        </w:tc>
        <w:tc>
          <w:tcPr>
            <w:tcW w:w="736" w:type="dxa"/>
            <w:tcBorders>
              <w:top w:val="nil"/>
              <w:left w:val="nil"/>
              <w:bottom w:val="nil"/>
              <w:right w:val="nil"/>
            </w:tcBorders>
            <w:shd w:val="clear" w:color="auto" w:fill="auto"/>
            <w:vAlign w:val="center"/>
            <w:hideMark/>
          </w:tcPr>
          <w:p w14:paraId="019BC3D3"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4FB4308C" w14:textId="77777777" w:rsidR="0097090C" w:rsidRPr="00326499" w:rsidRDefault="0097090C" w:rsidP="0097090C">
            <w:pPr>
              <w:jc w:val="right"/>
              <w:rPr>
                <w:rFonts w:cs="Arial"/>
                <w:b/>
                <w:bCs/>
                <w:color w:val="000000"/>
              </w:rPr>
            </w:pPr>
            <w:r w:rsidRPr="00326499">
              <w:rPr>
                <w:rFonts w:cs="Arial"/>
                <w:b/>
                <w:bCs/>
                <w:color w:val="000000"/>
              </w:rPr>
              <w:t>457</w:t>
            </w:r>
          </w:p>
        </w:tc>
        <w:tc>
          <w:tcPr>
            <w:tcW w:w="992" w:type="dxa"/>
            <w:tcBorders>
              <w:top w:val="nil"/>
              <w:left w:val="nil"/>
              <w:bottom w:val="nil"/>
              <w:right w:val="nil"/>
            </w:tcBorders>
            <w:shd w:val="clear" w:color="auto" w:fill="auto"/>
            <w:vAlign w:val="center"/>
            <w:hideMark/>
          </w:tcPr>
          <w:p w14:paraId="4EB73BDC" w14:textId="77777777" w:rsidR="0097090C" w:rsidRPr="00326499" w:rsidRDefault="0097090C" w:rsidP="0097090C">
            <w:pPr>
              <w:jc w:val="right"/>
              <w:rPr>
                <w:rFonts w:cs="Arial"/>
                <w:b/>
                <w:bCs/>
                <w:color w:val="000000"/>
              </w:rPr>
            </w:pPr>
            <w:r w:rsidRPr="00326499">
              <w:rPr>
                <w:rFonts w:cs="Arial"/>
                <w:b/>
                <w:bCs/>
                <w:color w:val="000000"/>
              </w:rPr>
              <w:t>274</w:t>
            </w:r>
          </w:p>
        </w:tc>
        <w:tc>
          <w:tcPr>
            <w:tcW w:w="992" w:type="dxa"/>
            <w:tcBorders>
              <w:top w:val="nil"/>
              <w:left w:val="nil"/>
              <w:bottom w:val="nil"/>
              <w:right w:val="nil"/>
            </w:tcBorders>
            <w:shd w:val="clear" w:color="000000" w:fill="D9D9D9"/>
            <w:vAlign w:val="center"/>
            <w:hideMark/>
          </w:tcPr>
          <w:p w14:paraId="6680336C" w14:textId="77777777" w:rsidR="0097090C" w:rsidRPr="00326499" w:rsidRDefault="0097090C" w:rsidP="0097090C">
            <w:pPr>
              <w:jc w:val="right"/>
              <w:rPr>
                <w:rFonts w:cs="Arial"/>
                <w:b/>
                <w:bCs/>
                <w:color w:val="000000"/>
              </w:rPr>
            </w:pPr>
            <w:r w:rsidRPr="00326499">
              <w:rPr>
                <w:rFonts w:cs="Arial"/>
                <w:b/>
                <w:bCs/>
                <w:color w:val="000000"/>
              </w:rPr>
              <w:t>457</w:t>
            </w:r>
          </w:p>
        </w:tc>
        <w:tc>
          <w:tcPr>
            <w:tcW w:w="992" w:type="dxa"/>
            <w:tcBorders>
              <w:top w:val="nil"/>
              <w:left w:val="nil"/>
              <w:bottom w:val="nil"/>
              <w:right w:val="nil"/>
            </w:tcBorders>
            <w:shd w:val="clear" w:color="auto" w:fill="auto"/>
            <w:vAlign w:val="center"/>
            <w:hideMark/>
          </w:tcPr>
          <w:p w14:paraId="5F41A188" w14:textId="77777777" w:rsidR="0097090C" w:rsidRPr="00326499" w:rsidRDefault="0097090C" w:rsidP="0097090C">
            <w:pPr>
              <w:jc w:val="right"/>
              <w:rPr>
                <w:rFonts w:cs="Arial"/>
                <w:b/>
                <w:bCs/>
                <w:color w:val="000000"/>
              </w:rPr>
            </w:pPr>
            <w:r w:rsidRPr="00326499">
              <w:rPr>
                <w:rFonts w:cs="Arial"/>
                <w:b/>
                <w:bCs/>
                <w:color w:val="000000"/>
              </w:rPr>
              <w:t>274</w:t>
            </w:r>
          </w:p>
        </w:tc>
      </w:tr>
      <w:tr w:rsidR="0097090C" w:rsidRPr="00326499" w14:paraId="48CB1515" w14:textId="77777777" w:rsidTr="0097090C">
        <w:trPr>
          <w:trHeight w:val="285"/>
        </w:trPr>
        <w:tc>
          <w:tcPr>
            <w:tcW w:w="4636" w:type="dxa"/>
            <w:tcBorders>
              <w:top w:val="nil"/>
              <w:left w:val="nil"/>
              <w:bottom w:val="nil"/>
              <w:right w:val="nil"/>
            </w:tcBorders>
            <w:shd w:val="clear" w:color="auto" w:fill="auto"/>
            <w:vAlign w:val="center"/>
            <w:hideMark/>
          </w:tcPr>
          <w:p w14:paraId="42F01351" w14:textId="77777777" w:rsidR="0097090C" w:rsidRPr="00326499" w:rsidRDefault="0097090C" w:rsidP="0097090C">
            <w:pPr>
              <w:rPr>
                <w:rFonts w:ascii="Calibri" w:hAnsi="Calibri"/>
                <w:color w:val="000000"/>
                <w:szCs w:val="22"/>
              </w:rPr>
            </w:pPr>
          </w:p>
        </w:tc>
        <w:tc>
          <w:tcPr>
            <w:tcW w:w="736" w:type="dxa"/>
            <w:tcBorders>
              <w:top w:val="nil"/>
              <w:left w:val="nil"/>
              <w:bottom w:val="nil"/>
              <w:right w:val="nil"/>
            </w:tcBorders>
            <w:shd w:val="clear" w:color="auto" w:fill="auto"/>
            <w:vAlign w:val="center"/>
            <w:hideMark/>
          </w:tcPr>
          <w:p w14:paraId="0F21E35E"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221C57EE"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34660394" w14:textId="77777777" w:rsidR="0097090C" w:rsidRPr="00326499" w:rsidRDefault="0097090C" w:rsidP="0097090C">
            <w:pPr>
              <w:jc w:val="right"/>
              <w:rPr>
                <w:rFonts w:cs="Arial"/>
                <w:color w:val="000000"/>
              </w:rPr>
            </w:pPr>
          </w:p>
        </w:tc>
        <w:tc>
          <w:tcPr>
            <w:tcW w:w="992" w:type="dxa"/>
            <w:tcBorders>
              <w:top w:val="nil"/>
              <w:left w:val="nil"/>
              <w:bottom w:val="nil"/>
              <w:right w:val="nil"/>
            </w:tcBorders>
            <w:shd w:val="clear" w:color="000000" w:fill="D9D9D9"/>
            <w:vAlign w:val="center"/>
            <w:hideMark/>
          </w:tcPr>
          <w:p w14:paraId="48A40E7F"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58CCEDC9" w14:textId="77777777" w:rsidR="0097090C" w:rsidRPr="00326499" w:rsidRDefault="0097090C" w:rsidP="0097090C">
            <w:pPr>
              <w:jc w:val="right"/>
              <w:rPr>
                <w:rFonts w:cs="Arial"/>
                <w:color w:val="000000"/>
              </w:rPr>
            </w:pPr>
          </w:p>
        </w:tc>
      </w:tr>
      <w:tr w:rsidR="0097090C" w:rsidRPr="00326499" w14:paraId="1F4A67EE" w14:textId="77777777" w:rsidTr="0097090C">
        <w:trPr>
          <w:trHeight w:val="285"/>
        </w:trPr>
        <w:tc>
          <w:tcPr>
            <w:tcW w:w="4636" w:type="dxa"/>
            <w:tcBorders>
              <w:top w:val="nil"/>
              <w:left w:val="nil"/>
              <w:bottom w:val="nil"/>
              <w:right w:val="nil"/>
            </w:tcBorders>
            <w:shd w:val="clear" w:color="auto" w:fill="auto"/>
            <w:vAlign w:val="center"/>
            <w:hideMark/>
          </w:tcPr>
          <w:p w14:paraId="31F49109" w14:textId="77777777" w:rsidR="0097090C" w:rsidRPr="00326499" w:rsidRDefault="0097090C" w:rsidP="0097090C">
            <w:pPr>
              <w:rPr>
                <w:rFonts w:cs="Arial"/>
                <w:color w:val="000000"/>
              </w:rPr>
            </w:pPr>
            <w:r w:rsidRPr="00326499">
              <w:rPr>
                <w:rFonts w:cs="Arial"/>
                <w:color w:val="000000"/>
              </w:rPr>
              <w:t>Representing lease liabilities:</w:t>
            </w:r>
          </w:p>
        </w:tc>
        <w:tc>
          <w:tcPr>
            <w:tcW w:w="736" w:type="dxa"/>
            <w:tcBorders>
              <w:top w:val="nil"/>
              <w:left w:val="nil"/>
              <w:bottom w:val="nil"/>
              <w:right w:val="nil"/>
            </w:tcBorders>
            <w:shd w:val="clear" w:color="auto" w:fill="auto"/>
            <w:vAlign w:val="center"/>
            <w:hideMark/>
          </w:tcPr>
          <w:p w14:paraId="0E6CC7E9"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7E3DED9D"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28D1942D" w14:textId="77777777" w:rsidR="0097090C" w:rsidRPr="00326499" w:rsidRDefault="0097090C" w:rsidP="0097090C">
            <w:pPr>
              <w:jc w:val="right"/>
              <w:rPr>
                <w:rFonts w:cs="Arial"/>
                <w:color w:val="000000"/>
              </w:rPr>
            </w:pPr>
          </w:p>
        </w:tc>
        <w:tc>
          <w:tcPr>
            <w:tcW w:w="992" w:type="dxa"/>
            <w:tcBorders>
              <w:top w:val="nil"/>
              <w:left w:val="nil"/>
              <w:bottom w:val="nil"/>
              <w:right w:val="nil"/>
            </w:tcBorders>
            <w:shd w:val="clear" w:color="000000" w:fill="D9D9D9"/>
            <w:vAlign w:val="center"/>
            <w:hideMark/>
          </w:tcPr>
          <w:p w14:paraId="0B2E4ACF" w14:textId="77777777" w:rsidR="0097090C" w:rsidRPr="00326499" w:rsidRDefault="0097090C" w:rsidP="0097090C">
            <w:pPr>
              <w:jc w:val="right"/>
              <w:rPr>
                <w:rFonts w:cs="Arial"/>
                <w:color w:val="000000"/>
              </w:rPr>
            </w:pPr>
            <w:r w:rsidRPr="00326499">
              <w:rPr>
                <w:rFonts w:cs="Arial"/>
                <w:color w:val="000000"/>
              </w:rPr>
              <w:t> </w:t>
            </w:r>
          </w:p>
        </w:tc>
        <w:tc>
          <w:tcPr>
            <w:tcW w:w="992" w:type="dxa"/>
            <w:tcBorders>
              <w:top w:val="nil"/>
              <w:left w:val="nil"/>
              <w:bottom w:val="nil"/>
              <w:right w:val="nil"/>
            </w:tcBorders>
            <w:shd w:val="clear" w:color="auto" w:fill="auto"/>
            <w:vAlign w:val="center"/>
            <w:hideMark/>
          </w:tcPr>
          <w:p w14:paraId="09F88D1E" w14:textId="77777777" w:rsidR="0097090C" w:rsidRPr="00326499" w:rsidRDefault="0097090C" w:rsidP="0097090C">
            <w:pPr>
              <w:jc w:val="right"/>
              <w:rPr>
                <w:rFonts w:cs="Arial"/>
                <w:color w:val="000000"/>
              </w:rPr>
            </w:pPr>
          </w:p>
        </w:tc>
      </w:tr>
      <w:tr w:rsidR="0097090C" w:rsidRPr="00326499" w14:paraId="63A2F3B5" w14:textId="77777777" w:rsidTr="0097090C">
        <w:trPr>
          <w:trHeight w:val="285"/>
        </w:trPr>
        <w:tc>
          <w:tcPr>
            <w:tcW w:w="4636" w:type="dxa"/>
            <w:tcBorders>
              <w:top w:val="nil"/>
              <w:left w:val="nil"/>
              <w:bottom w:val="nil"/>
              <w:right w:val="nil"/>
            </w:tcBorders>
            <w:shd w:val="clear" w:color="auto" w:fill="auto"/>
            <w:vAlign w:val="center"/>
            <w:hideMark/>
          </w:tcPr>
          <w:p w14:paraId="0481D980" w14:textId="77777777" w:rsidR="0097090C" w:rsidRPr="00326499" w:rsidRDefault="0097090C" w:rsidP="0097090C">
            <w:pPr>
              <w:rPr>
                <w:rFonts w:cs="Arial"/>
                <w:color w:val="000000"/>
              </w:rPr>
            </w:pPr>
            <w:r w:rsidRPr="00326499">
              <w:rPr>
                <w:rFonts w:cs="Arial"/>
                <w:color w:val="000000"/>
              </w:rPr>
              <w:t>Current (Note 11(a))</w:t>
            </w:r>
          </w:p>
        </w:tc>
        <w:tc>
          <w:tcPr>
            <w:tcW w:w="736" w:type="dxa"/>
            <w:tcBorders>
              <w:top w:val="nil"/>
              <w:left w:val="nil"/>
              <w:bottom w:val="nil"/>
              <w:right w:val="nil"/>
            </w:tcBorders>
            <w:shd w:val="clear" w:color="auto" w:fill="auto"/>
            <w:vAlign w:val="center"/>
            <w:hideMark/>
          </w:tcPr>
          <w:p w14:paraId="0481B448"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7EEDEB25" w14:textId="77777777" w:rsidR="0097090C" w:rsidRPr="00326499" w:rsidRDefault="0097090C" w:rsidP="0097090C">
            <w:pPr>
              <w:jc w:val="right"/>
              <w:rPr>
                <w:rFonts w:cs="Arial"/>
                <w:color w:val="000000"/>
              </w:rPr>
            </w:pPr>
            <w:r w:rsidRPr="00326499">
              <w:rPr>
                <w:rFonts w:cs="Arial"/>
                <w:color w:val="000000"/>
              </w:rPr>
              <w:t>0</w:t>
            </w:r>
          </w:p>
        </w:tc>
        <w:tc>
          <w:tcPr>
            <w:tcW w:w="992" w:type="dxa"/>
            <w:tcBorders>
              <w:top w:val="nil"/>
              <w:left w:val="nil"/>
              <w:bottom w:val="nil"/>
              <w:right w:val="nil"/>
            </w:tcBorders>
            <w:shd w:val="clear" w:color="auto" w:fill="auto"/>
            <w:vAlign w:val="center"/>
            <w:hideMark/>
          </w:tcPr>
          <w:p w14:paraId="0862E51A" w14:textId="77777777" w:rsidR="0097090C" w:rsidRPr="00326499" w:rsidRDefault="0097090C" w:rsidP="0097090C">
            <w:pPr>
              <w:jc w:val="right"/>
              <w:rPr>
                <w:rFonts w:cs="Arial"/>
                <w:color w:val="000000"/>
              </w:rPr>
            </w:pPr>
            <w:r w:rsidRPr="00326499">
              <w:rPr>
                <w:rFonts w:cs="Arial"/>
                <w:color w:val="000000"/>
              </w:rPr>
              <w:t>0</w:t>
            </w:r>
          </w:p>
        </w:tc>
        <w:tc>
          <w:tcPr>
            <w:tcW w:w="992" w:type="dxa"/>
            <w:tcBorders>
              <w:top w:val="nil"/>
              <w:left w:val="nil"/>
              <w:bottom w:val="nil"/>
              <w:right w:val="nil"/>
            </w:tcBorders>
            <w:shd w:val="clear" w:color="000000" w:fill="D9D9D9"/>
            <w:vAlign w:val="center"/>
            <w:hideMark/>
          </w:tcPr>
          <w:p w14:paraId="54FBD742" w14:textId="77777777" w:rsidR="0097090C" w:rsidRPr="00326499" w:rsidRDefault="0097090C" w:rsidP="0097090C">
            <w:pPr>
              <w:jc w:val="right"/>
              <w:rPr>
                <w:rFonts w:cs="Arial"/>
                <w:color w:val="000000"/>
              </w:rPr>
            </w:pPr>
            <w:r w:rsidRPr="00326499">
              <w:rPr>
                <w:rFonts w:cs="Arial"/>
                <w:color w:val="000000"/>
              </w:rPr>
              <w:t>185</w:t>
            </w:r>
          </w:p>
        </w:tc>
        <w:tc>
          <w:tcPr>
            <w:tcW w:w="992" w:type="dxa"/>
            <w:tcBorders>
              <w:top w:val="nil"/>
              <w:left w:val="nil"/>
              <w:bottom w:val="nil"/>
              <w:right w:val="nil"/>
            </w:tcBorders>
            <w:shd w:val="clear" w:color="auto" w:fill="auto"/>
            <w:vAlign w:val="center"/>
            <w:hideMark/>
          </w:tcPr>
          <w:p w14:paraId="5C7DDD63" w14:textId="77777777" w:rsidR="0097090C" w:rsidRPr="00326499" w:rsidRDefault="0097090C" w:rsidP="0097090C">
            <w:pPr>
              <w:jc w:val="right"/>
              <w:rPr>
                <w:rFonts w:cs="Arial"/>
                <w:color w:val="000000"/>
              </w:rPr>
            </w:pPr>
            <w:r w:rsidRPr="00326499">
              <w:rPr>
                <w:rFonts w:cs="Arial"/>
                <w:color w:val="000000"/>
              </w:rPr>
              <w:t>130</w:t>
            </w:r>
          </w:p>
        </w:tc>
      </w:tr>
      <w:tr w:rsidR="0097090C" w:rsidRPr="00326499" w14:paraId="4C8D10E7" w14:textId="77777777" w:rsidTr="0097090C">
        <w:trPr>
          <w:trHeight w:val="285"/>
        </w:trPr>
        <w:tc>
          <w:tcPr>
            <w:tcW w:w="4636" w:type="dxa"/>
            <w:tcBorders>
              <w:top w:val="nil"/>
              <w:left w:val="nil"/>
              <w:bottom w:val="nil"/>
              <w:right w:val="nil"/>
            </w:tcBorders>
            <w:shd w:val="clear" w:color="auto" w:fill="auto"/>
            <w:vAlign w:val="center"/>
            <w:hideMark/>
          </w:tcPr>
          <w:p w14:paraId="7D6C514C" w14:textId="77777777" w:rsidR="0097090C" w:rsidRPr="00326499" w:rsidRDefault="0097090C" w:rsidP="0097090C">
            <w:pPr>
              <w:rPr>
                <w:rFonts w:cs="Arial"/>
                <w:color w:val="000000"/>
              </w:rPr>
            </w:pPr>
            <w:r w:rsidRPr="00326499">
              <w:rPr>
                <w:rFonts w:cs="Arial"/>
                <w:color w:val="000000"/>
              </w:rPr>
              <w:t>Non–current (Note 11(b))</w:t>
            </w:r>
          </w:p>
        </w:tc>
        <w:tc>
          <w:tcPr>
            <w:tcW w:w="736" w:type="dxa"/>
            <w:tcBorders>
              <w:top w:val="nil"/>
              <w:left w:val="nil"/>
              <w:bottom w:val="nil"/>
              <w:right w:val="nil"/>
            </w:tcBorders>
            <w:shd w:val="clear" w:color="auto" w:fill="auto"/>
            <w:vAlign w:val="center"/>
            <w:hideMark/>
          </w:tcPr>
          <w:p w14:paraId="3F77DC0D" w14:textId="77777777" w:rsidR="0097090C" w:rsidRPr="00326499" w:rsidRDefault="0097090C" w:rsidP="0097090C">
            <w:pPr>
              <w:rPr>
                <w:rFonts w:ascii="Calibri" w:hAnsi="Calibri"/>
                <w:color w:val="000000"/>
                <w:szCs w:val="22"/>
              </w:rPr>
            </w:pPr>
          </w:p>
        </w:tc>
        <w:tc>
          <w:tcPr>
            <w:tcW w:w="992" w:type="dxa"/>
            <w:tcBorders>
              <w:top w:val="nil"/>
              <w:left w:val="nil"/>
              <w:bottom w:val="nil"/>
              <w:right w:val="nil"/>
            </w:tcBorders>
            <w:shd w:val="clear" w:color="000000" w:fill="D9D9D9"/>
            <w:vAlign w:val="center"/>
            <w:hideMark/>
          </w:tcPr>
          <w:p w14:paraId="7441B9E8" w14:textId="77777777" w:rsidR="0097090C" w:rsidRPr="00326499" w:rsidRDefault="0097090C" w:rsidP="0097090C">
            <w:pPr>
              <w:jc w:val="right"/>
              <w:rPr>
                <w:rFonts w:cs="Arial"/>
                <w:color w:val="000000"/>
              </w:rPr>
            </w:pPr>
            <w:r w:rsidRPr="00326499">
              <w:rPr>
                <w:rFonts w:cs="Arial"/>
                <w:color w:val="000000"/>
              </w:rPr>
              <w:t>0</w:t>
            </w:r>
          </w:p>
        </w:tc>
        <w:tc>
          <w:tcPr>
            <w:tcW w:w="992" w:type="dxa"/>
            <w:tcBorders>
              <w:top w:val="nil"/>
              <w:left w:val="nil"/>
              <w:bottom w:val="nil"/>
              <w:right w:val="nil"/>
            </w:tcBorders>
            <w:shd w:val="clear" w:color="auto" w:fill="auto"/>
            <w:vAlign w:val="center"/>
            <w:hideMark/>
          </w:tcPr>
          <w:p w14:paraId="1885FBA9" w14:textId="77777777" w:rsidR="0097090C" w:rsidRPr="00326499" w:rsidRDefault="0097090C" w:rsidP="0097090C">
            <w:pPr>
              <w:jc w:val="right"/>
              <w:rPr>
                <w:rFonts w:cs="Arial"/>
                <w:color w:val="000000"/>
              </w:rPr>
            </w:pPr>
            <w:r w:rsidRPr="00326499">
              <w:rPr>
                <w:rFonts w:cs="Arial"/>
                <w:color w:val="000000"/>
              </w:rPr>
              <w:t>0</w:t>
            </w:r>
          </w:p>
        </w:tc>
        <w:tc>
          <w:tcPr>
            <w:tcW w:w="992" w:type="dxa"/>
            <w:tcBorders>
              <w:top w:val="nil"/>
              <w:left w:val="nil"/>
              <w:bottom w:val="nil"/>
              <w:right w:val="nil"/>
            </w:tcBorders>
            <w:shd w:val="clear" w:color="000000" w:fill="D9D9D9"/>
            <w:vAlign w:val="center"/>
            <w:hideMark/>
          </w:tcPr>
          <w:p w14:paraId="671437F7" w14:textId="77777777" w:rsidR="0097090C" w:rsidRPr="00326499" w:rsidRDefault="0097090C" w:rsidP="0097090C">
            <w:pPr>
              <w:jc w:val="right"/>
              <w:rPr>
                <w:rFonts w:cs="Arial"/>
                <w:color w:val="000000"/>
              </w:rPr>
            </w:pPr>
            <w:r w:rsidRPr="00326499">
              <w:rPr>
                <w:rFonts w:cs="Arial"/>
                <w:color w:val="000000"/>
              </w:rPr>
              <w:t>272</w:t>
            </w:r>
          </w:p>
        </w:tc>
        <w:tc>
          <w:tcPr>
            <w:tcW w:w="992" w:type="dxa"/>
            <w:tcBorders>
              <w:top w:val="nil"/>
              <w:left w:val="nil"/>
              <w:bottom w:val="nil"/>
              <w:right w:val="nil"/>
            </w:tcBorders>
            <w:shd w:val="clear" w:color="auto" w:fill="auto"/>
            <w:vAlign w:val="center"/>
            <w:hideMark/>
          </w:tcPr>
          <w:p w14:paraId="0DB3FA11" w14:textId="77777777" w:rsidR="0097090C" w:rsidRPr="00326499" w:rsidRDefault="0097090C" w:rsidP="0097090C">
            <w:pPr>
              <w:jc w:val="right"/>
              <w:rPr>
                <w:rFonts w:cs="Arial"/>
                <w:color w:val="000000"/>
              </w:rPr>
            </w:pPr>
            <w:r w:rsidRPr="00326499">
              <w:rPr>
                <w:rFonts w:cs="Arial"/>
                <w:color w:val="000000"/>
              </w:rPr>
              <w:t>144</w:t>
            </w:r>
          </w:p>
        </w:tc>
      </w:tr>
      <w:tr w:rsidR="0097090C" w:rsidRPr="00326499" w14:paraId="4DD867E0" w14:textId="77777777" w:rsidTr="0097090C">
        <w:trPr>
          <w:trHeight w:val="285"/>
        </w:trPr>
        <w:tc>
          <w:tcPr>
            <w:tcW w:w="4636" w:type="dxa"/>
            <w:tcBorders>
              <w:top w:val="single" w:sz="4" w:space="0" w:color="auto"/>
              <w:left w:val="nil"/>
              <w:bottom w:val="single" w:sz="4" w:space="0" w:color="auto"/>
              <w:right w:val="nil"/>
            </w:tcBorders>
            <w:shd w:val="clear" w:color="auto" w:fill="auto"/>
            <w:vAlign w:val="center"/>
            <w:hideMark/>
          </w:tcPr>
          <w:p w14:paraId="5ACE46A2" w14:textId="77777777" w:rsidR="0097090C" w:rsidRPr="00326499" w:rsidRDefault="0097090C" w:rsidP="0097090C">
            <w:pPr>
              <w:rPr>
                <w:rFonts w:cs="Arial"/>
                <w:b/>
                <w:bCs/>
                <w:color w:val="000000"/>
              </w:rPr>
            </w:pPr>
            <w:r w:rsidRPr="00326499">
              <w:rPr>
                <w:rFonts w:cs="Arial"/>
                <w:b/>
                <w:bCs/>
                <w:color w:val="000000"/>
              </w:rPr>
              <w:t>Total</w:t>
            </w:r>
          </w:p>
        </w:tc>
        <w:tc>
          <w:tcPr>
            <w:tcW w:w="736" w:type="dxa"/>
            <w:tcBorders>
              <w:top w:val="single" w:sz="4" w:space="0" w:color="auto"/>
              <w:left w:val="nil"/>
              <w:bottom w:val="single" w:sz="4" w:space="0" w:color="auto"/>
              <w:right w:val="nil"/>
            </w:tcBorders>
            <w:shd w:val="clear" w:color="auto" w:fill="auto"/>
            <w:vAlign w:val="center"/>
            <w:hideMark/>
          </w:tcPr>
          <w:p w14:paraId="36789117" w14:textId="77777777" w:rsidR="0097090C" w:rsidRPr="00326499" w:rsidRDefault="0097090C" w:rsidP="0097090C">
            <w:pPr>
              <w:jc w:val="center"/>
              <w:rPr>
                <w:rFonts w:cs="Arial"/>
                <w:b/>
                <w:bCs/>
                <w:color w:val="000000"/>
              </w:rPr>
            </w:pPr>
            <w:r w:rsidRPr="00326499">
              <w:rPr>
                <w:rFonts w:cs="Arial"/>
                <w:b/>
                <w:bCs/>
                <w:color w:val="000000"/>
              </w:rPr>
              <w:t> </w:t>
            </w:r>
          </w:p>
        </w:tc>
        <w:tc>
          <w:tcPr>
            <w:tcW w:w="992" w:type="dxa"/>
            <w:tcBorders>
              <w:top w:val="single" w:sz="4" w:space="0" w:color="auto"/>
              <w:left w:val="nil"/>
              <w:bottom w:val="single" w:sz="4" w:space="0" w:color="auto"/>
              <w:right w:val="nil"/>
            </w:tcBorders>
            <w:shd w:val="clear" w:color="000000" w:fill="D9D9D9"/>
            <w:vAlign w:val="center"/>
            <w:hideMark/>
          </w:tcPr>
          <w:p w14:paraId="4A62E9D5" w14:textId="77777777" w:rsidR="0097090C" w:rsidRPr="00326499" w:rsidRDefault="0097090C" w:rsidP="0097090C">
            <w:pPr>
              <w:jc w:val="right"/>
              <w:rPr>
                <w:rFonts w:cs="Arial"/>
                <w:b/>
                <w:bCs/>
                <w:color w:val="000000"/>
              </w:rPr>
            </w:pPr>
            <w:r w:rsidRPr="00326499">
              <w:rPr>
                <w:rFonts w:cs="Arial"/>
                <w:b/>
                <w:bCs/>
                <w:color w:val="000000"/>
              </w:rPr>
              <w:t>0</w:t>
            </w:r>
          </w:p>
        </w:tc>
        <w:tc>
          <w:tcPr>
            <w:tcW w:w="992" w:type="dxa"/>
            <w:tcBorders>
              <w:top w:val="single" w:sz="4" w:space="0" w:color="auto"/>
              <w:left w:val="nil"/>
              <w:bottom w:val="single" w:sz="4" w:space="0" w:color="auto"/>
              <w:right w:val="nil"/>
            </w:tcBorders>
            <w:shd w:val="clear" w:color="auto" w:fill="auto"/>
            <w:vAlign w:val="center"/>
            <w:hideMark/>
          </w:tcPr>
          <w:p w14:paraId="4FB17F59" w14:textId="77777777" w:rsidR="0097090C" w:rsidRPr="00326499" w:rsidRDefault="0097090C" w:rsidP="0097090C">
            <w:pPr>
              <w:jc w:val="right"/>
              <w:rPr>
                <w:rFonts w:cs="Arial"/>
                <w:b/>
                <w:bCs/>
                <w:color w:val="000000"/>
              </w:rPr>
            </w:pPr>
            <w:r w:rsidRPr="00326499">
              <w:rPr>
                <w:rFonts w:cs="Arial"/>
                <w:b/>
                <w:bCs/>
                <w:color w:val="000000"/>
              </w:rPr>
              <w:t>0</w:t>
            </w:r>
          </w:p>
        </w:tc>
        <w:tc>
          <w:tcPr>
            <w:tcW w:w="992" w:type="dxa"/>
            <w:tcBorders>
              <w:top w:val="single" w:sz="4" w:space="0" w:color="auto"/>
              <w:left w:val="nil"/>
              <w:bottom w:val="single" w:sz="4" w:space="0" w:color="auto"/>
              <w:right w:val="nil"/>
            </w:tcBorders>
            <w:shd w:val="clear" w:color="000000" w:fill="D9D9D9"/>
            <w:vAlign w:val="center"/>
            <w:hideMark/>
          </w:tcPr>
          <w:p w14:paraId="676F538B" w14:textId="77777777" w:rsidR="0097090C" w:rsidRPr="00326499" w:rsidRDefault="0097090C" w:rsidP="0097090C">
            <w:pPr>
              <w:jc w:val="right"/>
              <w:rPr>
                <w:rFonts w:cs="Arial"/>
                <w:b/>
                <w:bCs/>
                <w:color w:val="000000"/>
              </w:rPr>
            </w:pPr>
            <w:r w:rsidRPr="00326499">
              <w:rPr>
                <w:rFonts w:cs="Arial"/>
                <w:b/>
                <w:bCs/>
                <w:color w:val="000000"/>
              </w:rPr>
              <w:t>457</w:t>
            </w:r>
          </w:p>
        </w:tc>
        <w:tc>
          <w:tcPr>
            <w:tcW w:w="992" w:type="dxa"/>
            <w:tcBorders>
              <w:top w:val="single" w:sz="4" w:space="0" w:color="auto"/>
              <w:left w:val="nil"/>
              <w:bottom w:val="single" w:sz="4" w:space="0" w:color="auto"/>
              <w:right w:val="nil"/>
            </w:tcBorders>
            <w:shd w:val="clear" w:color="auto" w:fill="auto"/>
            <w:vAlign w:val="center"/>
            <w:hideMark/>
          </w:tcPr>
          <w:p w14:paraId="34E4F003" w14:textId="77777777" w:rsidR="0097090C" w:rsidRPr="00326499" w:rsidRDefault="0097090C" w:rsidP="0097090C">
            <w:pPr>
              <w:jc w:val="right"/>
              <w:rPr>
                <w:rFonts w:cs="Arial"/>
                <w:b/>
                <w:bCs/>
                <w:color w:val="000000"/>
              </w:rPr>
            </w:pPr>
            <w:r w:rsidRPr="00326499">
              <w:rPr>
                <w:rFonts w:cs="Arial"/>
                <w:b/>
                <w:bCs/>
                <w:color w:val="000000"/>
              </w:rPr>
              <w:t>274</w:t>
            </w:r>
          </w:p>
        </w:tc>
      </w:tr>
    </w:tbl>
    <w:p w14:paraId="0215CC7A" w14:textId="77777777" w:rsidR="0097090C" w:rsidRDefault="0097090C" w:rsidP="0097090C">
      <w:pPr>
        <w:spacing w:before="60" w:after="60"/>
        <w:rPr>
          <w:rFonts w:cs="Arial"/>
          <w:sz w:val="18"/>
          <w:szCs w:val="18"/>
        </w:rPr>
      </w:pPr>
    </w:p>
    <w:p w14:paraId="19521E78" w14:textId="77777777" w:rsidR="0097090C" w:rsidRPr="009A27BA" w:rsidRDefault="0097090C" w:rsidP="0097090C">
      <w:pPr>
        <w:numPr>
          <w:ilvl w:val="0"/>
          <w:numId w:val="25"/>
        </w:numPr>
        <w:spacing w:before="60" w:after="60"/>
        <w:rPr>
          <w:rFonts w:cs="Arial"/>
          <w:sz w:val="21"/>
          <w:szCs w:val="21"/>
        </w:rPr>
      </w:pPr>
      <w:r w:rsidRPr="009A27BA">
        <w:rPr>
          <w:rFonts w:cs="Arial"/>
          <w:sz w:val="21"/>
          <w:szCs w:val="21"/>
        </w:rPr>
        <w:t xml:space="preserve">Operating leases relates to office equipment leased from Equigroup and Konica-Minolta and planetarium equipment leased from AllLeasing. </w:t>
      </w:r>
    </w:p>
    <w:p w14:paraId="7E679345" w14:textId="77777777" w:rsidR="0097090C" w:rsidRDefault="0097090C" w:rsidP="0097090C">
      <w:pPr>
        <w:numPr>
          <w:ilvl w:val="0"/>
          <w:numId w:val="25"/>
        </w:numPr>
        <w:spacing w:before="60" w:after="60"/>
        <w:rPr>
          <w:rFonts w:cs="Arial"/>
          <w:sz w:val="21"/>
          <w:szCs w:val="21"/>
        </w:rPr>
      </w:pPr>
      <w:r w:rsidRPr="009A27BA">
        <w:rPr>
          <w:rFonts w:cs="Arial"/>
          <w:sz w:val="21"/>
          <w:szCs w:val="21"/>
        </w:rPr>
        <w:t>Finance leases relate to motor vehicles leased from Department of Treasury and Finance.</w:t>
      </w:r>
    </w:p>
    <w:p w14:paraId="6689BF51" w14:textId="77777777" w:rsidR="0097090C" w:rsidRPr="009A27BA" w:rsidRDefault="0097090C" w:rsidP="0097090C">
      <w:pPr>
        <w:spacing w:before="60" w:after="60"/>
        <w:rPr>
          <w:rFonts w:cs="Arial"/>
          <w:sz w:val="21"/>
          <w:szCs w:val="21"/>
        </w:rPr>
      </w:pPr>
    </w:p>
    <w:p w14:paraId="4D7D6D01" w14:textId="77777777" w:rsidR="0097090C" w:rsidRPr="001F751F" w:rsidRDefault="0097090C" w:rsidP="0097090C">
      <w:pPr>
        <w:pStyle w:val="Heading4"/>
      </w:pPr>
      <w:r>
        <w:t xml:space="preserve">19. </w:t>
      </w:r>
      <w:r w:rsidRPr="001F751F">
        <w:t>Financial Instruments</w:t>
      </w:r>
    </w:p>
    <w:p w14:paraId="5FCB8C63" w14:textId="77777777" w:rsidR="0097090C" w:rsidRPr="007D49F3" w:rsidRDefault="0097090C" w:rsidP="0097090C">
      <w:pPr>
        <w:pStyle w:val="Heading4"/>
        <w:numPr>
          <w:ilvl w:val="0"/>
          <w:numId w:val="35"/>
        </w:numPr>
      </w:pPr>
      <w:r w:rsidRPr="007D49F3">
        <w:t xml:space="preserve">Financial </w:t>
      </w:r>
      <w:r>
        <w:t xml:space="preserve">risk management objectives and </w:t>
      </w:r>
      <w:r w:rsidRPr="007D49F3">
        <w:t>policies</w:t>
      </w:r>
    </w:p>
    <w:p w14:paraId="1ED5A7AE" w14:textId="77777777" w:rsidR="0097090C" w:rsidRPr="007D49F3" w:rsidRDefault="0097090C" w:rsidP="0097090C">
      <w:pPr>
        <w:rPr>
          <w:rFonts w:cs="Arial"/>
        </w:rPr>
      </w:pPr>
      <w:r w:rsidRPr="007D49F3">
        <w:rPr>
          <w:rFonts w:cs="Arial"/>
        </w:rPr>
        <w:t>The significant accounting policies and methods adopted, including the criteria for recognition, the basis of measurement, and the basis on which income and expenses are recognised, with respect to each class of financial asset, financial liability and equity instrument are disclosed in Note 1 to the financial statements.</w:t>
      </w:r>
    </w:p>
    <w:p w14:paraId="058E7F67" w14:textId="77777777" w:rsidR="0097090C" w:rsidRPr="007D49F3" w:rsidRDefault="0097090C" w:rsidP="0097090C">
      <w:pPr>
        <w:rPr>
          <w:rFonts w:cs="Arial"/>
        </w:rPr>
      </w:pPr>
    </w:p>
    <w:p w14:paraId="46BA46F1" w14:textId="77777777" w:rsidR="0097090C" w:rsidRPr="007D49F3" w:rsidRDefault="0097090C" w:rsidP="0097090C">
      <w:pPr>
        <w:rPr>
          <w:rFonts w:cs="Arial"/>
        </w:rPr>
      </w:pPr>
      <w:r w:rsidRPr="007D49F3">
        <w:rPr>
          <w:rFonts w:cs="Arial"/>
        </w:rPr>
        <w:t>The main purpose in holding financial instruments is to prudentially manage the entity’s financial risks within its policy parameters. The entity’s main financial risks include credit risk, liquidity risk and interest rate risk. The entity manages these financial risks in accordance with its financial management policies.</w:t>
      </w:r>
    </w:p>
    <w:p w14:paraId="7340720D" w14:textId="77777777" w:rsidR="0097090C" w:rsidRPr="007D49F3" w:rsidRDefault="0097090C" w:rsidP="0097090C">
      <w:pPr>
        <w:rPr>
          <w:rFonts w:cs="Arial"/>
        </w:rPr>
      </w:pPr>
    </w:p>
    <w:p w14:paraId="0A644926" w14:textId="77777777" w:rsidR="0097090C" w:rsidRPr="007D49F3" w:rsidRDefault="0097090C" w:rsidP="0097090C">
      <w:pPr>
        <w:rPr>
          <w:rFonts w:cs="Arial"/>
        </w:rPr>
      </w:pPr>
      <w:r w:rsidRPr="007D49F3">
        <w:rPr>
          <w:rFonts w:cs="Arial"/>
        </w:rPr>
        <w:t xml:space="preserve">Cash investments are governed by an investment policy approved by the Museums Board of Victoria. The policy restricts the types and terms of investments to government securities or government guaranteed securities and low risk instruments with </w:t>
      </w:r>
      <w:r>
        <w:rPr>
          <w:rFonts w:cs="Arial"/>
        </w:rPr>
        <w:t>Government approved</w:t>
      </w:r>
      <w:r w:rsidRPr="007D49F3">
        <w:rPr>
          <w:rFonts w:cs="Arial"/>
        </w:rPr>
        <w:t xml:space="preserve"> financial institutions. </w:t>
      </w:r>
    </w:p>
    <w:p w14:paraId="4456E3FD" w14:textId="77777777" w:rsidR="0097090C" w:rsidRDefault="0097090C" w:rsidP="0097090C">
      <w:pPr>
        <w:rPr>
          <w:rFonts w:cs="Arial"/>
        </w:rPr>
      </w:pPr>
    </w:p>
    <w:p w14:paraId="547528B1" w14:textId="77777777" w:rsidR="0097090C" w:rsidRDefault="0097090C" w:rsidP="0097090C">
      <w:pPr>
        <w:pStyle w:val="Heading5"/>
        <w:numPr>
          <w:ilvl w:val="0"/>
          <w:numId w:val="35"/>
        </w:numPr>
      </w:pPr>
      <w:r w:rsidRPr="001F751F">
        <w:t>Categorisation of financial instruments</w:t>
      </w:r>
    </w:p>
    <w:tbl>
      <w:tblPr>
        <w:tblW w:w="9887" w:type="dxa"/>
        <w:tblInd w:w="93" w:type="dxa"/>
        <w:tblLook w:val="04A0" w:firstRow="1" w:lastRow="0" w:firstColumn="1" w:lastColumn="0" w:noHBand="0" w:noVBand="1"/>
      </w:tblPr>
      <w:tblGrid>
        <w:gridCol w:w="3300"/>
        <w:gridCol w:w="687"/>
        <w:gridCol w:w="1600"/>
        <w:gridCol w:w="1620"/>
        <w:gridCol w:w="1460"/>
        <w:gridCol w:w="1220"/>
      </w:tblGrid>
      <w:tr w:rsidR="0097090C" w:rsidRPr="00636CC2" w14:paraId="6E39C4E3" w14:textId="77777777" w:rsidTr="0097090C">
        <w:trPr>
          <w:trHeight w:val="240"/>
        </w:trPr>
        <w:tc>
          <w:tcPr>
            <w:tcW w:w="3300" w:type="dxa"/>
            <w:tcBorders>
              <w:top w:val="nil"/>
              <w:left w:val="nil"/>
              <w:bottom w:val="single" w:sz="4" w:space="0" w:color="auto"/>
              <w:right w:val="nil"/>
            </w:tcBorders>
            <w:shd w:val="clear" w:color="auto" w:fill="auto"/>
            <w:noWrap/>
            <w:vAlign w:val="center"/>
            <w:hideMark/>
          </w:tcPr>
          <w:p w14:paraId="2DA6E897" w14:textId="77777777" w:rsidR="0097090C" w:rsidRPr="00636CC2" w:rsidRDefault="0097090C" w:rsidP="0097090C">
            <w:pPr>
              <w:rPr>
                <w:rFonts w:cs="Arial"/>
                <w:b/>
                <w:bCs/>
                <w:sz w:val="18"/>
                <w:szCs w:val="18"/>
              </w:rPr>
            </w:pPr>
            <w:r w:rsidRPr="00636CC2">
              <w:rPr>
                <w:rFonts w:cs="Arial"/>
                <w:b/>
                <w:bCs/>
                <w:sz w:val="18"/>
                <w:szCs w:val="18"/>
              </w:rPr>
              <w:t> </w:t>
            </w:r>
          </w:p>
        </w:tc>
        <w:tc>
          <w:tcPr>
            <w:tcW w:w="687" w:type="dxa"/>
            <w:tcBorders>
              <w:top w:val="nil"/>
              <w:left w:val="nil"/>
              <w:bottom w:val="single" w:sz="4" w:space="0" w:color="auto"/>
              <w:right w:val="nil"/>
            </w:tcBorders>
            <w:shd w:val="clear" w:color="auto" w:fill="auto"/>
            <w:noWrap/>
            <w:vAlign w:val="center"/>
            <w:hideMark/>
          </w:tcPr>
          <w:p w14:paraId="7735BDF9" w14:textId="77777777" w:rsidR="0097090C" w:rsidRPr="00636CC2" w:rsidRDefault="0097090C" w:rsidP="0097090C">
            <w:pPr>
              <w:rPr>
                <w:rFonts w:cs="Arial"/>
                <w:b/>
                <w:bCs/>
                <w:sz w:val="18"/>
                <w:szCs w:val="18"/>
              </w:rPr>
            </w:pPr>
            <w:r w:rsidRPr="00636CC2">
              <w:rPr>
                <w:rFonts w:cs="Arial"/>
                <w:b/>
                <w:bCs/>
                <w:sz w:val="18"/>
                <w:szCs w:val="18"/>
              </w:rPr>
              <w:t> </w:t>
            </w:r>
          </w:p>
        </w:tc>
        <w:tc>
          <w:tcPr>
            <w:tcW w:w="1600" w:type="dxa"/>
            <w:tcBorders>
              <w:top w:val="nil"/>
              <w:left w:val="nil"/>
              <w:bottom w:val="single" w:sz="4" w:space="0" w:color="auto"/>
              <w:right w:val="nil"/>
            </w:tcBorders>
            <w:shd w:val="clear" w:color="auto" w:fill="auto"/>
            <w:noWrap/>
            <w:vAlign w:val="center"/>
            <w:hideMark/>
          </w:tcPr>
          <w:p w14:paraId="63C5E07B" w14:textId="77777777" w:rsidR="0097090C" w:rsidRPr="00636CC2" w:rsidRDefault="0097090C" w:rsidP="0097090C">
            <w:pPr>
              <w:rPr>
                <w:rFonts w:cs="Arial"/>
                <w:b/>
                <w:bCs/>
                <w:sz w:val="18"/>
                <w:szCs w:val="18"/>
              </w:rPr>
            </w:pPr>
            <w:r w:rsidRPr="00636CC2">
              <w:rPr>
                <w:rFonts w:cs="Arial"/>
                <w:b/>
                <w:bCs/>
                <w:sz w:val="18"/>
                <w:szCs w:val="18"/>
              </w:rPr>
              <w:t> </w:t>
            </w:r>
          </w:p>
        </w:tc>
        <w:tc>
          <w:tcPr>
            <w:tcW w:w="1620" w:type="dxa"/>
            <w:tcBorders>
              <w:top w:val="nil"/>
              <w:left w:val="nil"/>
              <w:bottom w:val="single" w:sz="4" w:space="0" w:color="auto"/>
              <w:right w:val="nil"/>
            </w:tcBorders>
            <w:shd w:val="clear" w:color="auto" w:fill="auto"/>
            <w:noWrap/>
            <w:vAlign w:val="center"/>
            <w:hideMark/>
          </w:tcPr>
          <w:p w14:paraId="3941C598" w14:textId="77777777" w:rsidR="0097090C" w:rsidRPr="00636CC2" w:rsidRDefault="0097090C" w:rsidP="0097090C">
            <w:pPr>
              <w:rPr>
                <w:rFonts w:cs="Arial"/>
                <w:sz w:val="18"/>
                <w:szCs w:val="18"/>
              </w:rPr>
            </w:pPr>
            <w:r w:rsidRPr="00636CC2">
              <w:rPr>
                <w:rFonts w:cs="Arial"/>
                <w:sz w:val="18"/>
                <w:szCs w:val="18"/>
              </w:rPr>
              <w:t> </w:t>
            </w:r>
          </w:p>
        </w:tc>
        <w:tc>
          <w:tcPr>
            <w:tcW w:w="1460" w:type="dxa"/>
            <w:tcBorders>
              <w:top w:val="nil"/>
              <w:left w:val="nil"/>
              <w:bottom w:val="single" w:sz="4" w:space="0" w:color="auto"/>
              <w:right w:val="nil"/>
            </w:tcBorders>
            <w:shd w:val="clear" w:color="auto" w:fill="auto"/>
            <w:noWrap/>
            <w:vAlign w:val="center"/>
            <w:hideMark/>
          </w:tcPr>
          <w:p w14:paraId="2B463C2D"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single" w:sz="4" w:space="0" w:color="auto"/>
              <w:right w:val="nil"/>
            </w:tcBorders>
            <w:shd w:val="clear" w:color="auto" w:fill="auto"/>
            <w:noWrap/>
            <w:vAlign w:val="center"/>
            <w:hideMark/>
          </w:tcPr>
          <w:p w14:paraId="407F49AA" w14:textId="77777777" w:rsidR="0097090C" w:rsidRPr="00636CC2" w:rsidRDefault="0097090C" w:rsidP="0097090C">
            <w:pPr>
              <w:jc w:val="right"/>
              <w:rPr>
                <w:rFonts w:cs="Arial"/>
                <w:b/>
                <w:bCs/>
                <w:i/>
                <w:iCs/>
                <w:sz w:val="18"/>
                <w:szCs w:val="18"/>
              </w:rPr>
            </w:pPr>
            <w:r w:rsidRPr="00636CC2">
              <w:rPr>
                <w:rFonts w:cs="Arial"/>
                <w:b/>
                <w:bCs/>
                <w:i/>
                <w:iCs/>
                <w:sz w:val="18"/>
                <w:szCs w:val="18"/>
              </w:rPr>
              <w:t>$ '000</w:t>
            </w:r>
          </w:p>
        </w:tc>
      </w:tr>
      <w:tr w:rsidR="0097090C" w:rsidRPr="00636CC2" w14:paraId="25982EFB" w14:textId="77777777" w:rsidTr="0097090C">
        <w:trPr>
          <w:trHeight w:val="930"/>
        </w:trPr>
        <w:tc>
          <w:tcPr>
            <w:tcW w:w="3300" w:type="dxa"/>
            <w:tcBorders>
              <w:top w:val="nil"/>
              <w:left w:val="nil"/>
              <w:bottom w:val="single" w:sz="4" w:space="0" w:color="auto"/>
              <w:right w:val="nil"/>
            </w:tcBorders>
            <w:shd w:val="clear" w:color="auto" w:fill="auto"/>
            <w:noWrap/>
            <w:vAlign w:val="bottom"/>
            <w:hideMark/>
          </w:tcPr>
          <w:p w14:paraId="39433944" w14:textId="77777777" w:rsidR="0097090C" w:rsidRPr="00636CC2" w:rsidRDefault="0097090C" w:rsidP="0097090C">
            <w:pPr>
              <w:rPr>
                <w:rFonts w:cs="Arial"/>
                <w:b/>
                <w:bCs/>
                <w:sz w:val="18"/>
                <w:szCs w:val="18"/>
              </w:rPr>
            </w:pPr>
            <w:r w:rsidRPr="00636CC2">
              <w:rPr>
                <w:rFonts w:cs="Arial"/>
                <w:b/>
                <w:bCs/>
                <w:sz w:val="18"/>
                <w:szCs w:val="18"/>
              </w:rPr>
              <w:t>2016</w:t>
            </w:r>
          </w:p>
        </w:tc>
        <w:tc>
          <w:tcPr>
            <w:tcW w:w="687" w:type="dxa"/>
            <w:tcBorders>
              <w:top w:val="nil"/>
              <w:left w:val="nil"/>
              <w:bottom w:val="single" w:sz="4" w:space="0" w:color="auto"/>
              <w:right w:val="nil"/>
            </w:tcBorders>
            <w:shd w:val="clear" w:color="auto" w:fill="auto"/>
            <w:noWrap/>
            <w:vAlign w:val="bottom"/>
            <w:hideMark/>
          </w:tcPr>
          <w:p w14:paraId="62F8C8D5" w14:textId="77777777" w:rsidR="0097090C" w:rsidRPr="00636CC2" w:rsidRDefault="0097090C" w:rsidP="0097090C">
            <w:pPr>
              <w:jc w:val="center"/>
              <w:rPr>
                <w:rFonts w:cs="Arial"/>
                <w:sz w:val="18"/>
                <w:szCs w:val="18"/>
              </w:rPr>
            </w:pPr>
            <w:r w:rsidRPr="00636CC2">
              <w:rPr>
                <w:rFonts w:cs="Arial"/>
                <w:sz w:val="18"/>
                <w:szCs w:val="18"/>
              </w:rPr>
              <w:t>Notes</w:t>
            </w:r>
          </w:p>
        </w:tc>
        <w:tc>
          <w:tcPr>
            <w:tcW w:w="1600" w:type="dxa"/>
            <w:tcBorders>
              <w:top w:val="nil"/>
              <w:left w:val="nil"/>
              <w:bottom w:val="single" w:sz="4" w:space="0" w:color="auto"/>
              <w:right w:val="nil"/>
            </w:tcBorders>
            <w:shd w:val="clear" w:color="000000" w:fill="D9D9D9"/>
            <w:hideMark/>
          </w:tcPr>
          <w:p w14:paraId="7D3D7921" w14:textId="77777777" w:rsidR="0097090C" w:rsidRPr="00636CC2" w:rsidRDefault="0097090C" w:rsidP="0097090C">
            <w:pPr>
              <w:rPr>
                <w:rFonts w:cs="Arial"/>
                <w:sz w:val="18"/>
                <w:szCs w:val="18"/>
              </w:rPr>
            </w:pPr>
            <w:r w:rsidRPr="00636CC2">
              <w:rPr>
                <w:rFonts w:cs="Arial"/>
                <w:sz w:val="18"/>
                <w:szCs w:val="18"/>
              </w:rPr>
              <w:t>Contractual financial assets-designated at fair value through profit/loss</w:t>
            </w:r>
          </w:p>
        </w:tc>
        <w:tc>
          <w:tcPr>
            <w:tcW w:w="1620" w:type="dxa"/>
            <w:tcBorders>
              <w:top w:val="nil"/>
              <w:left w:val="nil"/>
              <w:bottom w:val="single" w:sz="4" w:space="0" w:color="auto"/>
              <w:right w:val="nil"/>
            </w:tcBorders>
            <w:shd w:val="clear" w:color="auto" w:fill="auto"/>
            <w:hideMark/>
          </w:tcPr>
          <w:p w14:paraId="3A5CDA74" w14:textId="77777777" w:rsidR="0097090C" w:rsidRPr="00636CC2" w:rsidRDefault="0097090C" w:rsidP="0097090C">
            <w:pPr>
              <w:rPr>
                <w:rFonts w:cs="Arial"/>
                <w:sz w:val="18"/>
                <w:szCs w:val="18"/>
              </w:rPr>
            </w:pPr>
            <w:r w:rsidRPr="00636CC2">
              <w:rPr>
                <w:rFonts w:cs="Arial"/>
                <w:sz w:val="18"/>
                <w:szCs w:val="18"/>
              </w:rPr>
              <w:t>Contractual financial assets-loans and receivables</w:t>
            </w:r>
          </w:p>
        </w:tc>
        <w:tc>
          <w:tcPr>
            <w:tcW w:w="1460" w:type="dxa"/>
            <w:tcBorders>
              <w:top w:val="nil"/>
              <w:left w:val="nil"/>
              <w:bottom w:val="single" w:sz="4" w:space="0" w:color="auto"/>
              <w:right w:val="nil"/>
            </w:tcBorders>
            <w:shd w:val="clear" w:color="000000" w:fill="D9D9D9"/>
            <w:hideMark/>
          </w:tcPr>
          <w:p w14:paraId="17356A89" w14:textId="77777777" w:rsidR="0097090C" w:rsidRPr="00636CC2" w:rsidRDefault="0097090C" w:rsidP="0097090C">
            <w:pPr>
              <w:rPr>
                <w:rFonts w:cs="Arial"/>
                <w:sz w:val="18"/>
                <w:szCs w:val="18"/>
              </w:rPr>
            </w:pPr>
            <w:r w:rsidRPr="00636CC2">
              <w:rPr>
                <w:rFonts w:cs="Arial"/>
                <w:sz w:val="18"/>
                <w:szCs w:val="18"/>
              </w:rPr>
              <w:t>Contractual financial liabilities at amortised cost</w:t>
            </w:r>
          </w:p>
        </w:tc>
        <w:tc>
          <w:tcPr>
            <w:tcW w:w="1220" w:type="dxa"/>
            <w:tcBorders>
              <w:top w:val="nil"/>
              <w:left w:val="nil"/>
              <w:bottom w:val="single" w:sz="4" w:space="0" w:color="auto"/>
              <w:right w:val="nil"/>
            </w:tcBorders>
            <w:shd w:val="clear" w:color="auto" w:fill="auto"/>
            <w:hideMark/>
          </w:tcPr>
          <w:p w14:paraId="7744CDCD" w14:textId="77777777" w:rsidR="0097090C" w:rsidRPr="00636CC2" w:rsidRDefault="0097090C" w:rsidP="0097090C">
            <w:pPr>
              <w:jc w:val="right"/>
              <w:rPr>
                <w:rFonts w:cs="Arial"/>
                <w:sz w:val="18"/>
                <w:szCs w:val="18"/>
              </w:rPr>
            </w:pPr>
            <w:r w:rsidRPr="00636CC2">
              <w:rPr>
                <w:rFonts w:cs="Arial"/>
                <w:sz w:val="18"/>
                <w:szCs w:val="18"/>
              </w:rPr>
              <w:t>Total</w:t>
            </w:r>
          </w:p>
        </w:tc>
      </w:tr>
      <w:tr w:rsidR="0097090C" w:rsidRPr="00636CC2" w14:paraId="5F2112AB" w14:textId="77777777" w:rsidTr="0097090C">
        <w:trPr>
          <w:trHeight w:val="255"/>
        </w:trPr>
        <w:tc>
          <w:tcPr>
            <w:tcW w:w="3300" w:type="dxa"/>
            <w:tcBorders>
              <w:top w:val="nil"/>
              <w:left w:val="nil"/>
              <w:bottom w:val="nil"/>
              <w:right w:val="nil"/>
            </w:tcBorders>
            <w:shd w:val="clear" w:color="auto" w:fill="auto"/>
            <w:noWrap/>
            <w:vAlign w:val="bottom"/>
            <w:hideMark/>
          </w:tcPr>
          <w:p w14:paraId="5A4F1040" w14:textId="77777777" w:rsidR="0097090C" w:rsidRPr="00636CC2" w:rsidRDefault="0097090C" w:rsidP="0097090C">
            <w:pPr>
              <w:rPr>
                <w:rFonts w:cs="Arial"/>
                <w:b/>
                <w:bCs/>
                <w:sz w:val="18"/>
                <w:szCs w:val="18"/>
              </w:rPr>
            </w:pPr>
            <w:r w:rsidRPr="00636CC2">
              <w:rPr>
                <w:rFonts w:cs="Arial"/>
                <w:b/>
                <w:bCs/>
                <w:sz w:val="18"/>
                <w:szCs w:val="18"/>
              </w:rPr>
              <w:t>Contractual financial assets</w:t>
            </w:r>
          </w:p>
        </w:tc>
        <w:tc>
          <w:tcPr>
            <w:tcW w:w="687" w:type="dxa"/>
            <w:tcBorders>
              <w:top w:val="nil"/>
              <w:left w:val="nil"/>
              <w:bottom w:val="nil"/>
              <w:right w:val="nil"/>
            </w:tcBorders>
            <w:shd w:val="clear" w:color="auto" w:fill="auto"/>
            <w:noWrap/>
            <w:vAlign w:val="bottom"/>
            <w:hideMark/>
          </w:tcPr>
          <w:p w14:paraId="262F4284" w14:textId="77777777" w:rsidR="0097090C" w:rsidRPr="00636CC2" w:rsidRDefault="0097090C" w:rsidP="0097090C">
            <w:pPr>
              <w:rPr>
                <w:rFonts w:cs="Arial"/>
                <w:b/>
                <w:bCs/>
                <w:sz w:val="18"/>
                <w:szCs w:val="18"/>
              </w:rPr>
            </w:pPr>
          </w:p>
        </w:tc>
        <w:tc>
          <w:tcPr>
            <w:tcW w:w="1600" w:type="dxa"/>
            <w:tcBorders>
              <w:top w:val="nil"/>
              <w:left w:val="nil"/>
              <w:bottom w:val="nil"/>
              <w:right w:val="nil"/>
            </w:tcBorders>
            <w:shd w:val="clear" w:color="000000" w:fill="D9D9D9"/>
            <w:noWrap/>
            <w:vAlign w:val="bottom"/>
            <w:hideMark/>
          </w:tcPr>
          <w:p w14:paraId="7E177E91" w14:textId="77777777" w:rsidR="0097090C" w:rsidRPr="00636CC2" w:rsidRDefault="0097090C" w:rsidP="0097090C">
            <w:pPr>
              <w:jc w:val="right"/>
              <w:rPr>
                <w:rFonts w:cs="Arial"/>
                <w:b/>
                <w:bCs/>
                <w:sz w:val="18"/>
                <w:szCs w:val="18"/>
              </w:rPr>
            </w:pPr>
            <w:r w:rsidRPr="00636CC2">
              <w:rPr>
                <w:rFonts w:cs="Arial"/>
                <w:b/>
                <w:bCs/>
                <w:sz w:val="18"/>
                <w:szCs w:val="18"/>
              </w:rPr>
              <w:t> </w:t>
            </w:r>
          </w:p>
        </w:tc>
        <w:tc>
          <w:tcPr>
            <w:tcW w:w="1620" w:type="dxa"/>
            <w:tcBorders>
              <w:top w:val="nil"/>
              <w:left w:val="nil"/>
              <w:bottom w:val="nil"/>
              <w:right w:val="nil"/>
            </w:tcBorders>
            <w:shd w:val="clear" w:color="auto" w:fill="auto"/>
            <w:vAlign w:val="bottom"/>
            <w:hideMark/>
          </w:tcPr>
          <w:p w14:paraId="665F7EDA"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vAlign w:val="bottom"/>
            <w:hideMark/>
          </w:tcPr>
          <w:p w14:paraId="78926CE6"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hideMark/>
          </w:tcPr>
          <w:p w14:paraId="2468AF7D" w14:textId="77777777" w:rsidR="0097090C" w:rsidRPr="00636CC2" w:rsidRDefault="0097090C" w:rsidP="0097090C">
            <w:pPr>
              <w:rPr>
                <w:rFonts w:cs="Arial"/>
                <w:sz w:val="18"/>
                <w:szCs w:val="18"/>
              </w:rPr>
            </w:pPr>
          </w:p>
        </w:tc>
      </w:tr>
      <w:tr w:rsidR="0097090C" w:rsidRPr="00636CC2" w14:paraId="5171B0E0" w14:textId="77777777" w:rsidTr="0097090C">
        <w:trPr>
          <w:trHeight w:val="240"/>
        </w:trPr>
        <w:tc>
          <w:tcPr>
            <w:tcW w:w="3300" w:type="dxa"/>
            <w:tcBorders>
              <w:top w:val="nil"/>
              <w:left w:val="nil"/>
              <w:bottom w:val="nil"/>
              <w:right w:val="nil"/>
            </w:tcBorders>
            <w:shd w:val="clear" w:color="auto" w:fill="auto"/>
            <w:noWrap/>
            <w:vAlign w:val="bottom"/>
            <w:hideMark/>
          </w:tcPr>
          <w:p w14:paraId="12D6162C" w14:textId="77777777" w:rsidR="0097090C" w:rsidRPr="00636CC2" w:rsidRDefault="0097090C" w:rsidP="0097090C">
            <w:pPr>
              <w:rPr>
                <w:rFonts w:cs="Arial"/>
                <w:sz w:val="18"/>
                <w:szCs w:val="18"/>
              </w:rPr>
            </w:pPr>
            <w:r w:rsidRPr="00636CC2">
              <w:rPr>
                <w:rFonts w:cs="Arial"/>
                <w:sz w:val="18"/>
                <w:szCs w:val="18"/>
              </w:rPr>
              <w:t xml:space="preserve">   Cash and deposits</w:t>
            </w:r>
          </w:p>
        </w:tc>
        <w:tc>
          <w:tcPr>
            <w:tcW w:w="687" w:type="dxa"/>
            <w:tcBorders>
              <w:top w:val="nil"/>
              <w:left w:val="nil"/>
              <w:bottom w:val="nil"/>
              <w:right w:val="nil"/>
            </w:tcBorders>
            <w:shd w:val="clear" w:color="auto" w:fill="auto"/>
            <w:noWrap/>
            <w:vAlign w:val="bottom"/>
            <w:hideMark/>
          </w:tcPr>
          <w:p w14:paraId="3A1D469D" w14:textId="77777777" w:rsidR="0097090C" w:rsidRPr="00636CC2" w:rsidRDefault="0097090C" w:rsidP="0097090C">
            <w:pPr>
              <w:jc w:val="center"/>
              <w:rPr>
                <w:rFonts w:cs="Arial"/>
                <w:sz w:val="18"/>
                <w:szCs w:val="18"/>
              </w:rPr>
            </w:pPr>
            <w:r w:rsidRPr="00636CC2">
              <w:rPr>
                <w:rFonts w:cs="Arial"/>
                <w:sz w:val="18"/>
                <w:szCs w:val="18"/>
              </w:rPr>
              <w:t>6</w:t>
            </w:r>
          </w:p>
        </w:tc>
        <w:tc>
          <w:tcPr>
            <w:tcW w:w="1600" w:type="dxa"/>
            <w:tcBorders>
              <w:top w:val="nil"/>
              <w:left w:val="nil"/>
              <w:bottom w:val="nil"/>
              <w:right w:val="nil"/>
            </w:tcBorders>
            <w:shd w:val="clear" w:color="000000" w:fill="D9D9D9"/>
            <w:noWrap/>
            <w:vAlign w:val="bottom"/>
            <w:hideMark/>
          </w:tcPr>
          <w:p w14:paraId="102ACA75"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54A5A0AD" w14:textId="77777777" w:rsidR="0097090C" w:rsidRPr="00636CC2" w:rsidRDefault="0097090C" w:rsidP="0097090C">
            <w:pPr>
              <w:jc w:val="right"/>
              <w:rPr>
                <w:rFonts w:cs="Arial"/>
                <w:sz w:val="18"/>
                <w:szCs w:val="18"/>
              </w:rPr>
            </w:pPr>
            <w:r w:rsidRPr="00636CC2">
              <w:rPr>
                <w:rFonts w:cs="Arial"/>
                <w:sz w:val="18"/>
                <w:szCs w:val="18"/>
              </w:rPr>
              <w:t>40,789</w:t>
            </w:r>
          </w:p>
        </w:tc>
        <w:tc>
          <w:tcPr>
            <w:tcW w:w="1460" w:type="dxa"/>
            <w:tcBorders>
              <w:top w:val="nil"/>
              <w:left w:val="nil"/>
              <w:bottom w:val="nil"/>
              <w:right w:val="nil"/>
            </w:tcBorders>
            <w:shd w:val="clear" w:color="000000" w:fill="D9D9D9"/>
            <w:noWrap/>
            <w:vAlign w:val="bottom"/>
            <w:hideMark/>
          </w:tcPr>
          <w:p w14:paraId="7111F332"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nil"/>
              <w:left w:val="nil"/>
              <w:bottom w:val="nil"/>
              <w:right w:val="nil"/>
            </w:tcBorders>
            <w:shd w:val="clear" w:color="auto" w:fill="auto"/>
            <w:noWrap/>
            <w:vAlign w:val="bottom"/>
            <w:hideMark/>
          </w:tcPr>
          <w:p w14:paraId="58ABCA03" w14:textId="77777777" w:rsidR="0097090C" w:rsidRPr="00636CC2" w:rsidRDefault="0097090C" w:rsidP="0097090C">
            <w:pPr>
              <w:jc w:val="right"/>
              <w:rPr>
                <w:rFonts w:cs="Arial"/>
                <w:sz w:val="18"/>
                <w:szCs w:val="18"/>
              </w:rPr>
            </w:pPr>
            <w:r w:rsidRPr="00636CC2">
              <w:rPr>
                <w:rFonts w:cs="Arial"/>
                <w:sz w:val="18"/>
                <w:szCs w:val="18"/>
              </w:rPr>
              <w:t>40,789</w:t>
            </w:r>
          </w:p>
        </w:tc>
      </w:tr>
      <w:tr w:rsidR="0097090C" w:rsidRPr="00636CC2" w14:paraId="51D68901" w14:textId="77777777" w:rsidTr="0097090C">
        <w:trPr>
          <w:trHeight w:val="240"/>
        </w:trPr>
        <w:tc>
          <w:tcPr>
            <w:tcW w:w="3300" w:type="dxa"/>
            <w:tcBorders>
              <w:top w:val="nil"/>
              <w:left w:val="nil"/>
              <w:bottom w:val="nil"/>
              <w:right w:val="nil"/>
            </w:tcBorders>
            <w:shd w:val="clear" w:color="auto" w:fill="auto"/>
            <w:noWrap/>
            <w:vAlign w:val="bottom"/>
            <w:hideMark/>
          </w:tcPr>
          <w:p w14:paraId="119B6EC6" w14:textId="77777777" w:rsidR="0097090C" w:rsidRPr="00636CC2" w:rsidRDefault="0097090C" w:rsidP="0097090C">
            <w:pPr>
              <w:rPr>
                <w:rFonts w:cs="Arial"/>
                <w:sz w:val="18"/>
                <w:szCs w:val="18"/>
              </w:rPr>
            </w:pPr>
            <w:r w:rsidRPr="00636CC2">
              <w:rPr>
                <w:rFonts w:cs="Arial"/>
                <w:sz w:val="18"/>
                <w:szCs w:val="18"/>
              </w:rPr>
              <w:t xml:space="preserve">Receivables: </w:t>
            </w:r>
          </w:p>
        </w:tc>
        <w:tc>
          <w:tcPr>
            <w:tcW w:w="687" w:type="dxa"/>
            <w:tcBorders>
              <w:top w:val="nil"/>
              <w:left w:val="nil"/>
              <w:bottom w:val="nil"/>
              <w:right w:val="nil"/>
            </w:tcBorders>
            <w:shd w:val="clear" w:color="auto" w:fill="auto"/>
            <w:noWrap/>
            <w:vAlign w:val="bottom"/>
            <w:hideMark/>
          </w:tcPr>
          <w:p w14:paraId="12F55CE7"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69F9BB85" w14:textId="77777777" w:rsidR="0097090C" w:rsidRPr="00636CC2" w:rsidRDefault="0097090C" w:rsidP="0097090C">
            <w:pPr>
              <w:jc w:val="right"/>
              <w:rPr>
                <w:rFonts w:cs="Arial"/>
                <w:sz w:val="18"/>
                <w:szCs w:val="18"/>
              </w:rPr>
            </w:pPr>
            <w:r w:rsidRPr="00636CC2">
              <w:rPr>
                <w:rFonts w:cs="Arial"/>
                <w:sz w:val="18"/>
                <w:szCs w:val="18"/>
              </w:rPr>
              <w:t> </w:t>
            </w:r>
          </w:p>
        </w:tc>
        <w:tc>
          <w:tcPr>
            <w:tcW w:w="1620" w:type="dxa"/>
            <w:tcBorders>
              <w:top w:val="nil"/>
              <w:left w:val="nil"/>
              <w:bottom w:val="nil"/>
              <w:right w:val="nil"/>
            </w:tcBorders>
            <w:shd w:val="clear" w:color="auto" w:fill="auto"/>
            <w:noWrap/>
            <w:vAlign w:val="bottom"/>
            <w:hideMark/>
          </w:tcPr>
          <w:p w14:paraId="2C9BC099"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noWrap/>
            <w:vAlign w:val="bottom"/>
            <w:hideMark/>
          </w:tcPr>
          <w:p w14:paraId="6E387AE8"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noWrap/>
            <w:vAlign w:val="bottom"/>
            <w:hideMark/>
          </w:tcPr>
          <w:p w14:paraId="07D00182" w14:textId="77777777" w:rsidR="0097090C" w:rsidRPr="00636CC2" w:rsidRDefault="0097090C" w:rsidP="0097090C">
            <w:pPr>
              <w:rPr>
                <w:rFonts w:cs="Arial"/>
                <w:sz w:val="18"/>
                <w:szCs w:val="18"/>
              </w:rPr>
            </w:pPr>
          </w:p>
        </w:tc>
      </w:tr>
      <w:tr w:rsidR="0097090C" w:rsidRPr="00636CC2" w14:paraId="6571DDF0" w14:textId="77777777" w:rsidTr="0097090C">
        <w:trPr>
          <w:trHeight w:val="240"/>
        </w:trPr>
        <w:tc>
          <w:tcPr>
            <w:tcW w:w="3300" w:type="dxa"/>
            <w:tcBorders>
              <w:top w:val="nil"/>
              <w:left w:val="nil"/>
              <w:bottom w:val="nil"/>
              <w:right w:val="nil"/>
            </w:tcBorders>
            <w:shd w:val="clear" w:color="auto" w:fill="auto"/>
            <w:noWrap/>
            <w:vAlign w:val="bottom"/>
            <w:hideMark/>
          </w:tcPr>
          <w:p w14:paraId="2E52CEB8" w14:textId="77777777" w:rsidR="0097090C" w:rsidRPr="00636CC2" w:rsidRDefault="0097090C" w:rsidP="0097090C">
            <w:pPr>
              <w:ind w:firstLineChars="100" w:firstLine="180"/>
              <w:rPr>
                <w:rFonts w:cs="Arial"/>
                <w:sz w:val="18"/>
                <w:szCs w:val="18"/>
              </w:rPr>
            </w:pPr>
            <w:r w:rsidRPr="00636CC2">
              <w:rPr>
                <w:rFonts w:cs="Arial"/>
                <w:sz w:val="18"/>
                <w:szCs w:val="18"/>
              </w:rPr>
              <w:t>Sale of goods and services</w:t>
            </w:r>
          </w:p>
        </w:tc>
        <w:tc>
          <w:tcPr>
            <w:tcW w:w="687" w:type="dxa"/>
            <w:tcBorders>
              <w:top w:val="nil"/>
              <w:left w:val="nil"/>
              <w:bottom w:val="nil"/>
              <w:right w:val="nil"/>
            </w:tcBorders>
            <w:shd w:val="clear" w:color="auto" w:fill="auto"/>
            <w:noWrap/>
            <w:vAlign w:val="bottom"/>
            <w:hideMark/>
          </w:tcPr>
          <w:p w14:paraId="39D13D24" w14:textId="77777777" w:rsidR="0097090C" w:rsidRPr="00636CC2" w:rsidRDefault="0097090C" w:rsidP="0097090C">
            <w:pPr>
              <w:jc w:val="center"/>
              <w:rPr>
                <w:rFonts w:cs="Arial"/>
                <w:sz w:val="18"/>
                <w:szCs w:val="18"/>
              </w:rPr>
            </w:pPr>
            <w:r w:rsidRPr="00636CC2">
              <w:rPr>
                <w:rFonts w:cs="Arial"/>
                <w:sz w:val="18"/>
                <w:szCs w:val="18"/>
              </w:rPr>
              <w:t>7</w:t>
            </w:r>
          </w:p>
        </w:tc>
        <w:tc>
          <w:tcPr>
            <w:tcW w:w="1600" w:type="dxa"/>
            <w:tcBorders>
              <w:top w:val="nil"/>
              <w:left w:val="nil"/>
              <w:bottom w:val="nil"/>
              <w:right w:val="nil"/>
            </w:tcBorders>
            <w:shd w:val="clear" w:color="000000" w:fill="D9D9D9"/>
            <w:noWrap/>
            <w:vAlign w:val="bottom"/>
            <w:hideMark/>
          </w:tcPr>
          <w:p w14:paraId="2B234ED1"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04937F5F" w14:textId="77777777" w:rsidR="0097090C" w:rsidRPr="00636CC2" w:rsidRDefault="0097090C" w:rsidP="0097090C">
            <w:pPr>
              <w:jc w:val="right"/>
              <w:rPr>
                <w:rFonts w:cs="Arial"/>
                <w:sz w:val="18"/>
                <w:szCs w:val="18"/>
              </w:rPr>
            </w:pPr>
            <w:r w:rsidRPr="00636CC2">
              <w:rPr>
                <w:rFonts w:cs="Arial"/>
                <w:sz w:val="18"/>
                <w:szCs w:val="18"/>
              </w:rPr>
              <w:t>654</w:t>
            </w:r>
          </w:p>
        </w:tc>
        <w:tc>
          <w:tcPr>
            <w:tcW w:w="1460" w:type="dxa"/>
            <w:tcBorders>
              <w:top w:val="nil"/>
              <w:left w:val="nil"/>
              <w:bottom w:val="nil"/>
              <w:right w:val="nil"/>
            </w:tcBorders>
            <w:shd w:val="clear" w:color="000000" w:fill="D9D9D9"/>
            <w:noWrap/>
            <w:vAlign w:val="bottom"/>
            <w:hideMark/>
          </w:tcPr>
          <w:p w14:paraId="298A1204"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nil"/>
              <w:left w:val="nil"/>
              <w:bottom w:val="nil"/>
              <w:right w:val="nil"/>
            </w:tcBorders>
            <w:shd w:val="clear" w:color="auto" w:fill="auto"/>
            <w:noWrap/>
            <w:vAlign w:val="bottom"/>
            <w:hideMark/>
          </w:tcPr>
          <w:p w14:paraId="30E1E744" w14:textId="77777777" w:rsidR="0097090C" w:rsidRPr="00636CC2" w:rsidRDefault="0097090C" w:rsidP="0097090C">
            <w:pPr>
              <w:jc w:val="right"/>
              <w:rPr>
                <w:rFonts w:cs="Arial"/>
                <w:sz w:val="18"/>
                <w:szCs w:val="18"/>
              </w:rPr>
            </w:pPr>
            <w:r w:rsidRPr="00636CC2">
              <w:rPr>
                <w:rFonts w:cs="Arial"/>
                <w:sz w:val="18"/>
                <w:szCs w:val="18"/>
              </w:rPr>
              <w:t>654</w:t>
            </w:r>
          </w:p>
        </w:tc>
      </w:tr>
      <w:tr w:rsidR="0097090C" w:rsidRPr="00636CC2" w14:paraId="03457009" w14:textId="77777777" w:rsidTr="0097090C">
        <w:trPr>
          <w:trHeight w:val="240"/>
        </w:trPr>
        <w:tc>
          <w:tcPr>
            <w:tcW w:w="3300" w:type="dxa"/>
            <w:tcBorders>
              <w:top w:val="nil"/>
              <w:left w:val="nil"/>
              <w:bottom w:val="nil"/>
              <w:right w:val="nil"/>
            </w:tcBorders>
            <w:shd w:val="clear" w:color="auto" w:fill="auto"/>
            <w:noWrap/>
            <w:vAlign w:val="bottom"/>
            <w:hideMark/>
          </w:tcPr>
          <w:p w14:paraId="5C5C2FE7" w14:textId="77777777" w:rsidR="0097090C" w:rsidRPr="00636CC2" w:rsidRDefault="0097090C" w:rsidP="0097090C">
            <w:pPr>
              <w:ind w:firstLineChars="100" w:firstLine="180"/>
              <w:rPr>
                <w:rFonts w:cs="Arial"/>
                <w:sz w:val="18"/>
                <w:szCs w:val="18"/>
              </w:rPr>
            </w:pPr>
            <w:r w:rsidRPr="00636CC2">
              <w:rPr>
                <w:rFonts w:cs="Arial"/>
                <w:sz w:val="18"/>
                <w:szCs w:val="18"/>
              </w:rPr>
              <w:t>Foreign exchange forward contract</w:t>
            </w:r>
          </w:p>
        </w:tc>
        <w:tc>
          <w:tcPr>
            <w:tcW w:w="687" w:type="dxa"/>
            <w:tcBorders>
              <w:top w:val="nil"/>
              <w:left w:val="nil"/>
              <w:bottom w:val="nil"/>
              <w:right w:val="nil"/>
            </w:tcBorders>
            <w:shd w:val="clear" w:color="auto" w:fill="auto"/>
            <w:noWrap/>
            <w:vAlign w:val="bottom"/>
            <w:hideMark/>
          </w:tcPr>
          <w:p w14:paraId="57A6AA73"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2FE5EF72"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231FB0F2"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nil"/>
              <w:left w:val="nil"/>
              <w:bottom w:val="nil"/>
              <w:right w:val="nil"/>
            </w:tcBorders>
            <w:shd w:val="clear" w:color="000000" w:fill="D9D9D9"/>
            <w:noWrap/>
            <w:vAlign w:val="bottom"/>
            <w:hideMark/>
          </w:tcPr>
          <w:p w14:paraId="11D4072A"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nil"/>
              <w:left w:val="nil"/>
              <w:bottom w:val="nil"/>
              <w:right w:val="nil"/>
            </w:tcBorders>
            <w:shd w:val="clear" w:color="auto" w:fill="auto"/>
            <w:noWrap/>
            <w:vAlign w:val="bottom"/>
            <w:hideMark/>
          </w:tcPr>
          <w:p w14:paraId="0E23822B"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4B32A082" w14:textId="77777777" w:rsidTr="0097090C">
        <w:trPr>
          <w:trHeight w:val="240"/>
        </w:trPr>
        <w:tc>
          <w:tcPr>
            <w:tcW w:w="3300" w:type="dxa"/>
            <w:tcBorders>
              <w:top w:val="single" w:sz="4" w:space="0" w:color="auto"/>
              <w:left w:val="nil"/>
              <w:bottom w:val="single" w:sz="4" w:space="0" w:color="auto"/>
              <w:right w:val="nil"/>
            </w:tcBorders>
            <w:shd w:val="clear" w:color="auto" w:fill="auto"/>
            <w:noWrap/>
            <w:vAlign w:val="bottom"/>
            <w:hideMark/>
          </w:tcPr>
          <w:p w14:paraId="19E7B687" w14:textId="77777777" w:rsidR="0097090C" w:rsidRPr="00636CC2" w:rsidRDefault="0097090C" w:rsidP="0097090C">
            <w:pPr>
              <w:rPr>
                <w:rFonts w:cs="Arial"/>
                <w:b/>
                <w:bCs/>
                <w:sz w:val="18"/>
                <w:szCs w:val="18"/>
              </w:rPr>
            </w:pPr>
            <w:r w:rsidRPr="00636CC2">
              <w:rPr>
                <w:rFonts w:cs="Arial"/>
                <w:b/>
                <w:bCs/>
                <w:sz w:val="18"/>
                <w:szCs w:val="18"/>
              </w:rPr>
              <w:t>Total contractual financial assets</w:t>
            </w:r>
          </w:p>
        </w:tc>
        <w:tc>
          <w:tcPr>
            <w:tcW w:w="687" w:type="dxa"/>
            <w:tcBorders>
              <w:top w:val="single" w:sz="4" w:space="0" w:color="auto"/>
              <w:left w:val="nil"/>
              <w:bottom w:val="single" w:sz="4" w:space="0" w:color="auto"/>
              <w:right w:val="nil"/>
            </w:tcBorders>
            <w:shd w:val="clear" w:color="auto" w:fill="auto"/>
            <w:noWrap/>
            <w:vAlign w:val="bottom"/>
            <w:hideMark/>
          </w:tcPr>
          <w:p w14:paraId="695227CB" w14:textId="77777777" w:rsidR="0097090C" w:rsidRPr="00636CC2" w:rsidRDefault="0097090C" w:rsidP="0097090C">
            <w:pPr>
              <w:jc w:val="center"/>
              <w:rPr>
                <w:rFonts w:cs="Arial"/>
                <w:b/>
                <w:bCs/>
                <w:sz w:val="18"/>
                <w:szCs w:val="18"/>
              </w:rPr>
            </w:pPr>
            <w:r w:rsidRPr="00636CC2">
              <w:rPr>
                <w:rFonts w:cs="Arial"/>
                <w:b/>
                <w:bCs/>
                <w:sz w:val="18"/>
                <w:szCs w:val="18"/>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0FCD83EB"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single" w:sz="4" w:space="0" w:color="auto"/>
              <w:left w:val="nil"/>
              <w:bottom w:val="single" w:sz="4" w:space="0" w:color="auto"/>
              <w:right w:val="nil"/>
            </w:tcBorders>
            <w:shd w:val="clear" w:color="auto" w:fill="auto"/>
            <w:noWrap/>
            <w:vAlign w:val="bottom"/>
            <w:hideMark/>
          </w:tcPr>
          <w:p w14:paraId="5A4A9ACC" w14:textId="77777777" w:rsidR="0097090C" w:rsidRPr="00636CC2" w:rsidRDefault="0097090C" w:rsidP="0097090C">
            <w:pPr>
              <w:jc w:val="right"/>
              <w:rPr>
                <w:rFonts w:cs="Arial"/>
                <w:sz w:val="18"/>
                <w:szCs w:val="18"/>
              </w:rPr>
            </w:pPr>
            <w:r w:rsidRPr="00636CC2">
              <w:rPr>
                <w:rFonts w:cs="Arial"/>
                <w:sz w:val="18"/>
                <w:szCs w:val="18"/>
              </w:rPr>
              <w:t>41,443</w:t>
            </w:r>
          </w:p>
        </w:tc>
        <w:tc>
          <w:tcPr>
            <w:tcW w:w="1460" w:type="dxa"/>
            <w:tcBorders>
              <w:top w:val="single" w:sz="4" w:space="0" w:color="auto"/>
              <w:left w:val="nil"/>
              <w:bottom w:val="single" w:sz="4" w:space="0" w:color="auto"/>
              <w:right w:val="nil"/>
            </w:tcBorders>
            <w:shd w:val="clear" w:color="000000" w:fill="D9D9D9"/>
            <w:noWrap/>
            <w:vAlign w:val="bottom"/>
            <w:hideMark/>
          </w:tcPr>
          <w:p w14:paraId="7B21686F"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single" w:sz="4" w:space="0" w:color="auto"/>
              <w:left w:val="nil"/>
              <w:bottom w:val="single" w:sz="4" w:space="0" w:color="auto"/>
              <w:right w:val="nil"/>
            </w:tcBorders>
            <w:shd w:val="clear" w:color="auto" w:fill="auto"/>
            <w:noWrap/>
            <w:vAlign w:val="bottom"/>
            <w:hideMark/>
          </w:tcPr>
          <w:p w14:paraId="4BB072D8" w14:textId="77777777" w:rsidR="0097090C" w:rsidRPr="00636CC2" w:rsidRDefault="0097090C" w:rsidP="0097090C">
            <w:pPr>
              <w:jc w:val="right"/>
              <w:rPr>
                <w:rFonts w:cs="Arial"/>
                <w:sz w:val="18"/>
                <w:szCs w:val="18"/>
              </w:rPr>
            </w:pPr>
            <w:r w:rsidRPr="00636CC2">
              <w:rPr>
                <w:rFonts w:cs="Arial"/>
                <w:sz w:val="18"/>
                <w:szCs w:val="18"/>
              </w:rPr>
              <w:t>41,443</w:t>
            </w:r>
          </w:p>
        </w:tc>
      </w:tr>
      <w:tr w:rsidR="0097090C" w:rsidRPr="00636CC2" w14:paraId="70D68019" w14:textId="77777777" w:rsidTr="0097090C">
        <w:trPr>
          <w:trHeight w:val="240"/>
        </w:trPr>
        <w:tc>
          <w:tcPr>
            <w:tcW w:w="3300" w:type="dxa"/>
            <w:tcBorders>
              <w:top w:val="nil"/>
              <w:left w:val="nil"/>
              <w:bottom w:val="nil"/>
              <w:right w:val="nil"/>
            </w:tcBorders>
            <w:shd w:val="clear" w:color="auto" w:fill="auto"/>
            <w:noWrap/>
            <w:vAlign w:val="bottom"/>
            <w:hideMark/>
          </w:tcPr>
          <w:p w14:paraId="70448579" w14:textId="77777777" w:rsidR="0097090C" w:rsidRPr="00636CC2" w:rsidRDefault="0097090C" w:rsidP="0097090C">
            <w:pPr>
              <w:rPr>
                <w:rFonts w:cs="Arial"/>
                <w:b/>
                <w:bCs/>
                <w:sz w:val="18"/>
                <w:szCs w:val="18"/>
              </w:rPr>
            </w:pPr>
            <w:r w:rsidRPr="00636CC2">
              <w:rPr>
                <w:rFonts w:cs="Arial"/>
                <w:b/>
                <w:bCs/>
                <w:sz w:val="18"/>
                <w:szCs w:val="18"/>
              </w:rPr>
              <w:t>Contractual financial liabilities</w:t>
            </w:r>
          </w:p>
        </w:tc>
        <w:tc>
          <w:tcPr>
            <w:tcW w:w="687" w:type="dxa"/>
            <w:tcBorders>
              <w:top w:val="nil"/>
              <w:left w:val="nil"/>
              <w:bottom w:val="nil"/>
              <w:right w:val="nil"/>
            </w:tcBorders>
            <w:shd w:val="clear" w:color="auto" w:fill="auto"/>
            <w:noWrap/>
            <w:vAlign w:val="bottom"/>
            <w:hideMark/>
          </w:tcPr>
          <w:p w14:paraId="0FC16287" w14:textId="77777777" w:rsidR="0097090C" w:rsidRPr="00636CC2" w:rsidRDefault="0097090C" w:rsidP="0097090C">
            <w:pPr>
              <w:jc w:val="center"/>
              <w:rPr>
                <w:rFonts w:cs="Arial"/>
                <w:b/>
                <w:bCs/>
                <w:sz w:val="18"/>
                <w:szCs w:val="18"/>
              </w:rPr>
            </w:pPr>
          </w:p>
        </w:tc>
        <w:tc>
          <w:tcPr>
            <w:tcW w:w="1600" w:type="dxa"/>
            <w:tcBorders>
              <w:top w:val="nil"/>
              <w:left w:val="nil"/>
              <w:bottom w:val="nil"/>
              <w:right w:val="nil"/>
            </w:tcBorders>
            <w:shd w:val="clear" w:color="000000" w:fill="D9D9D9"/>
            <w:noWrap/>
            <w:vAlign w:val="bottom"/>
            <w:hideMark/>
          </w:tcPr>
          <w:p w14:paraId="08ED9A5B" w14:textId="77777777" w:rsidR="0097090C" w:rsidRPr="00636CC2" w:rsidRDefault="0097090C" w:rsidP="0097090C">
            <w:pPr>
              <w:rPr>
                <w:rFonts w:cs="Arial"/>
                <w:b/>
                <w:bCs/>
                <w:sz w:val="18"/>
                <w:szCs w:val="18"/>
              </w:rPr>
            </w:pPr>
            <w:r w:rsidRPr="00636CC2">
              <w:rPr>
                <w:rFonts w:cs="Arial"/>
                <w:b/>
                <w:bCs/>
                <w:sz w:val="18"/>
                <w:szCs w:val="18"/>
              </w:rPr>
              <w:t> </w:t>
            </w:r>
          </w:p>
        </w:tc>
        <w:tc>
          <w:tcPr>
            <w:tcW w:w="1620" w:type="dxa"/>
            <w:tcBorders>
              <w:top w:val="nil"/>
              <w:left w:val="nil"/>
              <w:bottom w:val="nil"/>
              <w:right w:val="nil"/>
            </w:tcBorders>
            <w:shd w:val="clear" w:color="auto" w:fill="auto"/>
            <w:vAlign w:val="bottom"/>
            <w:hideMark/>
          </w:tcPr>
          <w:p w14:paraId="1E474936" w14:textId="77777777" w:rsidR="0097090C" w:rsidRPr="00636CC2" w:rsidRDefault="0097090C" w:rsidP="0097090C">
            <w:pPr>
              <w:rPr>
                <w:rFonts w:cs="Arial"/>
                <w:i/>
                <w:iCs/>
                <w:sz w:val="18"/>
                <w:szCs w:val="18"/>
              </w:rPr>
            </w:pPr>
          </w:p>
        </w:tc>
        <w:tc>
          <w:tcPr>
            <w:tcW w:w="1460" w:type="dxa"/>
            <w:tcBorders>
              <w:top w:val="nil"/>
              <w:left w:val="nil"/>
              <w:bottom w:val="nil"/>
              <w:right w:val="nil"/>
            </w:tcBorders>
            <w:shd w:val="clear" w:color="000000" w:fill="D9D9D9"/>
            <w:vAlign w:val="bottom"/>
            <w:hideMark/>
          </w:tcPr>
          <w:p w14:paraId="2FD06047" w14:textId="77777777" w:rsidR="0097090C" w:rsidRPr="00636CC2" w:rsidRDefault="0097090C" w:rsidP="0097090C">
            <w:pPr>
              <w:rPr>
                <w:rFonts w:cs="Arial"/>
                <w:i/>
                <w:iCs/>
                <w:sz w:val="18"/>
                <w:szCs w:val="18"/>
              </w:rPr>
            </w:pPr>
            <w:r w:rsidRPr="00636CC2">
              <w:rPr>
                <w:rFonts w:cs="Arial"/>
                <w:i/>
                <w:iCs/>
                <w:sz w:val="18"/>
                <w:szCs w:val="18"/>
              </w:rPr>
              <w:t> </w:t>
            </w:r>
          </w:p>
        </w:tc>
        <w:tc>
          <w:tcPr>
            <w:tcW w:w="1220" w:type="dxa"/>
            <w:tcBorders>
              <w:top w:val="nil"/>
              <w:left w:val="nil"/>
              <w:bottom w:val="nil"/>
              <w:right w:val="nil"/>
            </w:tcBorders>
            <w:shd w:val="clear" w:color="auto" w:fill="auto"/>
            <w:hideMark/>
          </w:tcPr>
          <w:p w14:paraId="680A5E74" w14:textId="77777777" w:rsidR="0097090C" w:rsidRPr="00636CC2" w:rsidRDefault="0097090C" w:rsidP="0097090C">
            <w:pPr>
              <w:rPr>
                <w:rFonts w:cs="Arial"/>
                <w:i/>
                <w:iCs/>
                <w:sz w:val="18"/>
                <w:szCs w:val="18"/>
              </w:rPr>
            </w:pPr>
          </w:p>
        </w:tc>
      </w:tr>
      <w:tr w:rsidR="0097090C" w:rsidRPr="00636CC2" w14:paraId="59810E73" w14:textId="77777777" w:rsidTr="0097090C">
        <w:trPr>
          <w:trHeight w:val="240"/>
        </w:trPr>
        <w:tc>
          <w:tcPr>
            <w:tcW w:w="3300" w:type="dxa"/>
            <w:tcBorders>
              <w:top w:val="nil"/>
              <w:left w:val="nil"/>
              <w:bottom w:val="nil"/>
              <w:right w:val="nil"/>
            </w:tcBorders>
            <w:shd w:val="clear" w:color="auto" w:fill="auto"/>
            <w:noWrap/>
            <w:vAlign w:val="bottom"/>
            <w:hideMark/>
          </w:tcPr>
          <w:p w14:paraId="6FFD37DD" w14:textId="77777777" w:rsidR="0097090C" w:rsidRPr="00636CC2" w:rsidRDefault="0097090C" w:rsidP="0097090C">
            <w:pPr>
              <w:rPr>
                <w:rFonts w:cs="Arial"/>
                <w:sz w:val="18"/>
                <w:szCs w:val="18"/>
              </w:rPr>
            </w:pPr>
            <w:r w:rsidRPr="00636CC2">
              <w:rPr>
                <w:rFonts w:cs="Arial"/>
                <w:sz w:val="18"/>
                <w:szCs w:val="18"/>
              </w:rPr>
              <w:t>Payables</w:t>
            </w:r>
            <w:r>
              <w:rPr>
                <w:rFonts w:cs="Arial"/>
                <w:sz w:val="18"/>
                <w:szCs w:val="18"/>
              </w:rPr>
              <w:t>**</w:t>
            </w:r>
          </w:p>
        </w:tc>
        <w:tc>
          <w:tcPr>
            <w:tcW w:w="687" w:type="dxa"/>
            <w:tcBorders>
              <w:top w:val="nil"/>
              <w:left w:val="nil"/>
              <w:bottom w:val="nil"/>
              <w:right w:val="nil"/>
            </w:tcBorders>
            <w:shd w:val="clear" w:color="auto" w:fill="auto"/>
            <w:noWrap/>
            <w:vAlign w:val="bottom"/>
            <w:hideMark/>
          </w:tcPr>
          <w:p w14:paraId="605511FE"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3AA02F17" w14:textId="77777777" w:rsidR="0097090C" w:rsidRPr="00636CC2" w:rsidRDefault="0097090C" w:rsidP="0097090C">
            <w:pPr>
              <w:rPr>
                <w:rFonts w:cs="Arial"/>
                <w:sz w:val="18"/>
                <w:szCs w:val="18"/>
              </w:rPr>
            </w:pPr>
            <w:r w:rsidRPr="00636CC2">
              <w:rPr>
                <w:rFonts w:cs="Arial"/>
                <w:sz w:val="18"/>
                <w:szCs w:val="18"/>
              </w:rPr>
              <w:t> </w:t>
            </w:r>
          </w:p>
        </w:tc>
        <w:tc>
          <w:tcPr>
            <w:tcW w:w="1620" w:type="dxa"/>
            <w:tcBorders>
              <w:top w:val="nil"/>
              <w:left w:val="nil"/>
              <w:bottom w:val="nil"/>
              <w:right w:val="nil"/>
            </w:tcBorders>
            <w:shd w:val="clear" w:color="auto" w:fill="auto"/>
            <w:noWrap/>
            <w:vAlign w:val="bottom"/>
            <w:hideMark/>
          </w:tcPr>
          <w:p w14:paraId="2E3B5BD3"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noWrap/>
            <w:vAlign w:val="bottom"/>
            <w:hideMark/>
          </w:tcPr>
          <w:p w14:paraId="363E78A8"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noWrap/>
            <w:vAlign w:val="bottom"/>
            <w:hideMark/>
          </w:tcPr>
          <w:p w14:paraId="15A7980E" w14:textId="77777777" w:rsidR="0097090C" w:rsidRPr="00636CC2" w:rsidRDefault="0097090C" w:rsidP="0097090C">
            <w:pPr>
              <w:rPr>
                <w:rFonts w:cs="Arial"/>
                <w:sz w:val="18"/>
                <w:szCs w:val="18"/>
              </w:rPr>
            </w:pPr>
          </w:p>
        </w:tc>
      </w:tr>
      <w:tr w:rsidR="0097090C" w:rsidRPr="00636CC2" w14:paraId="0E032725" w14:textId="77777777" w:rsidTr="0097090C">
        <w:trPr>
          <w:trHeight w:val="240"/>
        </w:trPr>
        <w:tc>
          <w:tcPr>
            <w:tcW w:w="3300" w:type="dxa"/>
            <w:tcBorders>
              <w:top w:val="nil"/>
              <w:left w:val="nil"/>
              <w:bottom w:val="nil"/>
              <w:right w:val="nil"/>
            </w:tcBorders>
            <w:shd w:val="clear" w:color="auto" w:fill="auto"/>
            <w:noWrap/>
            <w:vAlign w:val="bottom"/>
            <w:hideMark/>
          </w:tcPr>
          <w:p w14:paraId="471448EA" w14:textId="77777777" w:rsidR="0097090C" w:rsidRPr="00636CC2" w:rsidRDefault="0097090C" w:rsidP="0097090C">
            <w:pPr>
              <w:rPr>
                <w:rFonts w:cs="Arial"/>
                <w:sz w:val="18"/>
                <w:szCs w:val="18"/>
              </w:rPr>
            </w:pPr>
            <w:r w:rsidRPr="00636CC2">
              <w:rPr>
                <w:rFonts w:cs="Arial"/>
                <w:sz w:val="18"/>
                <w:szCs w:val="18"/>
              </w:rPr>
              <w:t xml:space="preserve">   Supplies and services</w:t>
            </w:r>
          </w:p>
        </w:tc>
        <w:tc>
          <w:tcPr>
            <w:tcW w:w="687" w:type="dxa"/>
            <w:tcBorders>
              <w:top w:val="nil"/>
              <w:left w:val="nil"/>
              <w:bottom w:val="nil"/>
              <w:right w:val="nil"/>
            </w:tcBorders>
            <w:shd w:val="clear" w:color="auto" w:fill="auto"/>
            <w:noWrap/>
            <w:vAlign w:val="bottom"/>
            <w:hideMark/>
          </w:tcPr>
          <w:p w14:paraId="703E0B80" w14:textId="77777777" w:rsidR="0097090C" w:rsidRPr="00636CC2" w:rsidRDefault="0097090C" w:rsidP="0097090C">
            <w:pPr>
              <w:jc w:val="center"/>
              <w:rPr>
                <w:rFonts w:cs="Arial"/>
                <w:sz w:val="18"/>
                <w:szCs w:val="18"/>
              </w:rPr>
            </w:pPr>
            <w:r w:rsidRPr="00636CC2">
              <w:rPr>
                <w:rFonts w:cs="Arial"/>
                <w:sz w:val="18"/>
                <w:szCs w:val="18"/>
              </w:rPr>
              <w:t>10</w:t>
            </w:r>
          </w:p>
        </w:tc>
        <w:tc>
          <w:tcPr>
            <w:tcW w:w="1600" w:type="dxa"/>
            <w:tcBorders>
              <w:top w:val="nil"/>
              <w:left w:val="nil"/>
              <w:bottom w:val="nil"/>
              <w:right w:val="nil"/>
            </w:tcBorders>
            <w:shd w:val="clear" w:color="000000" w:fill="D9D9D9"/>
            <w:noWrap/>
            <w:vAlign w:val="bottom"/>
            <w:hideMark/>
          </w:tcPr>
          <w:p w14:paraId="174C2D2E"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606E04F7"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nil"/>
              <w:left w:val="nil"/>
              <w:bottom w:val="nil"/>
              <w:right w:val="nil"/>
            </w:tcBorders>
            <w:shd w:val="clear" w:color="000000" w:fill="D9D9D9"/>
            <w:noWrap/>
            <w:vAlign w:val="bottom"/>
            <w:hideMark/>
          </w:tcPr>
          <w:p w14:paraId="77C16DF7" w14:textId="77777777" w:rsidR="0097090C" w:rsidRPr="00636CC2" w:rsidRDefault="0097090C" w:rsidP="0097090C">
            <w:pPr>
              <w:jc w:val="right"/>
              <w:rPr>
                <w:rFonts w:cs="Arial"/>
                <w:sz w:val="18"/>
                <w:szCs w:val="18"/>
              </w:rPr>
            </w:pPr>
            <w:r w:rsidRPr="00636CC2">
              <w:rPr>
                <w:rFonts w:cs="Arial"/>
                <w:sz w:val="18"/>
                <w:szCs w:val="18"/>
              </w:rPr>
              <w:t>13,859</w:t>
            </w:r>
          </w:p>
        </w:tc>
        <w:tc>
          <w:tcPr>
            <w:tcW w:w="1220" w:type="dxa"/>
            <w:tcBorders>
              <w:top w:val="nil"/>
              <w:left w:val="nil"/>
              <w:bottom w:val="nil"/>
              <w:right w:val="nil"/>
            </w:tcBorders>
            <w:shd w:val="clear" w:color="auto" w:fill="auto"/>
            <w:noWrap/>
            <w:vAlign w:val="bottom"/>
            <w:hideMark/>
          </w:tcPr>
          <w:p w14:paraId="52A48EB2" w14:textId="77777777" w:rsidR="0097090C" w:rsidRPr="00636CC2" w:rsidRDefault="0097090C" w:rsidP="0097090C">
            <w:pPr>
              <w:jc w:val="right"/>
              <w:rPr>
                <w:rFonts w:cs="Arial"/>
                <w:sz w:val="18"/>
                <w:szCs w:val="18"/>
              </w:rPr>
            </w:pPr>
            <w:r w:rsidRPr="00636CC2">
              <w:rPr>
                <w:rFonts w:cs="Arial"/>
                <w:sz w:val="18"/>
                <w:szCs w:val="18"/>
              </w:rPr>
              <w:t>13,859</w:t>
            </w:r>
          </w:p>
        </w:tc>
      </w:tr>
      <w:tr w:rsidR="0097090C" w:rsidRPr="00636CC2" w14:paraId="022F3E13" w14:textId="77777777" w:rsidTr="0097090C">
        <w:trPr>
          <w:trHeight w:val="240"/>
        </w:trPr>
        <w:tc>
          <w:tcPr>
            <w:tcW w:w="3300" w:type="dxa"/>
            <w:tcBorders>
              <w:top w:val="nil"/>
              <w:left w:val="nil"/>
              <w:bottom w:val="nil"/>
              <w:right w:val="nil"/>
            </w:tcBorders>
            <w:shd w:val="clear" w:color="auto" w:fill="auto"/>
            <w:noWrap/>
            <w:vAlign w:val="bottom"/>
            <w:hideMark/>
          </w:tcPr>
          <w:p w14:paraId="2A01802C" w14:textId="77777777" w:rsidR="0097090C" w:rsidRPr="00636CC2" w:rsidRDefault="0097090C" w:rsidP="0097090C">
            <w:pPr>
              <w:rPr>
                <w:rFonts w:cs="Arial"/>
                <w:sz w:val="18"/>
                <w:szCs w:val="18"/>
              </w:rPr>
            </w:pPr>
            <w:r w:rsidRPr="00636CC2">
              <w:rPr>
                <w:rFonts w:cs="Arial"/>
                <w:sz w:val="18"/>
                <w:szCs w:val="18"/>
              </w:rPr>
              <w:t>Borrowings</w:t>
            </w:r>
          </w:p>
        </w:tc>
        <w:tc>
          <w:tcPr>
            <w:tcW w:w="687" w:type="dxa"/>
            <w:tcBorders>
              <w:top w:val="nil"/>
              <w:left w:val="nil"/>
              <w:bottom w:val="nil"/>
              <w:right w:val="nil"/>
            </w:tcBorders>
            <w:shd w:val="clear" w:color="auto" w:fill="auto"/>
            <w:noWrap/>
            <w:vAlign w:val="bottom"/>
            <w:hideMark/>
          </w:tcPr>
          <w:p w14:paraId="169EE7A3"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69290EE9" w14:textId="77777777" w:rsidR="0097090C" w:rsidRPr="00636CC2" w:rsidRDefault="0097090C" w:rsidP="0097090C">
            <w:pPr>
              <w:rPr>
                <w:rFonts w:cs="Arial"/>
                <w:sz w:val="18"/>
                <w:szCs w:val="18"/>
              </w:rPr>
            </w:pPr>
            <w:r w:rsidRPr="00636CC2">
              <w:rPr>
                <w:rFonts w:cs="Arial"/>
                <w:sz w:val="18"/>
                <w:szCs w:val="18"/>
              </w:rPr>
              <w:t> </w:t>
            </w:r>
          </w:p>
        </w:tc>
        <w:tc>
          <w:tcPr>
            <w:tcW w:w="1620" w:type="dxa"/>
            <w:tcBorders>
              <w:top w:val="nil"/>
              <w:left w:val="nil"/>
              <w:bottom w:val="nil"/>
              <w:right w:val="nil"/>
            </w:tcBorders>
            <w:shd w:val="clear" w:color="auto" w:fill="auto"/>
            <w:noWrap/>
            <w:vAlign w:val="bottom"/>
            <w:hideMark/>
          </w:tcPr>
          <w:p w14:paraId="672DF169"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noWrap/>
            <w:vAlign w:val="bottom"/>
            <w:hideMark/>
          </w:tcPr>
          <w:p w14:paraId="68933125"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noWrap/>
            <w:vAlign w:val="bottom"/>
            <w:hideMark/>
          </w:tcPr>
          <w:p w14:paraId="71D136C6" w14:textId="77777777" w:rsidR="0097090C" w:rsidRPr="00636CC2" w:rsidRDefault="0097090C" w:rsidP="0097090C">
            <w:pPr>
              <w:rPr>
                <w:rFonts w:cs="Arial"/>
                <w:sz w:val="18"/>
                <w:szCs w:val="18"/>
              </w:rPr>
            </w:pPr>
          </w:p>
        </w:tc>
      </w:tr>
      <w:tr w:rsidR="0097090C" w:rsidRPr="00636CC2" w14:paraId="56E1C62A" w14:textId="77777777" w:rsidTr="0097090C">
        <w:trPr>
          <w:trHeight w:val="240"/>
        </w:trPr>
        <w:tc>
          <w:tcPr>
            <w:tcW w:w="3300" w:type="dxa"/>
            <w:tcBorders>
              <w:top w:val="nil"/>
              <w:left w:val="nil"/>
              <w:bottom w:val="nil"/>
              <w:right w:val="nil"/>
            </w:tcBorders>
            <w:shd w:val="clear" w:color="auto" w:fill="auto"/>
            <w:noWrap/>
            <w:vAlign w:val="bottom"/>
            <w:hideMark/>
          </w:tcPr>
          <w:p w14:paraId="696D00FE" w14:textId="77777777" w:rsidR="0097090C" w:rsidRPr="00636CC2" w:rsidRDefault="0097090C" w:rsidP="0097090C">
            <w:pPr>
              <w:rPr>
                <w:rFonts w:cs="Arial"/>
                <w:sz w:val="18"/>
                <w:szCs w:val="18"/>
              </w:rPr>
            </w:pPr>
            <w:r w:rsidRPr="00636CC2">
              <w:rPr>
                <w:rFonts w:cs="Arial"/>
                <w:sz w:val="18"/>
                <w:szCs w:val="18"/>
              </w:rPr>
              <w:t xml:space="preserve">   Lease liabilities</w:t>
            </w:r>
          </w:p>
        </w:tc>
        <w:tc>
          <w:tcPr>
            <w:tcW w:w="687" w:type="dxa"/>
            <w:tcBorders>
              <w:top w:val="nil"/>
              <w:left w:val="nil"/>
              <w:bottom w:val="nil"/>
              <w:right w:val="nil"/>
            </w:tcBorders>
            <w:shd w:val="clear" w:color="auto" w:fill="auto"/>
            <w:noWrap/>
            <w:vAlign w:val="bottom"/>
            <w:hideMark/>
          </w:tcPr>
          <w:p w14:paraId="15CC02EB" w14:textId="77777777" w:rsidR="0097090C" w:rsidRPr="00636CC2" w:rsidRDefault="0097090C" w:rsidP="0097090C">
            <w:pPr>
              <w:jc w:val="center"/>
              <w:rPr>
                <w:rFonts w:cs="Arial"/>
                <w:sz w:val="18"/>
                <w:szCs w:val="18"/>
              </w:rPr>
            </w:pPr>
            <w:r w:rsidRPr="00636CC2">
              <w:rPr>
                <w:rFonts w:cs="Arial"/>
                <w:sz w:val="18"/>
                <w:szCs w:val="18"/>
              </w:rPr>
              <w:t>11</w:t>
            </w:r>
          </w:p>
        </w:tc>
        <w:tc>
          <w:tcPr>
            <w:tcW w:w="1600" w:type="dxa"/>
            <w:tcBorders>
              <w:top w:val="nil"/>
              <w:left w:val="nil"/>
              <w:bottom w:val="nil"/>
              <w:right w:val="nil"/>
            </w:tcBorders>
            <w:shd w:val="clear" w:color="000000" w:fill="D9D9D9"/>
            <w:noWrap/>
            <w:vAlign w:val="bottom"/>
            <w:hideMark/>
          </w:tcPr>
          <w:p w14:paraId="4E98B867"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53E728C0"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nil"/>
              <w:left w:val="nil"/>
              <w:bottom w:val="nil"/>
              <w:right w:val="nil"/>
            </w:tcBorders>
            <w:shd w:val="clear" w:color="000000" w:fill="D9D9D9"/>
            <w:noWrap/>
            <w:vAlign w:val="bottom"/>
            <w:hideMark/>
          </w:tcPr>
          <w:p w14:paraId="661325B7" w14:textId="77777777" w:rsidR="0097090C" w:rsidRPr="00636CC2" w:rsidRDefault="0097090C" w:rsidP="0097090C">
            <w:pPr>
              <w:jc w:val="right"/>
              <w:rPr>
                <w:rFonts w:cs="Arial"/>
                <w:sz w:val="18"/>
                <w:szCs w:val="18"/>
              </w:rPr>
            </w:pPr>
            <w:r w:rsidRPr="00636CC2">
              <w:rPr>
                <w:rFonts w:cs="Arial"/>
                <w:sz w:val="18"/>
                <w:szCs w:val="18"/>
              </w:rPr>
              <w:t>457</w:t>
            </w:r>
          </w:p>
        </w:tc>
        <w:tc>
          <w:tcPr>
            <w:tcW w:w="1220" w:type="dxa"/>
            <w:tcBorders>
              <w:top w:val="nil"/>
              <w:left w:val="nil"/>
              <w:bottom w:val="nil"/>
              <w:right w:val="nil"/>
            </w:tcBorders>
            <w:shd w:val="clear" w:color="auto" w:fill="auto"/>
            <w:noWrap/>
            <w:vAlign w:val="bottom"/>
            <w:hideMark/>
          </w:tcPr>
          <w:p w14:paraId="079AC0C4" w14:textId="77777777" w:rsidR="0097090C" w:rsidRPr="00636CC2" w:rsidRDefault="0097090C" w:rsidP="0097090C">
            <w:pPr>
              <w:jc w:val="right"/>
              <w:rPr>
                <w:rFonts w:cs="Arial"/>
                <w:sz w:val="18"/>
                <w:szCs w:val="18"/>
              </w:rPr>
            </w:pPr>
            <w:r w:rsidRPr="00636CC2">
              <w:rPr>
                <w:rFonts w:cs="Arial"/>
                <w:sz w:val="18"/>
                <w:szCs w:val="18"/>
              </w:rPr>
              <w:t>457</w:t>
            </w:r>
          </w:p>
        </w:tc>
      </w:tr>
      <w:tr w:rsidR="0097090C" w:rsidRPr="00636CC2" w14:paraId="6B8CA9B9" w14:textId="77777777" w:rsidTr="0097090C">
        <w:trPr>
          <w:trHeight w:val="240"/>
        </w:trPr>
        <w:tc>
          <w:tcPr>
            <w:tcW w:w="3300" w:type="dxa"/>
            <w:tcBorders>
              <w:top w:val="single" w:sz="4" w:space="0" w:color="auto"/>
              <w:left w:val="nil"/>
              <w:bottom w:val="single" w:sz="4" w:space="0" w:color="auto"/>
              <w:right w:val="nil"/>
            </w:tcBorders>
            <w:shd w:val="clear" w:color="auto" w:fill="auto"/>
            <w:vAlign w:val="bottom"/>
            <w:hideMark/>
          </w:tcPr>
          <w:p w14:paraId="2E7C247B" w14:textId="77777777" w:rsidR="0097090C" w:rsidRPr="00636CC2" w:rsidRDefault="0097090C" w:rsidP="0097090C">
            <w:pPr>
              <w:rPr>
                <w:rFonts w:cs="Arial"/>
                <w:b/>
                <w:bCs/>
                <w:sz w:val="18"/>
                <w:szCs w:val="18"/>
              </w:rPr>
            </w:pPr>
            <w:r w:rsidRPr="00636CC2">
              <w:rPr>
                <w:rFonts w:cs="Arial"/>
                <w:b/>
                <w:bCs/>
                <w:sz w:val="18"/>
                <w:szCs w:val="18"/>
              </w:rPr>
              <w:t>Total contractual financial liabilities</w:t>
            </w:r>
          </w:p>
        </w:tc>
        <w:tc>
          <w:tcPr>
            <w:tcW w:w="687" w:type="dxa"/>
            <w:tcBorders>
              <w:top w:val="single" w:sz="4" w:space="0" w:color="auto"/>
              <w:left w:val="nil"/>
              <w:bottom w:val="single" w:sz="4" w:space="0" w:color="auto"/>
              <w:right w:val="nil"/>
            </w:tcBorders>
            <w:shd w:val="clear" w:color="auto" w:fill="auto"/>
            <w:vAlign w:val="bottom"/>
            <w:hideMark/>
          </w:tcPr>
          <w:p w14:paraId="6B9059BF" w14:textId="77777777" w:rsidR="0097090C" w:rsidRPr="00636CC2" w:rsidRDefault="0097090C" w:rsidP="0097090C">
            <w:pPr>
              <w:jc w:val="center"/>
              <w:rPr>
                <w:rFonts w:cs="Arial"/>
                <w:b/>
                <w:bCs/>
                <w:sz w:val="18"/>
                <w:szCs w:val="18"/>
              </w:rPr>
            </w:pPr>
            <w:r w:rsidRPr="00636CC2">
              <w:rPr>
                <w:rFonts w:cs="Arial"/>
                <w:b/>
                <w:bCs/>
                <w:sz w:val="18"/>
                <w:szCs w:val="18"/>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1BCFF724"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single" w:sz="4" w:space="0" w:color="auto"/>
              <w:left w:val="nil"/>
              <w:bottom w:val="single" w:sz="4" w:space="0" w:color="auto"/>
              <w:right w:val="nil"/>
            </w:tcBorders>
            <w:shd w:val="clear" w:color="auto" w:fill="auto"/>
            <w:noWrap/>
            <w:vAlign w:val="bottom"/>
            <w:hideMark/>
          </w:tcPr>
          <w:p w14:paraId="1448D235"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single" w:sz="4" w:space="0" w:color="auto"/>
              <w:left w:val="nil"/>
              <w:bottom w:val="single" w:sz="4" w:space="0" w:color="auto"/>
              <w:right w:val="nil"/>
            </w:tcBorders>
            <w:shd w:val="clear" w:color="000000" w:fill="D9D9D9"/>
            <w:noWrap/>
            <w:vAlign w:val="bottom"/>
            <w:hideMark/>
          </w:tcPr>
          <w:p w14:paraId="48B50296" w14:textId="77777777" w:rsidR="0097090C" w:rsidRPr="00636CC2" w:rsidRDefault="0097090C" w:rsidP="0097090C">
            <w:pPr>
              <w:jc w:val="right"/>
              <w:rPr>
                <w:rFonts w:cs="Arial"/>
                <w:sz w:val="18"/>
                <w:szCs w:val="18"/>
              </w:rPr>
            </w:pPr>
            <w:r w:rsidRPr="00636CC2">
              <w:rPr>
                <w:rFonts w:cs="Arial"/>
                <w:sz w:val="18"/>
                <w:szCs w:val="18"/>
              </w:rPr>
              <w:t>14,316</w:t>
            </w:r>
          </w:p>
        </w:tc>
        <w:tc>
          <w:tcPr>
            <w:tcW w:w="1220" w:type="dxa"/>
            <w:tcBorders>
              <w:top w:val="single" w:sz="4" w:space="0" w:color="auto"/>
              <w:left w:val="nil"/>
              <w:bottom w:val="single" w:sz="4" w:space="0" w:color="auto"/>
              <w:right w:val="nil"/>
            </w:tcBorders>
            <w:shd w:val="clear" w:color="auto" w:fill="auto"/>
            <w:noWrap/>
            <w:vAlign w:val="bottom"/>
            <w:hideMark/>
          </w:tcPr>
          <w:p w14:paraId="63310B55" w14:textId="77777777" w:rsidR="0097090C" w:rsidRPr="00636CC2" w:rsidRDefault="0097090C" w:rsidP="0097090C">
            <w:pPr>
              <w:jc w:val="right"/>
              <w:rPr>
                <w:rFonts w:cs="Arial"/>
                <w:sz w:val="18"/>
                <w:szCs w:val="18"/>
              </w:rPr>
            </w:pPr>
            <w:r w:rsidRPr="00636CC2">
              <w:rPr>
                <w:rFonts w:cs="Arial"/>
                <w:sz w:val="18"/>
                <w:szCs w:val="18"/>
              </w:rPr>
              <w:t>14,316</w:t>
            </w:r>
          </w:p>
        </w:tc>
      </w:tr>
      <w:tr w:rsidR="0097090C" w:rsidRPr="00636CC2" w14:paraId="746BDADF" w14:textId="77777777" w:rsidTr="0097090C">
        <w:trPr>
          <w:trHeight w:val="240"/>
        </w:trPr>
        <w:tc>
          <w:tcPr>
            <w:tcW w:w="3300" w:type="dxa"/>
            <w:tcBorders>
              <w:top w:val="nil"/>
              <w:left w:val="nil"/>
              <w:bottom w:val="nil"/>
              <w:right w:val="nil"/>
            </w:tcBorders>
            <w:shd w:val="clear" w:color="auto" w:fill="auto"/>
            <w:noWrap/>
            <w:vAlign w:val="bottom"/>
            <w:hideMark/>
          </w:tcPr>
          <w:p w14:paraId="0E5802FD" w14:textId="77777777" w:rsidR="0097090C" w:rsidRPr="00636CC2" w:rsidRDefault="0097090C" w:rsidP="0097090C">
            <w:pPr>
              <w:rPr>
                <w:rFonts w:cs="Arial"/>
                <w:sz w:val="18"/>
                <w:szCs w:val="18"/>
              </w:rPr>
            </w:pPr>
          </w:p>
        </w:tc>
        <w:tc>
          <w:tcPr>
            <w:tcW w:w="687" w:type="dxa"/>
            <w:tcBorders>
              <w:top w:val="nil"/>
              <w:left w:val="nil"/>
              <w:bottom w:val="nil"/>
              <w:right w:val="nil"/>
            </w:tcBorders>
            <w:shd w:val="clear" w:color="auto" w:fill="auto"/>
            <w:noWrap/>
            <w:vAlign w:val="bottom"/>
            <w:hideMark/>
          </w:tcPr>
          <w:p w14:paraId="61776339"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auto" w:fill="auto"/>
            <w:noWrap/>
            <w:vAlign w:val="bottom"/>
            <w:hideMark/>
          </w:tcPr>
          <w:p w14:paraId="3C266E34" w14:textId="77777777" w:rsidR="0097090C" w:rsidRPr="00636CC2" w:rsidRDefault="0097090C" w:rsidP="0097090C">
            <w:pPr>
              <w:rPr>
                <w:rFonts w:cs="Arial"/>
                <w:sz w:val="18"/>
                <w:szCs w:val="18"/>
              </w:rPr>
            </w:pPr>
          </w:p>
        </w:tc>
        <w:tc>
          <w:tcPr>
            <w:tcW w:w="1620" w:type="dxa"/>
            <w:tcBorders>
              <w:top w:val="nil"/>
              <w:left w:val="nil"/>
              <w:bottom w:val="nil"/>
              <w:right w:val="nil"/>
            </w:tcBorders>
            <w:shd w:val="clear" w:color="auto" w:fill="auto"/>
            <w:noWrap/>
            <w:vAlign w:val="bottom"/>
            <w:hideMark/>
          </w:tcPr>
          <w:p w14:paraId="295E9B55"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auto" w:fill="auto"/>
            <w:noWrap/>
            <w:vAlign w:val="bottom"/>
            <w:hideMark/>
          </w:tcPr>
          <w:p w14:paraId="2D79C893" w14:textId="77777777" w:rsidR="0097090C" w:rsidRPr="00636CC2" w:rsidRDefault="0097090C" w:rsidP="0097090C">
            <w:pPr>
              <w:rPr>
                <w:rFonts w:cs="Arial"/>
                <w:sz w:val="18"/>
                <w:szCs w:val="18"/>
              </w:rPr>
            </w:pPr>
          </w:p>
        </w:tc>
        <w:tc>
          <w:tcPr>
            <w:tcW w:w="1220" w:type="dxa"/>
            <w:tcBorders>
              <w:top w:val="nil"/>
              <w:left w:val="nil"/>
              <w:bottom w:val="nil"/>
              <w:right w:val="nil"/>
            </w:tcBorders>
            <w:shd w:val="clear" w:color="auto" w:fill="auto"/>
            <w:noWrap/>
            <w:vAlign w:val="bottom"/>
            <w:hideMark/>
          </w:tcPr>
          <w:p w14:paraId="341067D3" w14:textId="77777777" w:rsidR="0097090C" w:rsidRPr="00636CC2" w:rsidRDefault="0097090C" w:rsidP="0097090C">
            <w:pPr>
              <w:rPr>
                <w:rFonts w:cs="Arial"/>
                <w:sz w:val="18"/>
                <w:szCs w:val="18"/>
              </w:rPr>
            </w:pPr>
          </w:p>
        </w:tc>
      </w:tr>
      <w:tr w:rsidR="0097090C" w:rsidRPr="00636CC2" w14:paraId="2F594D91" w14:textId="77777777" w:rsidTr="0097090C">
        <w:trPr>
          <w:trHeight w:val="1050"/>
        </w:trPr>
        <w:tc>
          <w:tcPr>
            <w:tcW w:w="3300" w:type="dxa"/>
            <w:tcBorders>
              <w:top w:val="single" w:sz="4" w:space="0" w:color="auto"/>
              <w:left w:val="nil"/>
              <w:bottom w:val="single" w:sz="4" w:space="0" w:color="auto"/>
              <w:right w:val="nil"/>
            </w:tcBorders>
            <w:shd w:val="clear" w:color="auto" w:fill="auto"/>
            <w:noWrap/>
            <w:vAlign w:val="bottom"/>
            <w:hideMark/>
          </w:tcPr>
          <w:p w14:paraId="68B89951" w14:textId="77777777" w:rsidR="0097090C" w:rsidRPr="00636CC2" w:rsidRDefault="0097090C" w:rsidP="0097090C">
            <w:pPr>
              <w:rPr>
                <w:rFonts w:cs="Arial"/>
                <w:b/>
                <w:bCs/>
                <w:sz w:val="18"/>
                <w:szCs w:val="18"/>
              </w:rPr>
            </w:pPr>
            <w:r w:rsidRPr="00636CC2">
              <w:rPr>
                <w:rFonts w:cs="Arial"/>
                <w:b/>
                <w:bCs/>
                <w:sz w:val="18"/>
                <w:szCs w:val="18"/>
              </w:rPr>
              <w:t>2015</w:t>
            </w:r>
          </w:p>
        </w:tc>
        <w:tc>
          <w:tcPr>
            <w:tcW w:w="687" w:type="dxa"/>
            <w:tcBorders>
              <w:top w:val="single" w:sz="4" w:space="0" w:color="auto"/>
              <w:left w:val="nil"/>
              <w:bottom w:val="single" w:sz="4" w:space="0" w:color="auto"/>
              <w:right w:val="nil"/>
            </w:tcBorders>
            <w:shd w:val="clear" w:color="auto" w:fill="auto"/>
            <w:noWrap/>
            <w:vAlign w:val="bottom"/>
            <w:hideMark/>
          </w:tcPr>
          <w:p w14:paraId="0CDE9F75" w14:textId="77777777" w:rsidR="0097090C" w:rsidRPr="00636CC2" w:rsidRDefault="0097090C" w:rsidP="0097090C">
            <w:pPr>
              <w:jc w:val="center"/>
              <w:rPr>
                <w:rFonts w:cs="Arial"/>
                <w:sz w:val="18"/>
                <w:szCs w:val="18"/>
              </w:rPr>
            </w:pPr>
            <w:r w:rsidRPr="00636CC2">
              <w:rPr>
                <w:rFonts w:cs="Arial"/>
                <w:sz w:val="18"/>
                <w:szCs w:val="18"/>
              </w:rPr>
              <w:t>Notes</w:t>
            </w:r>
          </w:p>
        </w:tc>
        <w:tc>
          <w:tcPr>
            <w:tcW w:w="1600" w:type="dxa"/>
            <w:tcBorders>
              <w:top w:val="single" w:sz="4" w:space="0" w:color="auto"/>
              <w:left w:val="nil"/>
              <w:bottom w:val="single" w:sz="4" w:space="0" w:color="auto"/>
              <w:right w:val="nil"/>
            </w:tcBorders>
            <w:shd w:val="clear" w:color="000000" w:fill="D9D9D9"/>
            <w:hideMark/>
          </w:tcPr>
          <w:p w14:paraId="5397F59D" w14:textId="77777777" w:rsidR="0097090C" w:rsidRPr="00636CC2" w:rsidRDefault="0097090C" w:rsidP="0097090C">
            <w:pPr>
              <w:rPr>
                <w:rFonts w:cs="Arial"/>
                <w:sz w:val="18"/>
                <w:szCs w:val="18"/>
              </w:rPr>
            </w:pPr>
            <w:r w:rsidRPr="00636CC2">
              <w:rPr>
                <w:rFonts w:cs="Arial"/>
                <w:sz w:val="18"/>
                <w:szCs w:val="18"/>
              </w:rPr>
              <w:t>Contractual financial assets-designated at fair value through profit/loss</w:t>
            </w:r>
          </w:p>
        </w:tc>
        <w:tc>
          <w:tcPr>
            <w:tcW w:w="1620" w:type="dxa"/>
            <w:tcBorders>
              <w:top w:val="single" w:sz="4" w:space="0" w:color="auto"/>
              <w:left w:val="nil"/>
              <w:bottom w:val="single" w:sz="4" w:space="0" w:color="auto"/>
              <w:right w:val="nil"/>
            </w:tcBorders>
            <w:shd w:val="clear" w:color="auto" w:fill="auto"/>
            <w:hideMark/>
          </w:tcPr>
          <w:p w14:paraId="07B66506" w14:textId="77777777" w:rsidR="0097090C" w:rsidRPr="00636CC2" w:rsidRDefault="0097090C" w:rsidP="0097090C">
            <w:pPr>
              <w:rPr>
                <w:rFonts w:cs="Arial"/>
                <w:sz w:val="18"/>
                <w:szCs w:val="18"/>
              </w:rPr>
            </w:pPr>
            <w:r w:rsidRPr="00636CC2">
              <w:rPr>
                <w:rFonts w:cs="Arial"/>
                <w:sz w:val="18"/>
                <w:szCs w:val="18"/>
              </w:rPr>
              <w:t>Contractual financial assets-loans and receivables</w:t>
            </w:r>
          </w:p>
        </w:tc>
        <w:tc>
          <w:tcPr>
            <w:tcW w:w="1460" w:type="dxa"/>
            <w:tcBorders>
              <w:top w:val="single" w:sz="4" w:space="0" w:color="auto"/>
              <w:left w:val="nil"/>
              <w:bottom w:val="single" w:sz="4" w:space="0" w:color="auto"/>
              <w:right w:val="nil"/>
            </w:tcBorders>
            <w:shd w:val="clear" w:color="000000" w:fill="D9D9D9"/>
            <w:hideMark/>
          </w:tcPr>
          <w:p w14:paraId="7B4E5A9D" w14:textId="77777777" w:rsidR="0097090C" w:rsidRPr="00636CC2" w:rsidRDefault="0097090C" w:rsidP="0097090C">
            <w:pPr>
              <w:rPr>
                <w:rFonts w:cs="Arial"/>
                <w:sz w:val="18"/>
                <w:szCs w:val="18"/>
              </w:rPr>
            </w:pPr>
            <w:r w:rsidRPr="00636CC2">
              <w:rPr>
                <w:rFonts w:cs="Arial"/>
                <w:sz w:val="18"/>
                <w:szCs w:val="18"/>
              </w:rPr>
              <w:t>Contractual financial liabilities at amortised cost</w:t>
            </w:r>
          </w:p>
        </w:tc>
        <w:tc>
          <w:tcPr>
            <w:tcW w:w="1220" w:type="dxa"/>
            <w:tcBorders>
              <w:top w:val="single" w:sz="4" w:space="0" w:color="auto"/>
              <w:left w:val="nil"/>
              <w:bottom w:val="single" w:sz="4" w:space="0" w:color="auto"/>
              <w:right w:val="nil"/>
            </w:tcBorders>
            <w:shd w:val="clear" w:color="auto" w:fill="auto"/>
            <w:hideMark/>
          </w:tcPr>
          <w:p w14:paraId="07F72529" w14:textId="77777777" w:rsidR="0097090C" w:rsidRPr="00636CC2" w:rsidRDefault="0097090C" w:rsidP="0097090C">
            <w:pPr>
              <w:jc w:val="right"/>
              <w:rPr>
                <w:rFonts w:cs="Arial"/>
                <w:sz w:val="18"/>
                <w:szCs w:val="18"/>
              </w:rPr>
            </w:pPr>
            <w:r w:rsidRPr="00636CC2">
              <w:rPr>
                <w:rFonts w:cs="Arial"/>
                <w:sz w:val="18"/>
                <w:szCs w:val="18"/>
              </w:rPr>
              <w:t>Total</w:t>
            </w:r>
          </w:p>
        </w:tc>
      </w:tr>
      <w:tr w:rsidR="0097090C" w:rsidRPr="00636CC2" w14:paraId="1BDB16A3" w14:textId="77777777" w:rsidTr="0097090C">
        <w:trPr>
          <w:trHeight w:val="240"/>
        </w:trPr>
        <w:tc>
          <w:tcPr>
            <w:tcW w:w="3300" w:type="dxa"/>
            <w:tcBorders>
              <w:top w:val="nil"/>
              <w:left w:val="nil"/>
              <w:bottom w:val="nil"/>
              <w:right w:val="nil"/>
            </w:tcBorders>
            <w:shd w:val="clear" w:color="auto" w:fill="auto"/>
            <w:noWrap/>
            <w:vAlign w:val="bottom"/>
            <w:hideMark/>
          </w:tcPr>
          <w:p w14:paraId="10018BF2" w14:textId="77777777" w:rsidR="0097090C" w:rsidRPr="00636CC2" w:rsidRDefault="0097090C" w:rsidP="0097090C">
            <w:pPr>
              <w:rPr>
                <w:rFonts w:cs="Arial"/>
                <w:b/>
                <w:bCs/>
                <w:sz w:val="18"/>
                <w:szCs w:val="18"/>
              </w:rPr>
            </w:pPr>
            <w:r w:rsidRPr="00636CC2">
              <w:rPr>
                <w:rFonts w:cs="Arial"/>
                <w:b/>
                <w:bCs/>
                <w:sz w:val="18"/>
                <w:szCs w:val="18"/>
              </w:rPr>
              <w:t>Contractual financial assets</w:t>
            </w:r>
          </w:p>
        </w:tc>
        <w:tc>
          <w:tcPr>
            <w:tcW w:w="687" w:type="dxa"/>
            <w:tcBorders>
              <w:top w:val="nil"/>
              <w:left w:val="nil"/>
              <w:bottom w:val="nil"/>
              <w:right w:val="nil"/>
            </w:tcBorders>
            <w:shd w:val="clear" w:color="auto" w:fill="auto"/>
            <w:noWrap/>
            <w:vAlign w:val="bottom"/>
            <w:hideMark/>
          </w:tcPr>
          <w:p w14:paraId="26627558" w14:textId="77777777" w:rsidR="0097090C" w:rsidRPr="00636CC2" w:rsidRDefault="0097090C" w:rsidP="0097090C">
            <w:pPr>
              <w:rPr>
                <w:rFonts w:cs="Arial"/>
                <w:b/>
                <w:bCs/>
                <w:sz w:val="18"/>
                <w:szCs w:val="18"/>
              </w:rPr>
            </w:pPr>
          </w:p>
        </w:tc>
        <w:tc>
          <w:tcPr>
            <w:tcW w:w="1600" w:type="dxa"/>
            <w:tcBorders>
              <w:top w:val="nil"/>
              <w:left w:val="nil"/>
              <w:bottom w:val="nil"/>
              <w:right w:val="nil"/>
            </w:tcBorders>
            <w:shd w:val="clear" w:color="000000" w:fill="D9D9D9"/>
            <w:noWrap/>
            <w:vAlign w:val="bottom"/>
            <w:hideMark/>
          </w:tcPr>
          <w:p w14:paraId="2A3C6DD0" w14:textId="77777777" w:rsidR="0097090C" w:rsidRPr="00636CC2" w:rsidRDefault="0097090C" w:rsidP="0097090C">
            <w:pPr>
              <w:jc w:val="right"/>
              <w:rPr>
                <w:rFonts w:cs="Arial"/>
                <w:b/>
                <w:bCs/>
                <w:sz w:val="18"/>
                <w:szCs w:val="18"/>
              </w:rPr>
            </w:pPr>
            <w:r w:rsidRPr="00636CC2">
              <w:rPr>
                <w:rFonts w:cs="Arial"/>
                <w:b/>
                <w:bCs/>
                <w:sz w:val="18"/>
                <w:szCs w:val="18"/>
              </w:rPr>
              <w:t> </w:t>
            </w:r>
          </w:p>
        </w:tc>
        <w:tc>
          <w:tcPr>
            <w:tcW w:w="1620" w:type="dxa"/>
            <w:tcBorders>
              <w:top w:val="nil"/>
              <w:left w:val="nil"/>
              <w:bottom w:val="nil"/>
              <w:right w:val="nil"/>
            </w:tcBorders>
            <w:shd w:val="clear" w:color="auto" w:fill="auto"/>
            <w:vAlign w:val="bottom"/>
            <w:hideMark/>
          </w:tcPr>
          <w:p w14:paraId="6B4D8AEB"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vAlign w:val="bottom"/>
            <w:hideMark/>
          </w:tcPr>
          <w:p w14:paraId="18D748B8"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hideMark/>
          </w:tcPr>
          <w:p w14:paraId="160D6B53" w14:textId="77777777" w:rsidR="0097090C" w:rsidRPr="00636CC2" w:rsidRDefault="0097090C" w:rsidP="0097090C">
            <w:pPr>
              <w:rPr>
                <w:rFonts w:cs="Arial"/>
                <w:sz w:val="18"/>
                <w:szCs w:val="18"/>
              </w:rPr>
            </w:pPr>
          </w:p>
        </w:tc>
      </w:tr>
      <w:tr w:rsidR="0097090C" w:rsidRPr="00636CC2" w14:paraId="1B906E16" w14:textId="77777777" w:rsidTr="0097090C">
        <w:trPr>
          <w:trHeight w:val="240"/>
        </w:trPr>
        <w:tc>
          <w:tcPr>
            <w:tcW w:w="3300" w:type="dxa"/>
            <w:tcBorders>
              <w:top w:val="nil"/>
              <w:left w:val="nil"/>
              <w:bottom w:val="nil"/>
              <w:right w:val="nil"/>
            </w:tcBorders>
            <w:shd w:val="clear" w:color="auto" w:fill="auto"/>
            <w:noWrap/>
            <w:vAlign w:val="bottom"/>
            <w:hideMark/>
          </w:tcPr>
          <w:p w14:paraId="3F0029A1" w14:textId="77777777" w:rsidR="0097090C" w:rsidRPr="00636CC2" w:rsidRDefault="0097090C" w:rsidP="0097090C">
            <w:pPr>
              <w:rPr>
                <w:rFonts w:cs="Arial"/>
                <w:sz w:val="18"/>
                <w:szCs w:val="18"/>
              </w:rPr>
            </w:pPr>
            <w:r w:rsidRPr="00636CC2">
              <w:rPr>
                <w:rFonts w:cs="Arial"/>
                <w:sz w:val="18"/>
                <w:szCs w:val="18"/>
              </w:rPr>
              <w:t xml:space="preserve">   Cash and deposits</w:t>
            </w:r>
          </w:p>
        </w:tc>
        <w:tc>
          <w:tcPr>
            <w:tcW w:w="687" w:type="dxa"/>
            <w:tcBorders>
              <w:top w:val="nil"/>
              <w:left w:val="nil"/>
              <w:bottom w:val="nil"/>
              <w:right w:val="nil"/>
            </w:tcBorders>
            <w:shd w:val="clear" w:color="auto" w:fill="auto"/>
            <w:noWrap/>
            <w:vAlign w:val="bottom"/>
            <w:hideMark/>
          </w:tcPr>
          <w:p w14:paraId="0449EB18" w14:textId="77777777" w:rsidR="0097090C" w:rsidRPr="00636CC2" w:rsidRDefault="0097090C" w:rsidP="0097090C">
            <w:pPr>
              <w:jc w:val="center"/>
              <w:rPr>
                <w:rFonts w:cs="Arial"/>
                <w:sz w:val="18"/>
                <w:szCs w:val="18"/>
              </w:rPr>
            </w:pPr>
            <w:r w:rsidRPr="00636CC2">
              <w:rPr>
                <w:rFonts w:cs="Arial"/>
                <w:sz w:val="18"/>
                <w:szCs w:val="18"/>
              </w:rPr>
              <w:t>6</w:t>
            </w:r>
          </w:p>
        </w:tc>
        <w:tc>
          <w:tcPr>
            <w:tcW w:w="1600" w:type="dxa"/>
            <w:tcBorders>
              <w:top w:val="nil"/>
              <w:left w:val="nil"/>
              <w:bottom w:val="nil"/>
              <w:right w:val="nil"/>
            </w:tcBorders>
            <w:shd w:val="clear" w:color="000000" w:fill="D9D9D9"/>
            <w:noWrap/>
            <w:vAlign w:val="bottom"/>
            <w:hideMark/>
          </w:tcPr>
          <w:p w14:paraId="22CCB6E3"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2290DAAA" w14:textId="77777777" w:rsidR="0097090C" w:rsidRPr="00636CC2" w:rsidRDefault="0097090C" w:rsidP="0097090C">
            <w:pPr>
              <w:jc w:val="right"/>
              <w:rPr>
                <w:rFonts w:cs="Arial"/>
                <w:sz w:val="18"/>
                <w:szCs w:val="18"/>
              </w:rPr>
            </w:pPr>
            <w:r w:rsidRPr="00636CC2">
              <w:rPr>
                <w:rFonts w:cs="Arial"/>
                <w:sz w:val="18"/>
                <w:szCs w:val="18"/>
              </w:rPr>
              <w:t>30,236</w:t>
            </w:r>
          </w:p>
        </w:tc>
        <w:tc>
          <w:tcPr>
            <w:tcW w:w="1460" w:type="dxa"/>
            <w:tcBorders>
              <w:top w:val="nil"/>
              <w:left w:val="nil"/>
              <w:bottom w:val="nil"/>
              <w:right w:val="nil"/>
            </w:tcBorders>
            <w:shd w:val="clear" w:color="000000" w:fill="D9D9D9"/>
            <w:noWrap/>
            <w:vAlign w:val="bottom"/>
            <w:hideMark/>
          </w:tcPr>
          <w:p w14:paraId="2A216814"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nil"/>
              <w:left w:val="nil"/>
              <w:bottom w:val="nil"/>
              <w:right w:val="nil"/>
            </w:tcBorders>
            <w:shd w:val="clear" w:color="auto" w:fill="auto"/>
            <w:noWrap/>
            <w:vAlign w:val="bottom"/>
            <w:hideMark/>
          </w:tcPr>
          <w:p w14:paraId="5EA28335" w14:textId="77777777" w:rsidR="0097090C" w:rsidRPr="00636CC2" w:rsidRDefault="0097090C" w:rsidP="0097090C">
            <w:pPr>
              <w:jc w:val="right"/>
              <w:rPr>
                <w:rFonts w:cs="Arial"/>
                <w:sz w:val="18"/>
                <w:szCs w:val="18"/>
              </w:rPr>
            </w:pPr>
            <w:r w:rsidRPr="00636CC2">
              <w:rPr>
                <w:rFonts w:cs="Arial"/>
                <w:sz w:val="18"/>
                <w:szCs w:val="18"/>
              </w:rPr>
              <w:t>30,236</w:t>
            </w:r>
          </w:p>
        </w:tc>
      </w:tr>
      <w:tr w:rsidR="0097090C" w:rsidRPr="00636CC2" w14:paraId="78DF74E2" w14:textId="77777777" w:rsidTr="0097090C">
        <w:trPr>
          <w:trHeight w:val="240"/>
        </w:trPr>
        <w:tc>
          <w:tcPr>
            <w:tcW w:w="3300" w:type="dxa"/>
            <w:tcBorders>
              <w:top w:val="nil"/>
              <w:left w:val="nil"/>
              <w:bottom w:val="nil"/>
              <w:right w:val="nil"/>
            </w:tcBorders>
            <w:shd w:val="clear" w:color="auto" w:fill="auto"/>
            <w:noWrap/>
            <w:vAlign w:val="bottom"/>
            <w:hideMark/>
          </w:tcPr>
          <w:p w14:paraId="0EDBEFB4" w14:textId="77777777" w:rsidR="0097090C" w:rsidRPr="00636CC2" w:rsidRDefault="0097090C" w:rsidP="0097090C">
            <w:pPr>
              <w:rPr>
                <w:rFonts w:cs="Arial"/>
                <w:sz w:val="18"/>
                <w:szCs w:val="18"/>
              </w:rPr>
            </w:pPr>
            <w:r w:rsidRPr="00636CC2">
              <w:rPr>
                <w:rFonts w:cs="Arial"/>
                <w:sz w:val="18"/>
                <w:szCs w:val="18"/>
              </w:rPr>
              <w:t xml:space="preserve">Receivables: </w:t>
            </w:r>
          </w:p>
        </w:tc>
        <w:tc>
          <w:tcPr>
            <w:tcW w:w="687" w:type="dxa"/>
            <w:tcBorders>
              <w:top w:val="nil"/>
              <w:left w:val="nil"/>
              <w:bottom w:val="nil"/>
              <w:right w:val="nil"/>
            </w:tcBorders>
            <w:shd w:val="clear" w:color="auto" w:fill="auto"/>
            <w:noWrap/>
            <w:vAlign w:val="bottom"/>
            <w:hideMark/>
          </w:tcPr>
          <w:p w14:paraId="2687783A"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361C0683" w14:textId="77777777" w:rsidR="0097090C" w:rsidRPr="00636CC2" w:rsidRDefault="0097090C" w:rsidP="0097090C">
            <w:pPr>
              <w:jc w:val="right"/>
              <w:rPr>
                <w:rFonts w:cs="Arial"/>
                <w:sz w:val="18"/>
                <w:szCs w:val="18"/>
              </w:rPr>
            </w:pPr>
            <w:r w:rsidRPr="00636CC2">
              <w:rPr>
                <w:rFonts w:cs="Arial"/>
                <w:sz w:val="18"/>
                <w:szCs w:val="18"/>
              </w:rPr>
              <w:t> </w:t>
            </w:r>
          </w:p>
        </w:tc>
        <w:tc>
          <w:tcPr>
            <w:tcW w:w="1620" w:type="dxa"/>
            <w:tcBorders>
              <w:top w:val="nil"/>
              <w:left w:val="nil"/>
              <w:bottom w:val="nil"/>
              <w:right w:val="nil"/>
            </w:tcBorders>
            <w:shd w:val="clear" w:color="auto" w:fill="auto"/>
            <w:noWrap/>
            <w:vAlign w:val="bottom"/>
            <w:hideMark/>
          </w:tcPr>
          <w:p w14:paraId="6C32A754"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noWrap/>
            <w:vAlign w:val="bottom"/>
            <w:hideMark/>
          </w:tcPr>
          <w:p w14:paraId="6E4A3640"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noWrap/>
            <w:vAlign w:val="bottom"/>
            <w:hideMark/>
          </w:tcPr>
          <w:p w14:paraId="30103574" w14:textId="77777777" w:rsidR="0097090C" w:rsidRPr="00636CC2" w:rsidRDefault="0097090C" w:rsidP="0097090C">
            <w:pPr>
              <w:rPr>
                <w:rFonts w:cs="Arial"/>
                <w:sz w:val="18"/>
                <w:szCs w:val="18"/>
              </w:rPr>
            </w:pPr>
          </w:p>
        </w:tc>
      </w:tr>
      <w:tr w:rsidR="0097090C" w:rsidRPr="00636CC2" w14:paraId="5286751D" w14:textId="77777777" w:rsidTr="0097090C">
        <w:trPr>
          <w:trHeight w:val="240"/>
        </w:trPr>
        <w:tc>
          <w:tcPr>
            <w:tcW w:w="3300" w:type="dxa"/>
            <w:tcBorders>
              <w:top w:val="nil"/>
              <w:left w:val="nil"/>
              <w:bottom w:val="nil"/>
              <w:right w:val="nil"/>
            </w:tcBorders>
            <w:shd w:val="clear" w:color="auto" w:fill="auto"/>
            <w:noWrap/>
            <w:vAlign w:val="bottom"/>
            <w:hideMark/>
          </w:tcPr>
          <w:p w14:paraId="2F9408D3" w14:textId="77777777" w:rsidR="0097090C" w:rsidRPr="00636CC2" w:rsidRDefault="0097090C" w:rsidP="0097090C">
            <w:pPr>
              <w:ind w:firstLineChars="100" w:firstLine="180"/>
              <w:rPr>
                <w:rFonts w:cs="Arial"/>
                <w:sz w:val="18"/>
                <w:szCs w:val="18"/>
              </w:rPr>
            </w:pPr>
            <w:r w:rsidRPr="00636CC2">
              <w:rPr>
                <w:rFonts w:cs="Arial"/>
                <w:sz w:val="18"/>
                <w:szCs w:val="18"/>
              </w:rPr>
              <w:t>Sale of goods and services</w:t>
            </w:r>
          </w:p>
        </w:tc>
        <w:tc>
          <w:tcPr>
            <w:tcW w:w="687" w:type="dxa"/>
            <w:tcBorders>
              <w:top w:val="nil"/>
              <w:left w:val="nil"/>
              <w:bottom w:val="nil"/>
              <w:right w:val="nil"/>
            </w:tcBorders>
            <w:shd w:val="clear" w:color="auto" w:fill="auto"/>
            <w:noWrap/>
            <w:vAlign w:val="bottom"/>
            <w:hideMark/>
          </w:tcPr>
          <w:p w14:paraId="5D2350E8" w14:textId="77777777" w:rsidR="0097090C" w:rsidRPr="00636CC2" w:rsidRDefault="0097090C" w:rsidP="0097090C">
            <w:pPr>
              <w:jc w:val="center"/>
              <w:rPr>
                <w:rFonts w:cs="Arial"/>
                <w:sz w:val="18"/>
                <w:szCs w:val="18"/>
              </w:rPr>
            </w:pPr>
            <w:r w:rsidRPr="00636CC2">
              <w:rPr>
                <w:rFonts w:cs="Arial"/>
                <w:sz w:val="18"/>
                <w:szCs w:val="18"/>
              </w:rPr>
              <w:t>7</w:t>
            </w:r>
          </w:p>
        </w:tc>
        <w:tc>
          <w:tcPr>
            <w:tcW w:w="1600" w:type="dxa"/>
            <w:tcBorders>
              <w:top w:val="nil"/>
              <w:left w:val="nil"/>
              <w:bottom w:val="nil"/>
              <w:right w:val="nil"/>
            </w:tcBorders>
            <w:shd w:val="clear" w:color="000000" w:fill="D9D9D9"/>
            <w:noWrap/>
            <w:vAlign w:val="bottom"/>
            <w:hideMark/>
          </w:tcPr>
          <w:p w14:paraId="2EE3AE59"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6FA44C8B" w14:textId="77777777" w:rsidR="0097090C" w:rsidRPr="00636CC2" w:rsidRDefault="0097090C" w:rsidP="0097090C">
            <w:pPr>
              <w:jc w:val="right"/>
              <w:rPr>
                <w:rFonts w:cs="Arial"/>
                <w:sz w:val="18"/>
                <w:szCs w:val="18"/>
              </w:rPr>
            </w:pPr>
            <w:r w:rsidRPr="00636CC2">
              <w:rPr>
                <w:rFonts w:cs="Arial"/>
                <w:sz w:val="18"/>
                <w:szCs w:val="18"/>
              </w:rPr>
              <w:t>1,414</w:t>
            </w:r>
          </w:p>
        </w:tc>
        <w:tc>
          <w:tcPr>
            <w:tcW w:w="1460" w:type="dxa"/>
            <w:tcBorders>
              <w:top w:val="nil"/>
              <w:left w:val="nil"/>
              <w:bottom w:val="nil"/>
              <w:right w:val="nil"/>
            </w:tcBorders>
            <w:shd w:val="clear" w:color="000000" w:fill="D9D9D9"/>
            <w:noWrap/>
            <w:vAlign w:val="bottom"/>
            <w:hideMark/>
          </w:tcPr>
          <w:p w14:paraId="0D1963E4"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nil"/>
              <w:left w:val="nil"/>
              <w:bottom w:val="nil"/>
              <w:right w:val="nil"/>
            </w:tcBorders>
            <w:shd w:val="clear" w:color="auto" w:fill="auto"/>
            <w:noWrap/>
            <w:vAlign w:val="bottom"/>
            <w:hideMark/>
          </w:tcPr>
          <w:p w14:paraId="2219CAD1" w14:textId="77777777" w:rsidR="0097090C" w:rsidRPr="00636CC2" w:rsidRDefault="0097090C" w:rsidP="0097090C">
            <w:pPr>
              <w:jc w:val="right"/>
              <w:rPr>
                <w:rFonts w:cs="Arial"/>
                <w:sz w:val="18"/>
                <w:szCs w:val="18"/>
              </w:rPr>
            </w:pPr>
            <w:r w:rsidRPr="00636CC2">
              <w:rPr>
                <w:rFonts w:cs="Arial"/>
                <w:sz w:val="18"/>
                <w:szCs w:val="18"/>
              </w:rPr>
              <w:t>1,414</w:t>
            </w:r>
          </w:p>
        </w:tc>
      </w:tr>
      <w:tr w:rsidR="0097090C" w:rsidRPr="00636CC2" w14:paraId="73940EC8" w14:textId="77777777" w:rsidTr="0097090C">
        <w:trPr>
          <w:trHeight w:val="240"/>
        </w:trPr>
        <w:tc>
          <w:tcPr>
            <w:tcW w:w="3300" w:type="dxa"/>
            <w:tcBorders>
              <w:top w:val="nil"/>
              <w:left w:val="nil"/>
              <w:bottom w:val="nil"/>
              <w:right w:val="nil"/>
            </w:tcBorders>
            <w:shd w:val="clear" w:color="auto" w:fill="auto"/>
            <w:noWrap/>
            <w:vAlign w:val="bottom"/>
            <w:hideMark/>
          </w:tcPr>
          <w:p w14:paraId="0B47B46D" w14:textId="77777777" w:rsidR="0097090C" w:rsidRPr="00636CC2" w:rsidRDefault="0097090C" w:rsidP="0097090C">
            <w:pPr>
              <w:ind w:firstLineChars="100" w:firstLine="180"/>
              <w:rPr>
                <w:rFonts w:cs="Arial"/>
                <w:sz w:val="18"/>
                <w:szCs w:val="18"/>
              </w:rPr>
            </w:pPr>
            <w:r w:rsidRPr="00636CC2">
              <w:rPr>
                <w:rFonts w:cs="Arial"/>
                <w:sz w:val="18"/>
                <w:szCs w:val="18"/>
              </w:rPr>
              <w:t>Foreign exchange forward contract</w:t>
            </w:r>
          </w:p>
        </w:tc>
        <w:tc>
          <w:tcPr>
            <w:tcW w:w="687" w:type="dxa"/>
            <w:tcBorders>
              <w:top w:val="nil"/>
              <w:left w:val="nil"/>
              <w:bottom w:val="nil"/>
              <w:right w:val="nil"/>
            </w:tcBorders>
            <w:shd w:val="clear" w:color="auto" w:fill="auto"/>
            <w:noWrap/>
            <w:vAlign w:val="bottom"/>
            <w:hideMark/>
          </w:tcPr>
          <w:p w14:paraId="58E179BC"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5D080DB7" w14:textId="77777777" w:rsidR="0097090C" w:rsidRPr="00636CC2" w:rsidRDefault="0097090C" w:rsidP="0097090C">
            <w:pPr>
              <w:jc w:val="right"/>
              <w:rPr>
                <w:rFonts w:cs="Arial"/>
                <w:sz w:val="18"/>
                <w:szCs w:val="18"/>
              </w:rPr>
            </w:pPr>
            <w:r w:rsidRPr="00636CC2">
              <w:rPr>
                <w:rFonts w:cs="Arial"/>
                <w:sz w:val="18"/>
                <w:szCs w:val="18"/>
              </w:rPr>
              <w:t>947</w:t>
            </w:r>
          </w:p>
        </w:tc>
        <w:tc>
          <w:tcPr>
            <w:tcW w:w="1620" w:type="dxa"/>
            <w:tcBorders>
              <w:top w:val="nil"/>
              <w:left w:val="nil"/>
              <w:bottom w:val="nil"/>
              <w:right w:val="nil"/>
            </w:tcBorders>
            <w:shd w:val="clear" w:color="auto" w:fill="auto"/>
            <w:noWrap/>
            <w:vAlign w:val="bottom"/>
            <w:hideMark/>
          </w:tcPr>
          <w:p w14:paraId="19031F51"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nil"/>
              <w:left w:val="nil"/>
              <w:bottom w:val="nil"/>
              <w:right w:val="nil"/>
            </w:tcBorders>
            <w:shd w:val="clear" w:color="000000" w:fill="D9D9D9"/>
            <w:noWrap/>
            <w:vAlign w:val="bottom"/>
            <w:hideMark/>
          </w:tcPr>
          <w:p w14:paraId="27D5273E"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nil"/>
              <w:left w:val="nil"/>
              <w:bottom w:val="nil"/>
              <w:right w:val="nil"/>
            </w:tcBorders>
            <w:shd w:val="clear" w:color="auto" w:fill="auto"/>
            <w:noWrap/>
            <w:vAlign w:val="bottom"/>
            <w:hideMark/>
          </w:tcPr>
          <w:p w14:paraId="374F2D92" w14:textId="77777777" w:rsidR="0097090C" w:rsidRPr="00636CC2" w:rsidRDefault="0097090C" w:rsidP="0097090C">
            <w:pPr>
              <w:jc w:val="right"/>
              <w:rPr>
                <w:rFonts w:cs="Arial"/>
                <w:sz w:val="18"/>
                <w:szCs w:val="18"/>
              </w:rPr>
            </w:pPr>
            <w:r w:rsidRPr="00636CC2">
              <w:rPr>
                <w:rFonts w:cs="Arial"/>
                <w:sz w:val="18"/>
                <w:szCs w:val="18"/>
              </w:rPr>
              <w:t>947</w:t>
            </w:r>
          </w:p>
        </w:tc>
      </w:tr>
      <w:tr w:rsidR="0097090C" w:rsidRPr="00636CC2" w14:paraId="215AD4E8" w14:textId="77777777" w:rsidTr="0097090C">
        <w:trPr>
          <w:trHeight w:val="240"/>
        </w:trPr>
        <w:tc>
          <w:tcPr>
            <w:tcW w:w="3300" w:type="dxa"/>
            <w:tcBorders>
              <w:top w:val="single" w:sz="4" w:space="0" w:color="auto"/>
              <w:left w:val="nil"/>
              <w:bottom w:val="single" w:sz="4" w:space="0" w:color="auto"/>
              <w:right w:val="nil"/>
            </w:tcBorders>
            <w:shd w:val="clear" w:color="auto" w:fill="auto"/>
            <w:noWrap/>
            <w:vAlign w:val="bottom"/>
            <w:hideMark/>
          </w:tcPr>
          <w:p w14:paraId="1207F935" w14:textId="77777777" w:rsidR="0097090C" w:rsidRPr="00636CC2" w:rsidRDefault="0097090C" w:rsidP="0097090C">
            <w:pPr>
              <w:rPr>
                <w:rFonts w:cs="Arial"/>
                <w:b/>
                <w:bCs/>
                <w:sz w:val="18"/>
                <w:szCs w:val="18"/>
              </w:rPr>
            </w:pPr>
            <w:r w:rsidRPr="00636CC2">
              <w:rPr>
                <w:rFonts w:cs="Arial"/>
                <w:b/>
                <w:bCs/>
                <w:sz w:val="18"/>
                <w:szCs w:val="18"/>
              </w:rPr>
              <w:t>Total contractual financial assets</w:t>
            </w:r>
          </w:p>
        </w:tc>
        <w:tc>
          <w:tcPr>
            <w:tcW w:w="687" w:type="dxa"/>
            <w:tcBorders>
              <w:top w:val="single" w:sz="4" w:space="0" w:color="auto"/>
              <w:left w:val="nil"/>
              <w:bottom w:val="single" w:sz="4" w:space="0" w:color="auto"/>
              <w:right w:val="nil"/>
            </w:tcBorders>
            <w:shd w:val="clear" w:color="auto" w:fill="auto"/>
            <w:noWrap/>
            <w:vAlign w:val="bottom"/>
            <w:hideMark/>
          </w:tcPr>
          <w:p w14:paraId="56F0251E" w14:textId="77777777" w:rsidR="0097090C" w:rsidRPr="00636CC2" w:rsidRDefault="0097090C" w:rsidP="0097090C">
            <w:pPr>
              <w:jc w:val="center"/>
              <w:rPr>
                <w:rFonts w:cs="Arial"/>
                <w:b/>
                <w:bCs/>
                <w:sz w:val="18"/>
                <w:szCs w:val="18"/>
              </w:rPr>
            </w:pPr>
            <w:r w:rsidRPr="00636CC2">
              <w:rPr>
                <w:rFonts w:cs="Arial"/>
                <w:b/>
                <w:bCs/>
                <w:sz w:val="18"/>
                <w:szCs w:val="18"/>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55CCD8F2" w14:textId="77777777" w:rsidR="0097090C" w:rsidRPr="00636CC2" w:rsidRDefault="0097090C" w:rsidP="0097090C">
            <w:pPr>
              <w:jc w:val="right"/>
              <w:rPr>
                <w:rFonts w:cs="Arial"/>
                <w:sz w:val="18"/>
                <w:szCs w:val="18"/>
              </w:rPr>
            </w:pPr>
            <w:r w:rsidRPr="00636CC2">
              <w:rPr>
                <w:rFonts w:cs="Arial"/>
                <w:sz w:val="18"/>
                <w:szCs w:val="18"/>
              </w:rPr>
              <w:t>947</w:t>
            </w:r>
          </w:p>
        </w:tc>
        <w:tc>
          <w:tcPr>
            <w:tcW w:w="1620" w:type="dxa"/>
            <w:tcBorders>
              <w:top w:val="single" w:sz="4" w:space="0" w:color="auto"/>
              <w:left w:val="nil"/>
              <w:bottom w:val="single" w:sz="4" w:space="0" w:color="auto"/>
              <w:right w:val="nil"/>
            </w:tcBorders>
            <w:shd w:val="clear" w:color="auto" w:fill="auto"/>
            <w:noWrap/>
            <w:vAlign w:val="bottom"/>
            <w:hideMark/>
          </w:tcPr>
          <w:p w14:paraId="2EABAF15" w14:textId="77777777" w:rsidR="0097090C" w:rsidRPr="00636CC2" w:rsidRDefault="0097090C" w:rsidP="0097090C">
            <w:pPr>
              <w:jc w:val="right"/>
              <w:rPr>
                <w:rFonts w:cs="Arial"/>
                <w:sz w:val="18"/>
                <w:szCs w:val="18"/>
              </w:rPr>
            </w:pPr>
            <w:r w:rsidRPr="00636CC2">
              <w:rPr>
                <w:rFonts w:cs="Arial"/>
                <w:sz w:val="18"/>
                <w:szCs w:val="18"/>
              </w:rPr>
              <w:t>31,650</w:t>
            </w:r>
          </w:p>
        </w:tc>
        <w:tc>
          <w:tcPr>
            <w:tcW w:w="1460" w:type="dxa"/>
            <w:tcBorders>
              <w:top w:val="single" w:sz="4" w:space="0" w:color="auto"/>
              <w:left w:val="nil"/>
              <w:bottom w:val="single" w:sz="4" w:space="0" w:color="auto"/>
              <w:right w:val="nil"/>
            </w:tcBorders>
            <w:shd w:val="clear" w:color="000000" w:fill="D9D9D9"/>
            <w:noWrap/>
            <w:vAlign w:val="bottom"/>
            <w:hideMark/>
          </w:tcPr>
          <w:p w14:paraId="0B687314" w14:textId="77777777" w:rsidR="0097090C" w:rsidRPr="00636CC2" w:rsidRDefault="0097090C" w:rsidP="0097090C">
            <w:pPr>
              <w:jc w:val="right"/>
              <w:rPr>
                <w:rFonts w:cs="Arial"/>
                <w:sz w:val="18"/>
                <w:szCs w:val="18"/>
              </w:rPr>
            </w:pPr>
            <w:r w:rsidRPr="00636CC2">
              <w:rPr>
                <w:rFonts w:cs="Arial"/>
                <w:sz w:val="18"/>
                <w:szCs w:val="18"/>
              </w:rPr>
              <w:t>0</w:t>
            </w:r>
          </w:p>
        </w:tc>
        <w:tc>
          <w:tcPr>
            <w:tcW w:w="1220" w:type="dxa"/>
            <w:tcBorders>
              <w:top w:val="single" w:sz="4" w:space="0" w:color="auto"/>
              <w:left w:val="nil"/>
              <w:bottom w:val="single" w:sz="4" w:space="0" w:color="auto"/>
              <w:right w:val="nil"/>
            </w:tcBorders>
            <w:shd w:val="clear" w:color="auto" w:fill="auto"/>
            <w:noWrap/>
            <w:vAlign w:val="bottom"/>
            <w:hideMark/>
          </w:tcPr>
          <w:p w14:paraId="41136D74" w14:textId="77777777" w:rsidR="0097090C" w:rsidRPr="00636CC2" w:rsidRDefault="0097090C" w:rsidP="0097090C">
            <w:pPr>
              <w:jc w:val="right"/>
              <w:rPr>
                <w:rFonts w:cs="Arial"/>
                <w:sz w:val="18"/>
                <w:szCs w:val="18"/>
              </w:rPr>
            </w:pPr>
            <w:r w:rsidRPr="00636CC2">
              <w:rPr>
                <w:rFonts w:cs="Arial"/>
                <w:sz w:val="18"/>
                <w:szCs w:val="18"/>
              </w:rPr>
              <w:t>32,597</w:t>
            </w:r>
          </w:p>
        </w:tc>
      </w:tr>
    </w:tbl>
    <w:p w14:paraId="34A692FC" w14:textId="77777777" w:rsidR="0097090C" w:rsidRDefault="0097090C" w:rsidP="0097090C">
      <w:pPr>
        <w:pStyle w:val="Heading4"/>
      </w:pPr>
      <w:r>
        <w:t>Note 19</w:t>
      </w:r>
      <w:r w:rsidRPr="001F751F">
        <w:t xml:space="preserve">.  </w:t>
      </w:r>
      <w:r>
        <w:t>Financial Instruments</w:t>
      </w:r>
      <w:r w:rsidRPr="001F751F">
        <w:t xml:space="preserve"> (continued)</w:t>
      </w:r>
    </w:p>
    <w:tbl>
      <w:tblPr>
        <w:tblW w:w="9887" w:type="dxa"/>
        <w:tblInd w:w="93" w:type="dxa"/>
        <w:tblLook w:val="04A0" w:firstRow="1" w:lastRow="0" w:firstColumn="1" w:lastColumn="0" w:noHBand="0" w:noVBand="1"/>
      </w:tblPr>
      <w:tblGrid>
        <w:gridCol w:w="3300"/>
        <w:gridCol w:w="687"/>
        <w:gridCol w:w="1600"/>
        <w:gridCol w:w="1620"/>
        <w:gridCol w:w="1460"/>
        <w:gridCol w:w="1220"/>
      </w:tblGrid>
      <w:tr w:rsidR="0097090C" w:rsidRPr="00636CC2" w14:paraId="6A656FD9" w14:textId="77777777" w:rsidTr="0097090C">
        <w:trPr>
          <w:trHeight w:val="240"/>
        </w:trPr>
        <w:tc>
          <w:tcPr>
            <w:tcW w:w="3300" w:type="dxa"/>
            <w:tcBorders>
              <w:top w:val="single" w:sz="4" w:space="0" w:color="auto"/>
              <w:left w:val="nil"/>
              <w:bottom w:val="single" w:sz="4" w:space="0" w:color="auto"/>
              <w:right w:val="nil"/>
            </w:tcBorders>
            <w:shd w:val="clear" w:color="auto" w:fill="auto"/>
            <w:noWrap/>
            <w:vAlign w:val="bottom"/>
          </w:tcPr>
          <w:p w14:paraId="7561AB0E" w14:textId="77777777" w:rsidR="0097090C" w:rsidRPr="00636CC2" w:rsidRDefault="0097090C" w:rsidP="0097090C">
            <w:pPr>
              <w:rPr>
                <w:rFonts w:cs="Arial"/>
                <w:b/>
                <w:bCs/>
                <w:sz w:val="18"/>
                <w:szCs w:val="18"/>
              </w:rPr>
            </w:pPr>
          </w:p>
        </w:tc>
        <w:tc>
          <w:tcPr>
            <w:tcW w:w="687" w:type="dxa"/>
            <w:tcBorders>
              <w:top w:val="single" w:sz="4" w:space="0" w:color="auto"/>
              <w:left w:val="nil"/>
              <w:bottom w:val="single" w:sz="4" w:space="0" w:color="auto"/>
              <w:right w:val="nil"/>
            </w:tcBorders>
            <w:shd w:val="clear" w:color="auto" w:fill="auto"/>
            <w:noWrap/>
            <w:vAlign w:val="bottom"/>
          </w:tcPr>
          <w:p w14:paraId="3EEC2C4D" w14:textId="77777777" w:rsidR="0097090C" w:rsidRPr="00636CC2" w:rsidRDefault="0097090C" w:rsidP="0097090C">
            <w:pPr>
              <w:jc w:val="center"/>
              <w:rPr>
                <w:rFonts w:cs="Arial"/>
                <w:b/>
                <w:bCs/>
                <w:sz w:val="18"/>
                <w:szCs w:val="18"/>
              </w:rPr>
            </w:pPr>
          </w:p>
        </w:tc>
        <w:tc>
          <w:tcPr>
            <w:tcW w:w="1600" w:type="dxa"/>
            <w:tcBorders>
              <w:top w:val="single" w:sz="4" w:space="0" w:color="auto"/>
              <w:left w:val="nil"/>
              <w:bottom w:val="single" w:sz="4" w:space="0" w:color="auto"/>
              <w:right w:val="nil"/>
            </w:tcBorders>
            <w:shd w:val="clear" w:color="000000" w:fill="D9D9D9"/>
            <w:noWrap/>
            <w:vAlign w:val="bottom"/>
          </w:tcPr>
          <w:p w14:paraId="056C5553" w14:textId="77777777" w:rsidR="0097090C" w:rsidRPr="00636CC2" w:rsidRDefault="0097090C" w:rsidP="0097090C">
            <w:pPr>
              <w:jc w:val="right"/>
              <w:rPr>
                <w:rFonts w:cs="Arial"/>
                <w:sz w:val="18"/>
                <w:szCs w:val="18"/>
              </w:rPr>
            </w:pPr>
          </w:p>
        </w:tc>
        <w:tc>
          <w:tcPr>
            <w:tcW w:w="1620" w:type="dxa"/>
            <w:tcBorders>
              <w:top w:val="single" w:sz="4" w:space="0" w:color="auto"/>
              <w:left w:val="nil"/>
              <w:bottom w:val="single" w:sz="4" w:space="0" w:color="auto"/>
              <w:right w:val="nil"/>
            </w:tcBorders>
            <w:shd w:val="clear" w:color="auto" w:fill="auto"/>
            <w:noWrap/>
            <w:vAlign w:val="bottom"/>
          </w:tcPr>
          <w:p w14:paraId="28121257" w14:textId="77777777" w:rsidR="0097090C" w:rsidRPr="00636CC2" w:rsidRDefault="0097090C" w:rsidP="0097090C">
            <w:pPr>
              <w:jc w:val="right"/>
              <w:rPr>
                <w:rFonts w:cs="Arial"/>
                <w:sz w:val="18"/>
                <w:szCs w:val="18"/>
              </w:rPr>
            </w:pPr>
          </w:p>
        </w:tc>
        <w:tc>
          <w:tcPr>
            <w:tcW w:w="1460" w:type="dxa"/>
            <w:tcBorders>
              <w:top w:val="single" w:sz="4" w:space="0" w:color="auto"/>
              <w:left w:val="nil"/>
              <w:bottom w:val="single" w:sz="4" w:space="0" w:color="auto"/>
              <w:right w:val="nil"/>
            </w:tcBorders>
            <w:shd w:val="clear" w:color="000000" w:fill="D9D9D9"/>
            <w:noWrap/>
            <w:vAlign w:val="bottom"/>
          </w:tcPr>
          <w:p w14:paraId="58566E7E" w14:textId="77777777" w:rsidR="0097090C" w:rsidRPr="00636CC2" w:rsidRDefault="0097090C" w:rsidP="0097090C">
            <w:pPr>
              <w:jc w:val="right"/>
              <w:rPr>
                <w:rFonts w:cs="Arial"/>
                <w:sz w:val="18"/>
                <w:szCs w:val="18"/>
              </w:rPr>
            </w:pPr>
          </w:p>
        </w:tc>
        <w:tc>
          <w:tcPr>
            <w:tcW w:w="1220" w:type="dxa"/>
            <w:tcBorders>
              <w:top w:val="single" w:sz="4" w:space="0" w:color="auto"/>
              <w:left w:val="nil"/>
              <w:bottom w:val="single" w:sz="4" w:space="0" w:color="auto"/>
              <w:right w:val="nil"/>
            </w:tcBorders>
            <w:shd w:val="clear" w:color="auto" w:fill="auto"/>
            <w:noWrap/>
            <w:vAlign w:val="bottom"/>
          </w:tcPr>
          <w:p w14:paraId="06D9BE47" w14:textId="77777777" w:rsidR="0097090C" w:rsidRPr="00636CC2" w:rsidRDefault="0097090C" w:rsidP="0097090C">
            <w:pPr>
              <w:jc w:val="right"/>
              <w:rPr>
                <w:rFonts w:cs="Arial"/>
                <w:sz w:val="18"/>
                <w:szCs w:val="18"/>
              </w:rPr>
            </w:pPr>
          </w:p>
        </w:tc>
      </w:tr>
      <w:tr w:rsidR="0097090C" w:rsidRPr="00636CC2" w14:paraId="42BE63BD" w14:textId="77777777" w:rsidTr="0097090C">
        <w:trPr>
          <w:trHeight w:val="240"/>
        </w:trPr>
        <w:tc>
          <w:tcPr>
            <w:tcW w:w="3300" w:type="dxa"/>
            <w:tcBorders>
              <w:top w:val="nil"/>
              <w:left w:val="nil"/>
              <w:bottom w:val="nil"/>
              <w:right w:val="nil"/>
            </w:tcBorders>
            <w:shd w:val="clear" w:color="auto" w:fill="auto"/>
            <w:noWrap/>
            <w:vAlign w:val="bottom"/>
            <w:hideMark/>
          </w:tcPr>
          <w:p w14:paraId="5080D1AA" w14:textId="77777777" w:rsidR="0097090C" w:rsidRPr="00636CC2" w:rsidRDefault="0097090C" w:rsidP="0097090C">
            <w:pPr>
              <w:rPr>
                <w:rFonts w:cs="Arial"/>
                <w:b/>
                <w:bCs/>
                <w:sz w:val="18"/>
                <w:szCs w:val="18"/>
              </w:rPr>
            </w:pPr>
            <w:r w:rsidRPr="00636CC2">
              <w:rPr>
                <w:rFonts w:cs="Arial"/>
                <w:b/>
                <w:bCs/>
                <w:sz w:val="18"/>
                <w:szCs w:val="18"/>
              </w:rPr>
              <w:t>Contractual financial liabilities</w:t>
            </w:r>
          </w:p>
        </w:tc>
        <w:tc>
          <w:tcPr>
            <w:tcW w:w="687" w:type="dxa"/>
            <w:tcBorders>
              <w:top w:val="nil"/>
              <w:left w:val="nil"/>
              <w:bottom w:val="nil"/>
              <w:right w:val="nil"/>
            </w:tcBorders>
            <w:shd w:val="clear" w:color="auto" w:fill="auto"/>
            <w:noWrap/>
            <w:vAlign w:val="bottom"/>
            <w:hideMark/>
          </w:tcPr>
          <w:p w14:paraId="78F84DEE" w14:textId="77777777" w:rsidR="0097090C" w:rsidRPr="00636CC2" w:rsidRDefault="0097090C" w:rsidP="0097090C">
            <w:pPr>
              <w:jc w:val="center"/>
              <w:rPr>
                <w:rFonts w:cs="Arial"/>
                <w:b/>
                <w:bCs/>
                <w:sz w:val="18"/>
                <w:szCs w:val="18"/>
              </w:rPr>
            </w:pPr>
          </w:p>
        </w:tc>
        <w:tc>
          <w:tcPr>
            <w:tcW w:w="1600" w:type="dxa"/>
            <w:tcBorders>
              <w:top w:val="nil"/>
              <w:left w:val="nil"/>
              <w:bottom w:val="nil"/>
              <w:right w:val="nil"/>
            </w:tcBorders>
            <w:shd w:val="clear" w:color="000000" w:fill="D9D9D9"/>
            <w:noWrap/>
            <w:vAlign w:val="bottom"/>
            <w:hideMark/>
          </w:tcPr>
          <w:p w14:paraId="68D2A83B" w14:textId="77777777" w:rsidR="0097090C" w:rsidRPr="00636CC2" w:rsidRDefault="0097090C" w:rsidP="0097090C">
            <w:pPr>
              <w:rPr>
                <w:rFonts w:cs="Arial"/>
                <w:b/>
                <w:bCs/>
                <w:sz w:val="18"/>
                <w:szCs w:val="18"/>
              </w:rPr>
            </w:pPr>
            <w:r w:rsidRPr="00636CC2">
              <w:rPr>
                <w:rFonts w:cs="Arial"/>
                <w:b/>
                <w:bCs/>
                <w:sz w:val="18"/>
                <w:szCs w:val="18"/>
              </w:rPr>
              <w:t> </w:t>
            </w:r>
          </w:p>
        </w:tc>
        <w:tc>
          <w:tcPr>
            <w:tcW w:w="1620" w:type="dxa"/>
            <w:tcBorders>
              <w:top w:val="nil"/>
              <w:left w:val="nil"/>
              <w:bottom w:val="nil"/>
              <w:right w:val="nil"/>
            </w:tcBorders>
            <w:shd w:val="clear" w:color="auto" w:fill="auto"/>
            <w:vAlign w:val="bottom"/>
            <w:hideMark/>
          </w:tcPr>
          <w:p w14:paraId="748CDA8A" w14:textId="77777777" w:rsidR="0097090C" w:rsidRPr="00636CC2" w:rsidRDefault="0097090C" w:rsidP="0097090C">
            <w:pPr>
              <w:rPr>
                <w:rFonts w:cs="Arial"/>
                <w:i/>
                <w:iCs/>
                <w:sz w:val="18"/>
                <w:szCs w:val="18"/>
              </w:rPr>
            </w:pPr>
          </w:p>
        </w:tc>
        <w:tc>
          <w:tcPr>
            <w:tcW w:w="1460" w:type="dxa"/>
            <w:tcBorders>
              <w:top w:val="nil"/>
              <w:left w:val="nil"/>
              <w:bottom w:val="nil"/>
              <w:right w:val="nil"/>
            </w:tcBorders>
            <w:shd w:val="clear" w:color="000000" w:fill="D9D9D9"/>
            <w:vAlign w:val="bottom"/>
            <w:hideMark/>
          </w:tcPr>
          <w:p w14:paraId="5AA8CAAE" w14:textId="77777777" w:rsidR="0097090C" w:rsidRPr="00636CC2" w:rsidRDefault="0097090C" w:rsidP="0097090C">
            <w:pPr>
              <w:rPr>
                <w:rFonts w:cs="Arial"/>
                <w:i/>
                <w:iCs/>
                <w:sz w:val="18"/>
                <w:szCs w:val="18"/>
              </w:rPr>
            </w:pPr>
            <w:r w:rsidRPr="00636CC2">
              <w:rPr>
                <w:rFonts w:cs="Arial"/>
                <w:i/>
                <w:iCs/>
                <w:sz w:val="18"/>
                <w:szCs w:val="18"/>
              </w:rPr>
              <w:t> </w:t>
            </w:r>
          </w:p>
        </w:tc>
        <w:tc>
          <w:tcPr>
            <w:tcW w:w="1220" w:type="dxa"/>
            <w:tcBorders>
              <w:top w:val="nil"/>
              <w:left w:val="nil"/>
              <w:bottom w:val="nil"/>
              <w:right w:val="nil"/>
            </w:tcBorders>
            <w:shd w:val="clear" w:color="auto" w:fill="auto"/>
            <w:hideMark/>
          </w:tcPr>
          <w:p w14:paraId="18745A71" w14:textId="77777777" w:rsidR="0097090C" w:rsidRPr="00636CC2" w:rsidRDefault="0097090C" w:rsidP="0097090C">
            <w:pPr>
              <w:rPr>
                <w:rFonts w:cs="Arial"/>
                <w:i/>
                <w:iCs/>
                <w:sz w:val="18"/>
                <w:szCs w:val="18"/>
              </w:rPr>
            </w:pPr>
          </w:p>
        </w:tc>
      </w:tr>
      <w:tr w:rsidR="0097090C" w:rsidRPr="00636CC2" w14:paraId="54209885" w14:textId="77777777" w:rsidTr="0097090C">
        <w:trPr>
          <w:trHeight w:val="240"/>
        </w:trPr>
        <w:tc>
          <w:tcPr>
            <w:tcW w:w="3300" w:type="dxa"/>
            <w:tcBorders>
              <w:top w:val="nil"/>
              <w:left w:val="nil"/>
              <w:bottom w:val="nil"/>
              <w:right w:val="nil"/>
            </w:tcBorders>
            <w:shd w:val="clear" w:color="auto" w:fill="auto"/>
            <w:noWrap/>
            <w:vAlign w:val="bottom"/>
            <w:hideMark/>
          </w:tcPr>
          <w:p w14:paraId="1D051677" w14:textId="77777777" w:rsidR="0097090C" w:rsidRPr="00636CC2" w:rsidRDefault="0097090C" w:rsidP="0097090C">
            <w:pPr>
              <w:rPr>
                <w:rFonts w:cs="Arial"/>
                <w:sz w:val="18"/>
                <w:szCs w:val="18"/>
              </w:rPr>
            </w:pPr>
            <w:r w:rsidRPr="00636CC2">
              <w:rPr>
                <w:rFonts w:cs="Arial"/>
                <w:sz w:val="18"/>
                <w:szCs w:val="18"/>
              </w:rPr>
              <w:t>Payables</w:t>
            </w:r>
            <w:r>
              <w:rPr>
                <w:rFonts w:cs="Arial"/>
                <w:sz w:val="18"/>
                <w:szCs w:val="18"/>
              </w:rPr>
              <w:t>**</w:t>
            </w:r>
          </w:p>
        </w:tc>
        <w:tc>
          <w:tcPr>
            <w:tcW w:w="687" w:type="dxa"/>
            <w:tcBorders>
              <w:top w:val="nil"/>
              <w:left w:val="nil"/>
              <w:bottom w:val="nil"/>
              <w:right w:val="nil"/>
            </w:tcBorders>
            <w:shd w:val="clear" w:color="auto" w:fill="auto"/>
            <w:noWrap/>
            <w:vAlign w:val="bottom"/>
            <w:hideMark/>
          </w:tcPr>
          <w:p w14:paraId="673B8DAC"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72B6F365" w14:textId="77777777" w:rsidR="0097090C" w:rsidRPr="00636CC2" w:rsidRDefault="0097090C" w:rsidP="0097090C">
            <w:pPr>
              <w:rPr>
                <w:rFonts w:cs="Arial"/>
                <w:sz w:val="18"/>
                <w:szCs w:val="18"/>
              </w:rPr>
            </w:pPr>
            <w:r w:rsidRPr="00636CC2">
              <w:rPr>
                <w:rFonts w:cs="Arial"/>
                <w:sz w:val="18"/>
                <w:szCs w:val="18"/>
              </w:rPr>
              <w:t> </w:t>
            </w:r>
          </w:p>
        </w:tc>
        <w:tc>
          <w:tcPr>
            <w:tcW w:w="1620" w:type="dxa"/>
            <w:tcBorders>
              <w:top w:val="nil"/>
              <w:left w:val="nil"/>
              <w:bottom w:val="nil"/>
              <w:right w:val="nil"/>
            </w:tcBorders>
            <w:shd w:val="clear" w:color="auto" w:fill="auto"/>
            <w:noWrap/>
            <w:vAlign w:val="bottom"/>
            <w:hideMark/>
          </w:tcPr>
          <w:p w14:paraId="6FA469D1"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noWrap/>
            <w:vAlign w:val="bottom"/>
            <w:hideMark/>
          </w:tcPr>
          <w:p w14:paraId="117C6825"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noWrap/>
            <w:vAlign w:val="bottom"/>
            <w:hideMark/>
          </w:tcPr>
          <w:p w14:paraId="6CB41899" w14:textId="77777777" w:rsidR="0097090C" w:rsidRPr="00636CC2" w:rsidRDefault="0097090C" w:rsidP="0097090C">
            <w:pPr>
              <w:rPr>
                <w:rFonts w:cs="Arial"/>
                <w:sz w:val="18"/>
                <w:szCs w:val="18"/>
              </w:rPr>
            </w:pPr>
          </w:p>
        </w:tc>
      </w:tr>
      <w:tr w:rsidR="0097090C" w:rsidRPr="00636CC2" w14:paraId="7235ADE9" w14:textId="77777777" w:rsidTr="0097090C">
        <w:trPr>
          <w:trHeight w:val="240"/>
        </w:trPr>
        <w:tc>
          <w:tcPr>
            <w:tcW w:w="3300" w:type="dxa"/>
            <w:tcBorders>
              <w:top w:val="nil"/>
              <w:left w:val="nil"/>
              <w:bottom w:val="nil"/>
              <w:right w:val="nil"/>
            </w:tcBorders>
            <w:shd w:val="clear" w:color="auto" w:fill="auto"/>
            <w:noWrap/>
            <w:vAlign w:val="bottom"/>
            <w:hideMark/>
          </w:tcPr>
          <w:p w14:paraId="018818BC" w14:textId="77777777" w:rsidR="0097090C" w:rsidRPr="00636CC2" w:rsidRDefault="0097090C" w:rsidP="0097090C">
            <w:pPr>
              <w:rPr>
                <w:rFonts w:cs="Arial"/>
                <w:sz w:val="18"/>
                <w:szCs w:val="18"/>
              </w:rPr>
            </w:pPr>
            <w:r w:rsidRPr="00636CC2">
              <w:rPr>
                <w:rFonts w:cs="Arial"/>
                <w:sz w:val="18"/>
                <w:szCs w:val="18"/>
              </w:rPr>
              <w:t xml:space="preserve">   Supplies and services</w:t>
            </w:r>
          </w:p>
        </w:tc>
        <w:tc>
          <w:tcPr>
            <w:tcW w:w="687" w:type="dxa"/>
            <w:tcBorders>
              <w:top w:val="nil"/>
              <w:left w:val="nil"/>
              <w:bottom w:val="nil"/>
              <w:right w:val="nil"/>
            </w:tcBorders>
            <w:shd w:val="clear" w:color="auto" w:fill="auto"/>
            <w:noWrap/>
            <w:vAlign w:val="bottom"/>
            <w:hideMark/>
          </w:tcPr>
          <w:p w14:paraId="5D29A5C8" w14:textId="77777777" w:rsidR="0097090C" w:rsidRPr="00636CC2" w:rsidRDefault="0097090C" w:rsidP="0097090C">
            <w:pPr>
              <w:jc w:val="center"/>
              <w:rPr>
                <w:rFonts w:cs="Arial"/>
                <w:sz w:val="18"/>
                <w:szCs w:val="18"/>
              </w:rPr>
            </w:pPr>
            <w:r w:rsidRPr="00636CC2">
              <w:rPr>
                <w:rFonts w:cs="Arial"/>
                <w:sz w:val="18"/>
                <w:szCs w:val="18"/>
              </w:rPr>
              <w:t>10</w:t>
            </w:r>
          </w:p>
        </w:tc>
        <w:tc>
          <w:tcPr>
            <w:tcW w:w="1600" w:type="dxa"/>
            <w:tcBorders>
              <w:top w:val="nil"/>
              <w:left w:val="nil"/>
              <w:bottom w:val="nil"/>
              <w:right w:val="nil"/>
            </w:tcBorders>
            <w:shd w:val="clear" w:color="000000" w:fill="D9D9D9"/>
            <w:noWrap/>
            <w:vAlign w:val="bottom"/>
            <w:hideMark/>
          </w:tcPr>
          <w:p w14:paraId="21C9E06C"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58B34A5A"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nil"/>
              <w:left w:val="nil"/>
              <w:bottom w:val="nil"/>
              <w:right w:val="nil"/>
            </w:tcBorders>
            <w:shd w:val="clear" w:color="000000" w:fill="D9D9D9"/>
            <w:noWrap/>
            <w:vAlign w:val="bottom"/>
            <w:hideMark/>
          </w:tcPr>
          <w:p w14:paraId="71384498" w14:textId="77777777" w:rsidR="0097090C" w:rsidRPr="00636CC2" w:rsidRDefault="0097090C" w:rsidP="0097090C">
            <w:pPr>
              <w:jc w:val="right"/>
              <w:rPr>
                <w:rFonts w:cs="Arial"/>
                <w:sz w:val="18"/>
                <w:szCs w:val="18"/>
              </w:rPr>
            </w:pPr>
            <w:r w:rsidRPr="00636CC2">
              <w:rPr>
                <w:rFonts w:cs="Arial"/>
                <w:sz w:val="18"/>
                <w:szCs w:val="18"/>
              </w:rPr>
              <w:t>6,495</w:t>
            </w:r>
          </w:p>
        </w:tc>
        <w:tc>
          <w:tcPr>
            <w:tcW w:w="1220" w:type="dxa"/>
            <w:tcBorders>
              <w:top w:val="nil"/>
              <w:left w:val="nil"/>
              <w:bottom w:val="nil"/>
              <w:right w:val="nil"/>
            </w:tcBorders>
            <w:shd w:val="clear" w:color="auto" w:fill="auto"/>
            <w:noWrap/>
            <w:vAlign w:val="bottom"/>
            <w:hideMark/>
          </w:tcPr>
          <w:p w14:paraId="16AC7C9F" w14:textId="77777777" w:rsidR="0097090C" w:rsidRPr="00636CC2" w:rsidRDefault="0097090C" w:rsidP="0097090C">
            <w:pPr>
              <w:jc w:val="right"/>
              <w:rPr>
                <w:rFonts w:cs="Arial"/>
                <w:sz w:val="18"/>
                <w:szCs w:val="18"/>
              </w:rPr>
            </w:pPr>
            <w:r w:rsidRPr="00636CC2">
              <w:rPr>
                <w:rFonts w:cs="Arial"/>
                <w:sz w:val="18"/>
                <w:szCs w:val="18"/>
              </w:rPr>
              <w:t>6,495</w:t>
            </w:r>
          </w:p>
        </w:tc>
      </w:tr>
      <w:tr w:rsidR="0097090C" w:rsidRPr="00636CC2" w14:paraId="1D76B341" w14:textId="77777777" w:rsidTr="0097090C">
        <w:trPr>
          <w:trHeight w:val="240"/>
        </w:trPr>
        <w:tc>
          <w:tcPr>
            <w:tcW w:w="3300" w:type="dxa"/>
            <w:tcBorders>
              <w:top w:val="nil"/>
              <w:left w:val="nil"/>
              <w:bottom w:val="nil"/>
              <w:right w:val="nil"/>
            </w:tcBorders>
            <w:shd w:val="clear" w:color="auto" w:fill="auto"/>
            <w:noWrap/>
            <w:vAlign w:val="bottom"/>
            <w:hideMark/>
          </w:tcPr>
          <w:p w14:paraId="105DAECC" w14:textId="77777777" w:rsidR="0097090C" w:rsidRPr="00636CC2" w:rsidRDefault="0097090C" w:rsidP="0097090C">
            <w:pPr>
              <w:rPr>
                <w:rFonts w:cs="Arial"/>
                <w:sz w:val="18"/>
                <w:szCs w:val="18"/>
              </w:rPr>
            </w:pPr>
            <w:r w:rsidRPr="00636CC2">
              <w:rPr>
                <w:rFonts w:cs="Arial"/>
                <w:sz w:val="18"/>
                <w:szCs w:val="18"/>
              </w:rPr>
              <w:t>Borrowings</w:t>
            </w:r>
          </w:p>
        </w:tc>
        <w:tc>
          <w:tcPr>
            <w:tcW w:w="687" w:type="dxa"/>
            <w:tcBorders>
              <w:top w:val="nil"/>
              <w:left w:val="nil"/>
              <w:bottom w:val="nil"/>
              <w:right w:val="nil"/>
            </w:tcBorders>
            <w:shd w:val="clear" w:color="auto" w:fill="auto"/>
            <w:noWrap/>
            <w:vAlign w:val="bottom"/>
            <w:hideMark/>
          </w:tcPr>
          <w:p w14:paraId="750771FE" w14:textId="77777777" w:rsidR="0097090C" w:rsidRPr="00636CC2" w:rsidRDefault="0097090C" w:rsidP="0097090C">
            <w:pPr>
              <w:jc w:val="center"/>
              <w:rPr>
                <w:rFonts w:cs="Arial"/>
                <w:sz w:val="18"/>
                <w:szCs w:val="18"/>
              </w:rPr>
            </w:pPr>
          </w:p>
        </w:tc>
        <w:tc>
          <w:tcPr>
            <w:tcW w:w="1600" w:type="dxa"/>
            <w:tcBorders>
              <w:top w:val="nil"/>
              <w:left w:val="nil"/>
              <w:bottom w:val="nil"/>
              <w:right w:val="nil"/>
            </w:tcBorders>
            <w:shd w:val="clear" w:color="000000" w:fill="D9D9D9"/>
            <w:noWrap/>
            <w:vAlign w:val="bottom"/>
            <w:hideMark/>
          </w:tcPr>
          <w:p w14:paraId="39AD0BB8" w14:textId="77777777" w:rsidR="0097090C" w:rsidRPr="00636CC2" w:rsidRDefault="0097090C" w:rsidP="0097090C">
            <w:pPr>
              <w:rPr>
                <w:rFonts w:cs="Arial"/>
                <w:sz w:val="18"/>
                <w:szCs w:val="18"/>
              </w:rPr>
            </w:pPr>
            <w:r w:rsidRPr="00636CC2">
              <w:rPr>
                <w:rFonts w:cs="Arial"/>
                <w:sz w:val="18"/>
                <w:szCs w:val="18"/>
              </w:rPr>
              <w:t> </w:t>
            </w:r>
          </w:p>
        </w:tc>
        <w:tc>
          <w:tcPr>
            <w:tcW w:w="1620" w:type="dxa"/>
            <w:tcBorders>
              <w:top w:val="nil"/>
              <w:left w:val="nil"/>
              <w:bottom w:val="nil"/>
              <w:right w:val="nil"/>
            </w:tcBorders>
            <w:shd w:val="clear" w:color="auto" w:fill="auto"/>
            <w:noWrap/>
            <w:vAlign w:val="bottom"/>
            <w:hideMark/>
          </w:tcPr>
          <w:p w14:paraId="3EA761CB" w14:textId="77777777" w:rsidR="0097090C" w:rsidRPr="00636CC2" w:rsidRDefault="0097090C" w:rsidP="0097090C">
            <w:pPr>
              <w:rPr>
                <w:rFonts w:cs="Arial"/>
                <w:sz w:val="18"/>
                <w:szCs w:val="18"/>
              </w:rPr>
            </w:pPr>
          </w:p>
        </w:tc>
        <w:tc>
          <w:tcPr>
            <w:tcW w:w="1460" w:type="dxa"/>
            <w:tcBorders>
              <w:top w:val="nil"/>
              <w:left w:val="nil"/>
              <w:bottom w:val="nil"/>
              <w:right w:val="nil"/>
            </w:tcBorders>
            <w:shd w:val="clear" w:color="000000" w:fill="D9D9D9"/>
            <w:noWrap/>
            <w:vAlign w:val="bottom"/>
            <w:hideMark/>
          </w:tcPr>
          <w:p w14:paraId="365F7B51" w14:textId="77777777" w:rsidR="0097090C" w:rsidRPr="00636CC2" w:rsidRDefault="0097090C" w:rsidP="0097090C">
            <w:pPr>
              <w:rPr>
                <w:rFonts w:cs="Arial"/>
                <w:sz w:val="18"/>
                <w:szCs w:val="18"/>
              </w:rPr>
            </w:pPr>
            <w:r w:rsidRPr="00636CC2">
              <w:rPr>
                <w:rFonts w:cs="Arial"/>
                <w:sz w:val="18"/>
                <w:szCs w:val="18"/>
              </w:rPr>
              <w:t> </w:t>
            </w:r>
          </w:p>
        </w:tc>
        <w:tc>
          <w:tcPr>
            <w:tcW w:w="1220" w:type="dxa"/>
            <w:tcBorders>
              <w:top w:val="nil"/>
              <w:left w:val="nil"/>
              <w:bottom w:val="nil"/>
              <w:right w:val="nil"/>
            </w:tcBorders>
            <w:shd w:val="clear" w:color="auto" w:fill="auto"/>
            <w:noWrap/>
            <w:vAlign w:val="bottom"/>
            <w:hideMark/>
          </w:tcPr>
          <w:p w14:paraId="080AB2B6" w14:textId="77777777" w:rsidR="0097090C" w:rsidRPr="00636CC2" w:rsidRDefault="0097090C" w:rsidP="0097090C">
            <w:pPr>
              <w:rPr>
                <w:rFonts w:cs="Arial"/>
                <w:sz w:val="18"/>
                <w:szCs w:val="18"/>
              </w:rPr>
            </w:pPr>
          </w:p>
        </w:tc>
      </w:tr>
      <w:tr w:rsidR="0097090C" w:rsidRPr="00636CC2" w14:paraId="5A355C8A" w14:textId="77777777" w:rsidTr="0097090C">
        <w:trPr>
          <w:trHeight w:val="240"/>
        </w:trPr>
        <w:tc>
          <w:tcPr>
            <w:tcW w:w="3300" w:type="dxa"/>
            <w:tcBorders>
              <w:top w:val="nil"/>
              <w:left w:val="nil"/>
              <w:bottom w:val="nil"/>
              <w:right w:val="nil"/>
            </w:tcBorders>
            <w:shd w:val="clear" w:color="auto" w:fill="auto"/>
            <w:noWrap/>
            <w:vAlign w:val="bottom"/>
            <w:hideMark/>
          </w:tcPr>
          <w:p w14:paraId="6DC794DC" w14:textId="77777777" w:rsidR="0097090C" w:rsidRPr="00636CC2" w:rsidRDefault="0097090C" w:rsidP="0097090C">
            <w:pPr>
              <w:rPr>
                <w:rFonts w:cs="Arial"/>
                <w:sz w:val="18"/>
                <w:szCs w:val="18"/>
              </w:rPr>
            </w:pPr>
            <w:r w:rsidRPr="00636CC2">
              <w:rPr>
                <w:rFonts w:cs="Arial"/>
                <w:sz w:val="18"/>
                <w:szCs w:val="18"/>
              </w:rPr>
              <w:t xml:space="preserve">   Lease liabilities</w:t>
            </w:r>
          </w:p>
        </w:tc>
        <w:tc>
          <w:tcPr>
            <w:tcW w:w="687" w:type="dxa"/>
            <w:tcBorders>
              <w:top w:val="nil"/>
              <w:left w:val="nil"/>
              <w:bottom w:val="nil"/>
              <w:right w:val="nil"/>
            </w:tcBorders>
            <w:shd w:val="clear" w:color="auto" w:fill="auto"/>
            <w:noWrap/>
            <w:vAlign w:val="bottom"/>
            <w:hideMark/>
          </w:tcPr>
          <w:p w14:paraId="1CA6AA5E" w14:textId="77777777" w:rsidR="0097090C" w:rsidRPr="00636CC2" w:rsidRDefault="0097090C" w:rsidP="0097090C">
            <w:pPr>
              <w:jc w:val="center"/>
              <w:rPr>
                <w:rFonts w:cs="Arial"/>
                <w:sz w:val="18"/>
                <w:szCs w:val="18"/>
              </w:rPr>
            </w:pPr>
            <w:r w:rsidRPr="00636CC2">
              <w:rPr>
                <w:rFonts w:cs="Arial"/>
                <w:sz w:val="18"/>
                <w:szCs w:val="18"/>
              </w:rPr>
              <w:t>11</w:t>
            </w:r>
          </w:p>
        </w:tc>
        <w:tc>
          <w:tcPr>
            <w:tcW w:w="1600" w:type="dxa"/>
            <w:tcBorders>
              <w:top w:val="nil"/>
              <w:left w:val="nil"/>
              <w:bottom w:val="nil"/>
              <w:right w:val="nil"/>
            </w:tcBorders>
            <w:shd w:val="clear" w:color="000000" w:fill="D9D9D9"/>
            <w:noWrap/>
            <w:vAlign w:val="bottom"/>
            <w:hideMark/>
          </w:tcPr>
          <w:p w14:paraId="40E2A819"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nil"/>
              <w:left w:val="nil"/>
              <w:bottom w:val="nil"/>
              <w:right w:val="nil"/>
            </w:tcBorders>
            <w:shd w:val="clear" w:color="auto" w:fill="auto"/>
            <w:noWrap/>
            <w:vAlign w:val="bottom"/>
            <w:hideMark/>
          </w:tcPr>
          <w:p w14:paraId="525799A7"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nil"/>
              <w:left w:val="nil"/>
              <w:bottom w:val="nil"/>
              <w:right w:val="nil"/>
            </w:tcBorders>
            <w:shd w:val="clear" w:color="000000" w:fill="D9D9D9"/>
            <w:noWrap/>
            <w:vAlign w:val="bottom"/>
            <w:hideMark/>
          </w:tcPr>
          <w:p w14:paraId="05AE7BF4" w14:textId="77777777" w:rsidR="0097090C" w:rsidRPr="00636CC2" w:rsidRDefault="0097090C" w:rsidP="0097090C">
            <w:pPr>
              <w:jc w:val="right"/>
              <w:rPr>
                <w:rFonts w:cs="Arial"/>
                <w:sz w:val="18"/>
                <w:szCs w:val="18"/>
              </w:rPr>
            </w:pPr>
            <w:r w:rsidRPr="00636CC2">
              <w:rPr>
                <w:rFonts w:cs="Arial"/>
                <w:sz w:val="18"/>
                <w:szCs w:val="18"/>
              </w:rPr>
              <w:t>274</w:t>
            </w:r>
          </w:p>
        </w:tc>
        <w:tc>
          <w:tcPr>
            <w:tcW w:w="1220" w:type="dxa"/>
            <w:tcBorders>
              <w:top w:val="nil"/>
              <w:left w:val="nil"/>
              <w:bottom w:val="nil"/>
              <w:right w:val="nil"/>
            </w:tcBorders>
            <w:shd w:val="clear" w:color="auto" w:fill="auto"/>
            <w:noWrap/>
            <w:vAlign w:val="bottom"/>
            <w:hideMark/>
          </w:tcPr>
          <w:p w14:paraId="11D602C8" w14:textId="77777777" w:rsidR="0097090C" w:rsidRPr="00636CC2" w:rsidRDefault="0097090C" w:rsidP="0097090C">
            <w:pPr>
              <w:jc w:val="right"/>
              <w:rPr>
                <w:rFonts w:cs="Arial"/>
                <w:sz w:val="18"/>
                <w:szCs w:val="18"/>
              </w:rPr>
            </w:pPr>
            <w:r w:rsidRPr="00636CC2">
              <w:rPr>
                <w:rFonts w:cs="Arial"/>
                <w:sz w:val="18"/>
                <w:szCs w:val="18"/>
              </w:rPr>
              <w:t>274</w:t>
            </w:r>
          </w:p>
        </w:tc>
      </w:tr>
      <w:tr w:rsidR="0097090C" w:rsidRPr="00636CC2" w14:paraId="2448DFE0" w14:textId="77777777" w:rsidTr="0097090C">
        <w:trPr>
          <w:trHeight w:val="240"/>
        </w:trPr>
        <w:tc>
          <w:tcPr>
            <w:tcW w:w="3300" w:type="dxa"/>
            <w:tcBorders>
              <w:top w:val="single" w:sz="4" w:space="0" w:color="auto"/>
              <w:left w:val="nil"/>
              <w:bottom w:val="single" w:sz="4" w:space="0" w:color="auto"/>
              <w:right w:val="nil"/>
            </w:tcBorders>
            <w:shd w:val="clear" w:color="auto" w:fill="auto"/>
            <w:vAlign w:val="bottom"/>
            <w:hideMark/>
          </w:tcPr>
          <w:p w14:paraId="4C2C0894" w14:textId="77777777" w:rsidR="0097090C" w:rsidRPr="00636CC2" w:rsidRDefault="0097090C" w:rsidP="0097090C">
            <w:pPr>
              <w:rPr>
                <w:rFonts w:cs="Arial"/>
                <w:b/>
                <w:bCs/>
                <w:sz w:val="18"/>
                <w:szCs w:val="18"/>
              </w:rPr>
            </w:pPr>
            <w:r w:rsidRPr="00636CC2">
              <w:rPr>
                <w:rFonts w:cs="Arial"/>
                <w:b/>
                <w:bCs/>
                <w:sz w:val="18"/>
                <w:szCs w:val="18"/>
              </w:rPr>
              <w:t>Total contractual financial liabilities</w:t>
            </w:r>
          </w:p>
        </w:tc>
        <w:tc>
          <w:tcPr>
            <w:tcW w:w="687" w:type="dxa"/>
            <w:tcBorders>
              <w:top w:val="single" w:sz="4" w:space="0" w:color="auto"/>
              <w:left w:val="nil"/>
              <w:bottom w:val="single" w:sz="4" w:space="0" w:color="auto"/>
              <w:right w:val="nil"/>
            </w:tcBorders>
            <w:shd w:val="clear" w:color="auto" w:fill="auto"/>
            <w:vAlign w:val="bottom"/>
            <w:hideMark/>
          </w:tcPr>
          <w:p w14:paraId="5051E590" w14:textId="77777777" w:rsidR="0097090C" w:rsidRPr="00636CC2" w:rsidRDefault="0097090C" w:rsidP="0097090C">
            <w:pPr>
              <w:jc w:val="center"/>
              <w:rPr>
                <w:rFonts w:cs="Arial"/>
                <w:b/>
                <w:bCs/>
                <w:sz w:val="18"/>
                <w:szCs w:val="18"/>
              </w:rPr>
            </w:pPr>
            <w:r w:rsidRPr="00636CC2">
              <w:rPr>
                <w:rFonts w:cs="Arial"/>
                <w:b/>
                <w:bCs/>
                <w:sz w:val="18"/>
                <w:szCs w:val="18"/>
              </w:rPr>
              <w:t> </w:t>
            </w:r>
          </w:p>
        </w:tc>
        <w:tc>
          <w:tcPr>
            <w:tcW w:w="1600" w:type="dxa"/>
            <w:tcBorders>
              <w:top w:val="single" w:sz="4" w:space="0" w:color="auto"/>
              <w:left w:val="nil"/>
              <w:bottom w:val="single" w:sz="4" w:space="0" w:color="auto"/>
              <w:right w:val="nil"/>
            </w:tcBorders>
            <w:shd w:val="clear" w:color="000000" w:fill="D9D9D9"/>
            <w:noWrap/>
            <w:vAlign w:val="bottom"/>
            <w:hideMark/>
          </w:tcPr>
          <w:p w14:paraId="70E0B04F" w14:textId="77777777" w:rsidR="0097090C" w:rsidRPr="00636CC2" w:rsidRDefault="0097090C" w:rsidP="0097090C">
            <w:pPr>
              <w:jc w:val="right"/>
              <w:rPr>
                <w:rFonts w:cs="Arial"/>
                <w:sz w:val="18"/>
                <w:szCs w:val="18"/>
              </w:rPr>
            </w:pPr>
            <w:r w:rsidRPr="00636CC2">
              <w:rPr>
                <w:rFonts w:cs="Arial"/>
                <w:sz w:val="18"/>
                <w:szCs w:val="18"/>
              </w:rPr>
              <w:t>0</w:t>
            </w:r>
          </w:p>
        </w:tc>
        <w:tc>
          <w:tcPr>
            <w:tcW w:w="1620" w:type="dxa"/>
            <w:tcBorders>
              <w:top w:val="single" w:sz="4" w:space="0" w:color="auto"/>
              <w:left w:val="nil"/>
              <w:bottom w:val="single" w:sz="4" w:space="0" w:color="auto"/>
              <w:right w:val="nil"/>
            </w:tcBorders>
            <w:shd w:val="clear" w:color="auto" w:fill="auto"/>
            <w:noWrap/>
            <w:vAlign w:val="bottom"/>
            <w:hideMark/>
          </w:tcPr>
          <w:p w14:paraId="76D8AF39" w14:textId="77777777" w:rsidR="0097090C" w:rsidRPr="00636CC2" w:rsidRDefault="0097090C" w:rsidP="0097090C">
            <w:pPr>
              <w:jc w:val="right"/>
              <w:rPr>
                <w:rFonts w:cs="Arial"/>
                <w:sz w:val="18"/>
                <w:szCs w:val="18"/>
              </w:rPr>
            </w:pPr>
            <w:r w:rsidRPr="00636CC2">
              <w:rPr>
                <w:rFonts w:cs="Arial"/>
                <w:sz w:val="18"/>
                <w:szCs w:val="18"/>
              </w:rPr>
              <w:t>0</w:t>
            </w:r>
          </w:p>
        </w:tc>
        <w:tc>
          <w:tcPr>
            <w:tcW w:w="1460" w:type="dxa"/>
            <w:tcBorders>
              <w:top w:val="single" w:sz="4" w:space="0" w:color="auto"/>
              <w:left w:val="nil"/>
              <w:bottom w:val="single" w:sz="4" w:space="0" w:color="auto"/>
              <w:right w:val="nil"/>
            </w:tcBorders>
            <w:shd w:val="clear" w:color="000000" w:fill="D9D9D9"/>
            <w:noWrap/>
            <w:vAlign w:val="bottom"/>
            <w:hideMark/>
          </w:tcPr>
          <w:p w14:paraId="71C70687" w14:textId="77777777" w:rsidR="0097090C" w:rsidRPr="00636CC2" w:rsidRDefault="0097090C" w:rsidP="0097090C">
            <w:pPr>
              <w:jc w:val="right"/>
              <w:rPr>
                <w:rFonts w:cs="Arial"/>
                <w:sz w:val="18"/>
                <w:szCs w:val="18"/>
              </w:rPr>
            </w:pPr>
            <w:r w:rsidRPr="00636CC2">
              <w:rPr>
                <w:rFonts w:cs="Arial"/>
                <w:sz w:val="18"/>
                <w:szCs w:val="18"/>
              </w:rPr>
              <w:t>6,769</w:t>
            </w:r>
          </w:p>
        </w:tc>
        <w:tc>
          <w:tcPr>
            <w:tcW w:w="1220" w:type="dxa"/>
            <w:tcBorders>
              <w:top w:val="single" w:sz="4" w:space="0" w:color="auto"/>
              <w:left w:val="nil"/>
              <w:bottom w:val="single" w:sz="4" w:space="0" w:color="auto"/>
              <w:right w:val="nil"/>
            </w:tcBorders>
            <w:shd w:val="clear" w:color="auto" w:fill="auto"/>
            <w:noWrap/>
            <w:vAlign w:val="bottom"/>
            <w:hideMark/>
          </w:tcPr>
          <w:p w14:paraId="7B526DBD" w14:textId="77777777" w:rsidR="0097090C" w:rsidRPr="00636CC2" w:rsidRDefault="0097090C" w:rsidP="0097090C">
            <w:pPr>
              <w:jc w:val="right"/>
              <w:rPr>
                <w:rFonts w:cs="Arial"/>
                <w:sz w:val="18"/>
                <w:szCs w:val="18"/>
              </w:rPr>
            </w:pPr>
            <w:r w:rsidRPr="00636CC2">
              <w:rPr>
                <w:rFonts w:cs="Arial"/>
                <w:sz w:val="18"/>
                <w:szCs w:val="18"/>
              </w:rPr>
              <w:t>6,769</w:t>
            </w:r>
          </w:p>
        </w:tc>
      </w:tr>
    </w:tbl>
    <w:p w14:paraId="1AC163BA" w14:textId="77777777" w:rsidR="0097090C" w:rsidRDefault="0097090C" w:rsidP="0097090C">
      <w:pPr>
        <w:tabs>
          <w:tab w:val="num" w:pos="2340"/>
        </w:tabs>
        <w:spacing w:after="60"/>
        <w:rPr>
          <w:rFonts w:cs="Arial"/>
          <w:b/>
        </w:rPr>
      </w:pPr>
    </w:p>
    <w:p w14:paraId="081B97C3" w14:textId="77777777" w:rsidR="0097090C" w:rsidRPr="00BC2D27" w:rsidRDefault="0097090C" w:rsidP="0097090C">
      <w:pPr>
        <w:tabs>
          <w:tab w:val="num" w:pos="2340"/>
        </w:tabs>
        <w:spacing w:after="60"/>
        <w:rPr>
          <w:rFonts w:cs="Arial"/>
          <w:sz w:val="21"/>
          <w:szCs w:val="21"/>
        </w:rPr>
      </w:pPr>
      <w:r w:rsidRPr="00BC2D27">
        <w:rPr>
          <w:rFonts w:cs="Arial"/>
          <w:sz w:val="21"/>
          <w:szCs w:val="21"/>
        </w:rPr>
        <w:t>** Payables excludes statutory payables</w:t>
      </w:r>
    </w:p>
    <w:p w14:paraId="2599C85E" w14:textId="77777777" w:rsidR="0097090C" w:rsidRDefault="0097090C" w:rsidP="0097090C">
      <w:pPr>
        <w:tabs>
          <w:tab w:val="num" w:pos="2340"/>
        </w:tabs>
        <w:spacing w:after="60"/>
        <w:rPr>
          <w:rFonts w:cs="Arial"/>
          <w:b/>
        </w:rPr>
      </w:pPr>
    </w:p>
    <w:p w14:paraId="17A87E4A" w14:textId="77777777" w:rsidR="0097090C" w:rsidRPr="001F751F" w:rsidRDefault="0097090C" w:rsidP="0097090C">
      <w:pPr>
        <w:pStyle w:val="Heading5"/>
        <w:numPr>
          <w:ilvl w:val="0"/>
          <w:numId w:val="35"/>
        </w:numPr>
      </w:pPr>
      <w:r w:rsidRPr="001F751F">
        <w:t>Credit Risk</w:t>
      </w:r>
      <w:r w:rsidRPr="001F751F">
        <w:tab/>
      </w:r>
    </w:p>
    <w:p w14:paraId="3601A2F1" w14:textId="77777777" w:rsidR="0097090C" w:rsidRPr="00A110CA" w:rsidRDefault="0097090C" w:rsidP="0097090C">
      <w:r w:rsidRPr="00A110CA">
        <w:t xml:space="preserve">Credit risk arises from the contractual financial assets of the entity, which comprise cash and cash </w:t>
      </w:r>
      <w:r>
        <w:t>deposits</w:t>
      </w:r>
      <w:r w:rsidRPr="00A110CA">
        <w:t>, and trade and other receivables. The entity’s exposure to credit risk arises from the potential default of the counter party on their contractual obligations resulting in financial loss to the entity. Credit risk is measured at fair value and is monitored on a regular basis.</w:t>
      </w:r>
    </w:p>
    <w:p w14:paraId="77D4CB05" w14:textId="77777777" w:rsidR="0097090C" w:rsidRPr="00A110CA" w:rsidRDefault="0097090C" w:rsidP="0097090C"/>
    <w:p w14:paraId="397D65FE" w14:textId="77777777" w:rsidR="0097090C" w:rsidRPr="00A110CA" w:rsidRDefault="0097090C" w:rsidP="0097090C">
      <w:pPr>
        <w:rPr>
          <w:rFonts w:cs="Arial"/>
        </w:rPr>
      </w:pPr>
      <w:r w:rsidRPr="00A110CA">
        <w:t xml:space="preserve">The maximum exposure to credit risk on financial assets which have been recognised on the Balance Sheet is the carrying amount, net of any provisions for doubtful debts, </w:t>
      </w:r>
      <w:r w:rsidRPr="00A110CA">
        <w:rPr>
          <w:rFonts w:cs="Arial"/>
        </w:rPr>
        <w:t>without taking into account of the value of any collateral obtained. The entity follows a process of reviewing all trade debtors during the year to identify doubtful debts or other possible impairments.</w:t>
      </w:r>
    </w:p>
    <w:p w14:paraId="1ABE9FC3" w14:textId="77777777" w:rsidR="0097090C" w:rsidRPr="00A110CA" w:rsidRDefault="0097090C" w:rsidP="0097090C"/>
    <w:p w14:paraId="1E03B131" w14:textId="77777777" w:rsidR="0097090C" w:rsidRPr="00A110CA" w:rsidRDefault="0097090C" w:rsidP="0097090C">
      <w:r w:rsidRPr="00A110CA">
        <w:t>Currently Museum Victoria does not hold any collateral as security nor credit enhancements relating to any of its financial assets.</w:t>
      </w:r>
    </w:p>
    <w:p w14:paraId="0EB164DE" w14:textId="77777777" w:rsidR="0097090C" w:rsidRPr="00A110CA" w:rsidRDefault="0097090C" w:rsidP="0097090C"/>
    <w:p w14:paraId="467757BD" w14:textId="77777777" w:rsidR="0097090C" w:rsidRDefault="0097090C" w:rsidP="0097090C">
      <w:pPr>
        <w:rPr>
          <w:rFonts w:cs="Arial"/>
        </w:rPr>
      </w:pPr>
      <w:r w:rsidRPr="00A110CA">
        <w:rPr>
          <w:rFonts w:cs="Arial"/>
        </w:rPr>
        <w:t>There are no financial assets that have had their terms renegotiated so as to prevent them from being past due or impaired, and they are stated at the carrying amounts as indicated.</w:t>
      </w:r>
    </w:p>
    <w:p w14:paraId="6B6DC540" w14:textId="77777777" w:rsidR="0097090C" w:rsidRDefault="0097090C" w:rsidP="0097090C">
      <w:pPr>
        <w:rPr>
          <w:rFonts w:cs="Arial"/>
        </w:rPr>
      </w:pPr>
    </w:p>
    <w:tbl>
      <w:tblPr>
        <w:tblW w:w="9600" w:type="dxa"/>
        <w:tblInd w:w="93" w:type="dxa"/>
        <w:tblLook w:val="04A0" w:firstRow="1" w:lastRow="0" w:firstColumn="1" w:lastColumn="0" w:noHBand="0" w:noVBand="1"/>
      </w:tblPr>
      <w:tblGrid>
        <w:gridCol w:w="4480"/>
        <w:gridCol w:w="1000"/>
        <w:gridCol w:w="1060"/>
        <w:gridCol w:w="1060"/>
        <w:gridCol w:w="1060"/>
        <w:gridCol w:w="940"/>
      </w:tblGrid>
      <w:tr w:rsidR="0097090C" w:rsidRPr="00636CC2" w14:paraId="054C9E96" w14:textId="77777777" w:rsidTr="0097090C">
        <w:trPr>
          <w:trHeight w:val="240"/>
        </w:trPr>
        <w:tc>
          <w:tcPr>
            <w:tcW w:w="4480" w:type="dxa"/>
            <w:tcBorders>
              <w:top w:val="nil"/>
              <w:left w:val="nil"/>
              <w:bottom w:val="single" w:sz="4" w:space="0" w:color="auto"/>
              <w:right w:val="nil"/>
            </w:tcBorders>
            <w:shd w:val="clear" w:color="auto" w:fill="auto"/>
            <w:noWrap/>
            <w:vAlign w:val="bottom"/>
            <w:hideMark/>
          </w:tcPr>
          <w:p w14:paraId="6D350F0D" w14:textId="77777777" w:rsidR="0097090C" w:rsidRPr="00636CC2" w:rsidRDefault="0097090C" w:rsidP="0097090C">
            <w:pPr>
              <w:rPr>
                <w:rFonts w:cs="Arial"/>
                <w:b/>
                <w:bCs/>
                <w:sz w:val="18"/>
                <w:szCs w:val="18"/>
              </w:rPr>
            </w:pPr>
            <w:r w:rsidRPr="00636CC2">
              <w:rPr>
                <w:rFonts w:cs="Arial"/>
                <w:b/>
                <w:bCs/>
                <w:sz w:val="18"/>
                <w:szCs w:val="18"/>
              </w:rPr>
              <w:t>Ageing analysis of contractual financial assets</w:t>
            </w:r>
          </w:p>
        </w:tc>
        <w:tc>
          <w:tcPr>
            <w:tcW w:w="1000" w:type="dxa"/>
            <w:tcBorders>
              <w:top w:val="nil"/>
              <w:left w:val="nil"/>
              <w:bottom w:val="single" w:sz="4" w:space="0" w:color="auto"/>
              <w:right w:val="nil"/>
            </w:tcBorders>
            <w:shd w:val="clear" w:color="auto" w:fill="auto"/>
            <w:noWrap/>
            <w:vAlign w:val="bottom"/>
            <w:hideMark/>
          </w:tcPr>
          <w:p w14:paraId="278F47A8"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single" w:sz="4" w:space="0" w:color="auto"/>
              <w:right w:val="nil"/>
            </w:tcBorders>
            <w:shd w:val="clear" w:color="auto" w:fill="auto"/>
            <w:noWrap/>
            <w:vAlign w:val="bottom"/>
            <w:hideMark/>
          </w:tcPr>
          <w:p w14:paraId="3EBCBB18"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single" w:sz="4" w:space="0" w:color="auto"/>
              <w:right w:val="nil"/>
            </w:tcBorders>
            <w:shd w:val="clear" w:color="auto" w:fill="auto"/>
            <w:noWrap/>
            <w:vAlign w:val="bottom"/>
            <w:hideMark/>
          </w:tcPr>
          <w:p w14:paraId="696250FF" w14:textId="77777777" w:rsidR="0097090C" w:rsidRPr="00636CC2" w:rsidRDefault="0097090C" w:rsidP="0097090C">
            <w:pPr>
              <w:rPr>
                <w:rFonts w:cs="Arial"/>
                <w:b/>
                <w:bCs/>
                <w:i/>
                <w:iCs/>
                <w:sz w:val="18"/>
                <w:szCs w:val="18"/>
              </w:rPr>
            </w:pPr>
            <w:r w:rsidRPr="00636CC2">
              <w:rPr>
                <w:rFonts w:cs="Arial"/>
                <w:b/>
                <w:bCs/>
                <w:i/>
                <w:iCs/>
                <w:sz w:val="18"/>
                <w:szCs w:val="18"/>
              </w:rPr>
              <w:t> </w:t>
            </w:r>
          </w:p>
        </w:tc>
        <w:tc>
          <w:tcPr>
            <w:tcW w:w="1060" w:type="dxa"/>
            <w:tcBorders>
              <w:top w:val="nil"/>
              <w:left w:val="nil"/>
              <w:bottom w:val="single" w:sz="4" w:space="0" w:color="auto"/>
              <w:right w:val="nil"/>
            </w:tcBorders>
            <w:shd w:val="clear" w:color="auto" w:fill="auto"/>
            <w:noWrap/>
            <w:vAlign w:val="bottom"/>
            <w:hideMark/>
          </w:tcPr>
          <w:p w14:paraId="7BCA3933" w14:textId="77777777" w:rsidR="0097090C" w:rsidRPr="00636CC2" w:rsidRDefault="0097090C" w:rsidP="0097090C">
            <w:pPr>
              <w:rPr>
                <w:rFonts w:cs="Arial"/>
                <w:sz w:val="18"/>
                <w:szCs w:val="18"/>
              </w:rPr>
            </w:pPr>
            <w:r w:rsidRPr="00636CC2">
              <w:rPr>
                <w:rFonts w:cs="Arial"/>
                <w:sz w:val="18"/>
                <w:szCs w:val="18"/>
              </w:rPr>
              <w:t> </w:t>
            </w:r>
          </w:p>
        </w:tc>
        <w:tc>
          <w:tcPr>
            <w:tcW w:w="940" w:type="dxa"/>
            <w:tcBorders>
              <w:top w:val="nil"/>
              <w:left w:val="nil"/>
              <w:bottom w:val="single" w:sz="4" w:space="0" w:color="auto"/>
              <w:right w:val="nil"/>
            </w:tcBorders>
            <w:shd w:val="clear" w:color="auto" w:fill="auto"/>
            <w:noWrap/>
            <w:vAlign w:val="bottom"/>
            <w:hideMark/>
          </w:tcPr>
          <w:p w14:paraId="18014F51" w14:textId="77777777" w:rsidR="0097090C" w:rsidRPr="00636CC2" w:rsidRDefault="0097090C" w:rsidP="0097090C">
            <w:pPr>
              <w:jc w:val="right"/>
              <w:rPr>
                <w:rFonts w:cs="Arial"/>
                <w:b/>
                <w:bCs/>
                <w:i/>
                <w:iCs/>
                <w:sz w:val="18"/>
                <w:szCs w:val="18"/>
              </w:rPr>
            </w:pPr>
            <w:r w:rsidRPr="00636CC2">
              <w:rPr>
                <w:rFonts w:cs="Arial"/>
                <w:b/>
                <w:bCs/>
                <w:i/>
                <w:iCs/>
                <w:sz w:val="18"/>
                <w:szCs w:val="18"/>
              </w:rPr>
              <w:t>$ '000</w:t>
            </w:r>
          </w:p>
        </w:tc>
      </w:tr>
      <w:tr w:rsidR="0097090C" w:rsidRPr="00636CC2" w14:paraId="4BBA5A6F" w14:textId="77777777" w:rsidTr="0097090C">
        <w:trPr>
          <w:trHeight w:val="770"/>
        </w:trPr>
        <w:tc>
          <w:tcPr>
            <w:tcW w:w="4480" w:type="dxa"/>
            <w:tcBorders>
              <w:top w:val="nil"/>
              <w:left w:val="nil"/>
              <w:bottom w:val="nil"/>
              <w:right w:val="nil"/>
            </w:tcBorders>
            <w:shd w:val="clear" w:color="auto" w:fill="auto"/>
            <w:noWrap/>
            <w:vAlign w:val="bottom"/>
            <w:hideMark/>
          </w:tcPr>
          <w:p w14:paraId="676C90E5" w14:textId="77777777" w:rsidR="0097090C" w:rsidRPr="00636CC2" w:rsidRDefault="0097090C" w:rsidP="0097090C">
            <w:pPr>
              <w:rPr>
                <w:rFonts w:cs="Arial"/>
                <w:b/>
                <w:bCs/>
                <w:sz w:val="18"/>
                <w:szCs w:val="18"/>
              </w:rPr>
            </w:pPr>
            <w:r w:rsidRPr="00636CC2">
              <w:rPr>
                <w:rFonts w:cs="Arial"/>
                <w:b/>
                <w:bCs/>
                <w:sz w:val="18"/>
                <w:szCs w:val="18"/>
              </w:rPr>
              <w:t> </w:t>
            </w:r>
          </w:p>
        </w:tc>
        <w:tc>
          <w:tcPr>
            <w:tcW w:w="1000" w:type="dxa"/>
            <w:tcBorders>
              <w:top w:val="nil"/>
              <w:left w:val="nil"/>
              <w:bottom w:val="nil"/>
              <w:right w:val="nil"/>
            </w:tcBorders>
            <w:shd w:val="clear" w:color="000000" w:fill="D9D9D9"/>
            <w:hideMark/>
          </w:tcPr>
          <w:p w14:paraId="4AFF8811" w14:textId="77777777" w:rsidR="0097090C" w:rsidRPr="00636CC2" w:rsidRDefault="0097090C" w:rsidP="0097090C">
            <w:pPr>
              <w:jc w:val="center"/>
              <w:rPr>
                <w:rFonts w:cs="Arial"/>
                <w:sz w:val="18"/>
                <w:szCs w:val="18"/>
              </w:rPr>
            </w:pPr>
            <w:r w:rsidRPr="00636CC2">
              <w:rPr>
                <w:rFonts w:cs="Arial"/>
                <w:sz w:val="18"/>
                <w:szCs w:val="18"/>
              </w:rPr>
              <w:t>Carrying amount</w:t>
            </w:r>
          </w:p>
        </w:tc>
        <w:tc>
          <w:tcPr>
            <w:tcW w:w="1060" w:type="dxa"/>
            <w:tcBorders>
              <w:top w:val="nil"/>
              <w:left w:val="nil"/>
              <w:bottom w:val="nil"/>
              <w:right w:val="nil"/>
            </w:tcBorders>
            <w:shd w:val="clear" w:color="auto" w:fill="auto"/>
            <w:hideMark/>
          </w:tcPr>
          <w:p w14:paraId="4813DD13" w14:textId="77777777" w:rsidR="0097090C" w:rsidRPr="00636CC2" w:rsidRDefault="0097090C" w:rsidP="0097090C">
            <w:pPr>
              <w:rPr>
                <w:rFonts w:cs="Arial"/>
                <w:sz w:val="18"/>
                <w:szCs w:val="18"/>
              </w:rPr>
            </w:pPr>
            <w:r w:rsidRPr="00636CC2">
              <w:rPr>
                <w:rFonts w:cs="Arial"/>
                <w:sz w:val="18"/>
                <w:szCs w:val="18"/>
              </w:rPr>
              <w:t>Not past due and not impaired</w:t>
            </w:r>
          </w:p>
        </w:tc>
        <w:tc>
          <w:tcPr>
            <w:tcW w:w="2120" w:type="dxa"/>
            <w:gridSpan w:val="2"/>
            <w:tcBorders>
              <w:top w:val="single" w:sz="4" w:space="0" w:color="auto"/>
              <w:left w:val="nil"/>
              <w:bottom w:val="single" w:sz="4" w:space="0" w:color="auto"/>
              <w:right w:val="nil"/>
            </w:tcBorders>
            <w:shd w:val="clear" w:color="auto" w:fill="auto"/>
            <w:hideMark/>
          </w:tcPr>
          <w:p w14:paraId="3D150722" w14:textId="77777777" w:rsidR="0097090C" w:rsidRPr="00636CC2" w:rsidRDefault="0097090C" w:rsidP="0097090C">
            <w:pPr>
              <w:jc w:val="center"/>
              <w:rPr>
                <w:rFonts w:cs="Arial"/>
                <w:sz w:val="18"/>
                <w:szCs w:val="18"/>
              </w:rPr>
            </w:pPr>
            <w:r w:rsidRPr="00636CC2">
              <w:rPr>
                <w:rFonts w:cs="Arial"/>
                <w:sz w:val="18"/>
                <w:szCs w:val="18"/>
              </w:rPr>
              <w:t>Past due but not impaired</w:t>
            </w:r>
          </w:p>
        </w:tc>
        <w:tc>
          <w:tcPr>
            <w:tcW w:w="940" w:type="dxa"/>
            <w:tcBorders>
              <w:top w:val="nil"/>
              <w:left w:val="nil"/>
              <w:bottom w:val="single" w:sz="4" w:space="0" w:color="auto"/>
              <w:right w:val="nil"/>
            </w:tcBorders>
            <w:shd w:val="clear" w:color="000000" w:fill="D9D9D9"/>
            <w:vAlign w:val="bottom"/>
            <w:hideMark/>
          </w:tcPr>
          <w:p w14:paraId="6ABF6609" w14:textId="77777777" w:rsidR="0097090C" w:rsidRPr="00636CC2" w:rsidRDefault="0097090C" w:rsidP="0097090C">
            <w:pPr>
              <w:rPr>
                <w:rFonts w:cs="Arial"/>
                <w:sz w:val="18"/>
                <w:szCs w:val="18"/>
              </w:rPr>
            </w:pPr>
            <w:r w:rsidRPr="00636CC2">
              <w:rPr>
                <w:rFonts w:cs="Arial"/>
                <w:sz w:val="18"/>
                <w:szCs w:val="18"/>
              </w:rPr>
              <w:t>Impaired financial assets</w:t>
            </w:r>
          </w:p>
        </w:tc>
      </w:tr>
      <w:tr w:rsidR="0097090C" w:rsidRPr="00636CC2" w14:paraId="2F0178B7" w14:textId="77777777" w:rsidTr="0097090C">
        <w:trPr>
          <w:trHeight w:val="357"/>
        </w:trPr>
        <w:tc>
          <w:tcPr>
            <w:tcW w:w="4480" w:type="dxa"/>
            <w:tcBorders>
              <w:top w:val="nil"/>
              <w:left w:val="nil"/>
              <w:bottom w:val="single" w:sz="4" w:space="0" w:color="auto"/>
              <w:right w:val="nil"/>
            </w:tcBorders>
            <w:shd w:val="clear" w:color="auto" w:fill="auto"/>
            <w:noWrap/>
            <w:vAlign w:val="bottom"/>
            <w:hideMark/>
          </w:tcPr>
          <w:p w14:paraId="472C3522" w14:textId="77777777" w:rsidR="0097090C" w:rsidRPr="00636CC2" w:rsidRDefault="0097090C" w:rsidP="0097090C">
            <w:pPr>
              <w:rPr>
                <w:rFonts w:cs="Arial"/>
                <w:sz w:val="18"/>
                <w:szCs w:val="18"/>
              </w:rPr>
            </w:pPr>
            <w:r w:rsidRPr="00636CC2">
              <w:rPr>
                <w:rFonts w:cs="Arial"/>
                <w:sz w:val="18"/>
                <w:szCs w:val="18"/>
              </w:rPr>
              <w:t> </w:t>
            </w:r>
          </w:p>
        </w:tc>
        <w:tc>
          <w:tcPr>
            <w:tcW w:w="1000" w:type="dxa"/>
            <w:tcBorders>
              <w:top w:val="nil"/>
              <w:left w:val="nil"/>
              <w:bottom w:val="single" w:sz="4" w:space="0" w:color="auto"/>
              <w:right w:val="nil"/>
            </w:tcBorders>
            <w:shd w:val="clear" w:color="000000" w:fill="D9D9D9"/>
            <w:hideMark/>
          </w:tcPr>
          <w:p w14:paraId="05FF26E8"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single" w:sz="4" w:space="0" w:color="auto"/>
              <w:right w:val="nil"/>
            </w:tcBorders>
            <w:shd w:val="clear" w:color="auto" w:fill="auto"/>
            <w:hideMark/>
          </w:tcPr>
          <w:p w14:paraId="288445AF"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single" w:sz="4" w:space="0" w:color="auto"/>
              <w:right w:val="nil"/>
            </w:tcBorders>
            <w:shd w:val="clear" w:color="000000" w:fill="D9D9D9"/>
            <w:hideMark/>
          </w:tcPr>
          <w:p w14:paraId="75721546" w14:textId="77777777" w:rsidR="0097090C" w:rsidRPr="00636CC2" w:rsidRDefault="0097090C" w:rsidP="0097090C">
            <w:pPr>
              <w:rPr>
                <w:rFonts w:cs="Arial"/>
                <w:sz w:val="18"/>
                <w:szCs w:val="18"/>
              </w:rPr>
            </w:pPr>
            <w:r w:rsidRPr="00636CC2">
              <w:rPr>
                <w:rFonts w:cs="Arial"/>
                <w:sz w:val="18"/>
                <w:szCs w:val="18"/>
              </w:rPr>
              <w:t>less than 1 year</w:t>
            </w:r>
          </w:p>
        </w:tc>
        <w:tc>
          <w:tcPr>
            <w:tcW w:w="1060" w:type="dxa"/>
            <w:tcBorders>
              <w:top w:val="nil"/>
              <w:left w:val="nil"/>
              <w:bottom w:val="single" w:sz="4" w:space="0" w:color="auto"/>
              <w:right w:val="nil"/>
            </w:tcBorders>
            <w:shd w:val="clear" w:color="auto" w:fill="auto"/>
            <w:hideMark/>
          </w:tcPr>
          <w:p w14:paraId="34A7224E" w14:textId="77777777" w:rsidR="0097090C" w:rsidRPr="00636CC2" w:rsidRDefault="0097090C" w:rsidP="0097090C">
            <w:pPr>
              <w:rPr>
                <w:rFonts w:cs="Arial"/>
                <w:sz w:val="18"/>
                <w:szCs w:val="18"/>
              </w:rPr>
            </w:pPr>
            <w:r w:rsidRPr="00636CC2">
              <w:rPr>
                <w:rFonts w:cs="Arial"/>
                <w:sz w:val="18"/>
                <w:szCs w:val="18"/>
              </w:rPr>
              <w:t>1 - 5 years</w:t>
            </w:r>
          </w:p>
        </w:tc>
        <w:tc>
          <w:tcPr>
            <w:tcW w:w="940" w:type="dxa"/>
            <w:tcBorders>
              <w:top w:val="nil"/>
              <w:left w:val="nil"/>
              <w:bottom w:val="single" w:sz="4" w:space="0" w:color="auto"/>
              <w:right w:val="nil"/>
            </w:tcBorders>
            <w:shd w:val="clear" w:color="000000" w:fill="D9D9D9"/>
            <w:noWrap/>
            <w:vAlign w:val="bottom"/>
            <w:hideMark/>
          </w:tcPr>
          <w:p w14:paraId="0ADBD831"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5ABCED46" w14:textId="77777777" w:rsidTr="0097090C">
        <w:trPr>
          <w:trHeight w:val="240"/>
        </w:trPr>
        <w:tc>
          <w:tcPr>
            <w:tcW w:w="4480" w:type="dxa"/>
            <w:tcBorders>
              <w:top w:val="nil"/>
              <w:left w:val="nil"/>
              <w:bottom w:val="nil"/>
              <w:right w:val="nil"/>
            </w:tcBorders>
            <w:shd w:val="clear" w:color="auto" w:fill="auto"/>
            <w:noWrap/>
            <w:vAlign w:val="bottom"/>
            <w:hideMark/>
          </w:tcPr>
          <w:p w14:paraId="6680BEB3" w14:textId="77777777" w:rsidR="0097090C" w:rsidRPr="00636CC2" w:rsidRDefault="0097090C" w:rsidP="0097090C">
            <w:pPr>
              <w:rPr>
                <w:rFonts w:cs="Arial"/>
                <w:b/>
                <w:bCs/>
                <w:sz w:val="18"/>
                <w:szCs w:val="18"/>
              </w:rPr>
            </w:pPr>
            <w:r w:rsidRPr="00636CC2">
              <w:rPr>
                <w:rFonts w:cs="Arial"/>
                <w:b/>
                <w:bCs/>
                <w:sz w:val="18"/>
                <w:szCs w:val="18"/>
              </w:rPr>
              <w:t>2016</w:t>
            </w:r>
          </w:p>
        </w:tc>
        <w:tc>
          <w:tcPr>
            <w:tcW w:w="1000" w:type="dxa"/>
            <w:tcBorders>
              <w:top w:val="nil"/>
              <w:left w:val="nil"/>
              <w:bottom w:val="nil"/>
              <w:right w:val="nil"/>
            </w:tcBorders>
            <w:shd w:val="clear" w:color="000000" w:fill="D9D9D9"/>
            <w:hideMark/>
          </w:tcPr>
          <w:p w14:paraId="7420B809"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hideMark/>
          </w:tcPr>
          <w:p w14:paraId="26411766" w14:textId="77777777" w:rsidR="0097090C" w:rsidRPr="00636CC2" w:rsidRDefault="0097090C" w:rsidP="0097090C">
            <w:pPr>
              <w:rPr>
                <w:rFonts w:cs="Arial"/>
                <w:sz w:val="18"/>
                <w:szCs w:val="18"/>
              </w:rPr>
            </w:pPr>
          </w:p>
        </w:tc>
        <w:tc>
          <w:tcPr>
            <w:tcW w:w="1060" w:type="dxa"/>
            <w:tcBorders>
              <w:top w:val="nil"/>
              <w:left w:val="nil"/>
              <w:bottom w:val="nil"/>
              <w:right w:val="nil"/>
            </w:tcBorders>
            <w:shd w:val="clear" w:color="000000" w:fill="D9D9D9"/>
            <w:hideMark/>
          </w:tcPr>
          <w:p w14:paraId="2A2B6DB6"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hideMark/>
          </w:tcPr>
          <w:p w14:paraId="5F1CA7CC" w14:textId="77777777" w:rsidR="0097090C" w:rsidRPr="00636CC2" w:rsidRDefault="0097090C" w:rsidP="0097090C">
            <w:pPr>
              <w:rPr>
                <w:rFonts w:cs="Arial"/>
                <w:sz w:val="18"/>
                <w:szCs w:val="18"/>
              </w:rPr>
            </w:pPr>
          </w:p>
        </w:tc>
        <w:tc>
          <w:tcPr>
            <w:tcW w:w="940" w:type="dxa"/>
            <w:tcBorders>
              <w:top w:val="nil"/>
              <w:left w:val="nil"/>
              <w:bottom w:val="nil"/>
              <w:right w:val="nil"/>
            </w:tcBorders>
            <w:shd w:val="clear" w:color="000000" w:fill="D9D9D9"/>
            <w:noWrap/>
            <w:vAlign w:val="bottom"/>
            <w:hideMark/>
          </w:tcPr>
          <w:p w14:paraId="695E1E4A"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53EB83A3" w14:textId="77777777" w:rsidTr="0097090C">
        <w:trPr>
          <w:trHeight w:val="240"/>
        </w:trPr>
        <w:tc>
          <w:tcPr>
            <w:tcW w:w="4480" w:type="dxa"/>
            <w:tcBorders>
              <w:top w:val="nil"/>
              <w:left w:val="nil"/>
              <w:bottom w:val="nil"/>
              <w:right w:val="nil"/>
            </w:tcBorders>
            <w:shd w:val="clear" w:color="auto" w:fill="auto"/>
            <w:noWrap/>
            <w:vAlign w:val="bottom"/>
            <w:hideMark/>
          </w:tcPr>
          <w:p w14:paraId="1CE781F4" w14:textId="77777777" w:rsidR="0097090C" w:rsidRPr="00636CC2" w:rsidRDefault="0097090C" w:rsidP="0097090C">
            <w:pPr>
              <w:rPr>
                <w:rFonts w:cs="Arial"/>
                <w:sz w:val="18"/>
                <w:szCs w:val="18"/>
              </w:rPr>
            </w:pPr>
            <w:r w:rsidRPr="00636CC2">
              <w:rPr>
                <w:rFonts w:cs="Arial"/>
                <w:sz w:val="18"/>
                <w:szCs w:val="18"/>
              </w:rPr>
              <w:t>Cash</w:t>
            </w:r>
          </w:p>
        </w:tc>
        <w:tc>
          <w:tcPr>
            <w:tcW w:w="1000" w:type="dxa"/>
            <w:tcBorders>
              <w:top w:val="nil"/>
              <w:left w:val="nil"/>
              <w:bottom w:val="nil"/>
              <w:right w:val="nil"/>
            </w:tcBorders>
            <w:shd w:val="clear" w:color="000000" w:fill="D9D9D9"/>
            <w:noWrap/>
            <w:vAlign w:val="bottom"/>
            <w:hideMark/>
          </w:tcPr>
          <w:p w14:paraId="78713A37" w14:textId="77777777" w:rsidR="0097090C" w:rsidRPr="00636CC2" w:rsidRDefault="0097090C" w:rsidP="0097090C">
            <w:pPr>
              <w:jc w:val="right"/>
              <w:rPr>
                <w:rFonts w:cs="Arial"/>
                <w:sz w:val="18"/>
                <w:szCs w:val="18"/>
              </w:rPr>
            </w:pPr>
            <w:r w:rsidRPr="00636CC2">
              <w:rPr>
                <w:rFonts w:cs="Arial"/>
                <w:sz w:val="18"/>
                <w:szCs w:val="18"/>
              </w:rPr>
              <w:t>1,789</w:t>
            </w:r>
          </w:p>
        </w:tc>
        <w:tc>
          <w:tcPr>
            <w:tcW w:w="1060" w:type="dxa"/>
            <w:tcBorders>
              <w:top w:val="nil"/>
              <w:left w:val="nil"/>
              <w:bottom w:val="nil"/>
              <w:right w:val="nil"/>
            </w:tcBorders>
            <w:shd w:val="clear" w:color="auto" w:fill="auto"/>
            <w:noWrap/>
            <w:vAlign w:val="bottom"/>
            <w:hideMark/>
          </w:tcPr>
          <w:p w14:paraId="2AD3423F" w14:textId="77777777" w:rsidR="0097090C" w:rsidRPr="00636CC2" w:rsidRDefault="0097090C" w:rsidP="0097090C">
            <w:pPr>
              <w:jc w:val="right"/>
              <w:rPr>
                <w:rFonts w:cs="Arial"/>
                <w:sz w:val="18"/>
                <w:szCs w:val="18"/>
              </w:rPr>
            </w:pPr>
            <w:r w:rsidRPr="00636CC2">
              <w:rPr>
                <w:rFonts w:cs="Arial"/>
                <w:sz w:val="18"/>
                <w:szCs w:val="18"/>
              </w:rPr>
              <w:t>1,789</w:t>
            </w:r>
          </w:p>
        </w:tc>
        <w:tc>
          <w:tcPr>
            <w:tcW w:w="1060" w:type="dxa"/>
            <w:tcBorders>
              <w:top w:val="nil"/>
              <w:left w:val="nil"/>
              <w:bottom w:val="nil"/>
              <w:right w:val="nil"/>
            </w:tcBorders>
            <w:shd w:val="clear" w:color="000000" w:fill="D9D9D9"/>
            <w:hideMark/>
          </w:tcPr>
          <w:p w14:paraId="05A144E1"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auto" w:fill="auto"/>
            <w:hideMark/>
          </w:tcPr>
          <w:p w14:paraId="16DC24FD"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1683A8B2"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52DBBB23" w14:textId="77777777" w:rsidTr="0097090C">
        <w:trPr>
          <w:trHeight w:val="240"/>
        </w:trPr>
        <w:tc>
          <w:tcPr>
            <w:tcW w:w="4480" w:type="dxa"/>
            <w:tcBorders>
              <w:top w:val="nil"/>
              <w:left w:val="nil"/>
              <w:bottom w:val="nil"/>
              <w:right w:val="nil"/>
            </w:tcBorders>
            <w:shd w:val="clear" w:color="auto" w:fill="auto"/>
            <w:noWrap/>
            <w:vAlign w:val="bottom"/>
            <w:hideMark/>
          </w:tcPr>
          <w:p w14:paraId="0D25EF4A" w14:textId="77777777" w:rsidR="0097090C" w:rsidRPr="00636CC2" w:rsidRDefault="0097090C" w:rsidP="0097090C">
            <w:pPr>
              <w:rPr>
                <w:rFonts w:cs="Arial"/>
                <w:b/>
                <w:bCs/>
                <w:sz w:val="18"/>
                <w:szCs w:val="18"/>
              </w:rPr>
            </w:pPr>
            <w:r w:rsidRPr="00636CC2">
              <w:rPr>
                <w:rFonts w:cs="Arial"/>
                <w:b/>
                <w:bCs/>
                <w:sz w:val="18"/>
                <w:szCs w:val="18"/>
              </w:rPr>
              <w:t xml:space="preserve">Receivables: </w:t>
            </w:r>
          </w:p>
        </w:tc>
        <w:tc>
          <w:tcPr>
            <w:tcW w:w="1000" w:type="dxa"/>
            <w:tcBorders>
              <w:top w:val="nil"/>
              <w:left w:val="nil"/>
              <w:bottom w:val="nil"/>
              <w:right w:val="nil"/>
            </w:tcBorders>
            <w:shd w:val="clear" w:color="000000" w:fill="D9D9D9"/>
            <w:noWrap/>
            <w:vAlign w:val="bottom"/>
            <w:hideMark/>
          </w:tcPr>
          <w:p w14:paraId="0359B304"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23355EB8" w14:textId="77777777" w:rsidR="0097090C" w:rsidRPr="00636CC2" w:rsidRDefault="0097090C" w:rsidP="0097090C">
            <w:pPr>
              <w:jc w:val="right"/>
              <w:rPr>
                <w:rFonts w:cs="Arial"/>
                <w:sz w:val="18"/>
                <w:szCs w:val="18"/>
              </w:rPr>
            </w:pPr>
          </w:p>
        </w:tc>
        <w:tc>
          <w:tcPr>
            <w:tcW w:w="1060" w:type="dxa"/>
            <w:tcBorders>
              <w:top w:val="nil"/>
              <w:left w:val="nil"/>
              <w:bottom w:val="nil"/>
              <w:right w:val="nil"/>
            </w:tcBorders>
            <w:shd w:val="clear" w:color="000000" w:fill="D9D9D9"/>
            <w:noWrap/>
            <w:vAlign w:val="bottom"/>
            <w:hideMark/>
          </w:tcPr>
          <w:p w14:paraId="517F9082"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25D7B900" w14:textId="77777777" w:rsidR="0097090C" w:rsidRPr="00636CC2" w:rsidRDefault="0097090C" w:rsidP="0097090C">
            <w:pPr>
              <w:jc w:val="right"/>
              <w:rPr>
                <w:rFonts w:cs="Arial"/>
                <w:sz w:val="18"/>
                <w:szCs w:val="18"/>
              </w:rPr>
            </w:pPr>
          </w:p>
        </w:tc>
        <w:tc>
          <w:tcPr>
            <w:tcW w:w="940" w:type="dxa"/>
            <w:tcBorders>
              <w:top w:val="nil"/>
              <w:left w:val="nil"/>
              <w:bottom w:val="nil"/>
              <w:right w:val="nil"/>
            </w:tcBorders>
            <w:shd w:val="clear" w:color="000000" w:fill="D9D9D9"/>
            <w:noWrap/>
            <w:vAlign w:val="bottom"/>
            <w:hideMark/>
          </w:tcPr>
          <w:p w14:paraId="5FE0EC72"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2454A4E7" w14:textId="77777777" w:rsidTr="0097090C">
        <w:trPr>
          <w:trHeight w:val="240"/>
        </w:trPr>
        <w:tc>
          <w:tcPr>
            <w:tcW w:w="4480" w:type="dxa"/>
            <w:tcBorders>
              <w:top w:val="nil"/>
              <w:left w:val="nil"/>
              <w:bottom w:val="nil"/>
              <w:right w:val="nil"/>
            </w:tcBorders>
            <w:shd w:val="clear" w:color="auto" w:fill="auto"/>
            <w:noWrap/>
            <w:vAlign w:val="bottom"/>
            <w:hideMark/>
          </w:tcPr>
          <w:p w14:paraId="52A712DE" w14:textId="77777777" w:rsidR="0097090C" w:rsidRPr="00636CC2" w:rsidRDefault="0097090C" w:rsidP="0097090C">
            <w:pPr>
              <w:rPr>
                <w:rFonts w:cs="Arial"/>
                <w:sz w:val="18"/>
                <w:szCs w:val="18"/>
              </w:rPr>
            </w:pPr>
            <w:r w:rsidRPr="00636CC2">
              <w:rPr>
                <w:rFonts w:cs="Arial"/>
                <w:sz w:val="18"/>
                <w:szCs w:val="18"/>
              </w:rPr>
              <w:t>Sale of goods and services</w:t>
            </w:r>
          </w:p>
        </w:tc>
        <w:tc>
          <w:tcPr>
            <w:tcW w:w="1000" w:type="dxa"/>
            <w:tcBorders>
              <w:top w:val="nil"/>
              <w:left w:val="nil"/>
              <w:bottom w:val="nil"/>
              <w:right w:val="nil"/>
            </w:tcBorders>
            <w:shd w:val="clear" w:color="000000" w:fill="D9D9D9"/>
            <w:noWrap/>
            <w:vAlign w:val="bottom"/>
            <w:hideMark/>
          </w:tcPr>
          <w:p w14:paraId="6E8BB0BA" w14:textId="77777777" w:rsidR="0097090C" w:rsidRPr="00636CC2" w:rsidRDefault="0097090C" w:rsidP="0097090C">
            <w:pPr>
              <w:jc w:val="right"/>
              <w:rPr>
                <w:rFonts w:cs="Arial"/>
                <w:sz w:val="18"/>
                <w:szCs w:val="18"/>
              </w:rPr>
            </w:pPr>
            <w:r w:rsidRPr="00636CC2">
              <w:rPr>
                <w:rFonts w:cs="Arial"/>
                <w:sz w:val="18"/>
                <w:szCs w:val="18"/>
              </w:rPr>
              <w:t>654</w:t>
            </w:r>
          </w:p>
        </w:tc>
        <w:tc>
          <w:tcPr>
            <w:tcW w:w="1060" w:type="dxa"/>
            <w:tcBorders>
              <w:top w:val="nil"/>
              <w:left w:val="nil"/>
              <w:bottom w:val="nil"/>
              <w:right w:val="nil"/>
            </w:tcBorders>
            <w:shd w:val="clear" w:color="auto" w:fill="auto"/>
            <w:noWrap/>
            <w:vAlign w:val="bottom"/>
            <w:hideMark/>
          </w:tcPr>
          <w:p w14:paraId="0007C6DC"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000000" w:fill="D9D9D9"/>
            <w:noWrap/>
            <w:vAlign w:val="bottom"/>
            <w:hideMark/>
          </w:tcPr>
          <w:p w14:paraId="45649FFE" w14:textId="77777777" w:rsidR="0097090C" w:rsidRPr="00636CC2" w:rsidRDefault="0097090C" w:rsidP="0097090C">
            <w:pPr>
              <w:jc w:val="right"/>
              <w:rPr>
                <w:rFonts w:cs="Arial"/>
                <w:sz w:val="18"/>
                <w:szCs w:val="18"/>
              </w:rPr>
            </w:pPr>
            <w:r w:rsidRPr="00636CC2">
              <w:rPr>
                <w:rFonts w:cs="Arial"/>
                <w:sz w:val="18"/>
                <w:szCs w:val="18"/>
              </w:rPr>
              <w:t>654</w:t>
            </w:r>
          </w:p>
        </w:tc>
        <w:tc>
          <w:tcPr>
            <w:tcW w:w="1060" w:type="dxa"/>
            <w:tcBorders>
              <w:top w:val="nil"/>
              <w:left w:val="nil"/>
              <w:bottom w:val="nil"/>
              <w:right w:val="nil"/>
            </w:tcBorders>
            <w:shd w:val="clear" w:color="auto" w:fill="auto"/>
            <w:noWrap/>
            <w:vAlign w:val="bottom"/>
            <w:hideMark/>
          </w:tcPr>
          <w:p w14:paraId="405AA459"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705FBFF9"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10F05F9A" w14:textId="77777777" w:rsidTr="0097090C">
        <w:trPr>
          <w:trHeight w:val="240"/>
        </w:trPr>
        <w:tc>
          <w:tcPr>
            <w:tcW w:w="4480" w:type="dxa"/>
            <w:tcBorders>
              <w:top w:val="nil"/>
              <w:left w:val="nil"/>
              <w:bottom w:val="nil"/>
              <w:right w:val="nil"/>
            </w:tcBorders>
            <w:shd w:val="clear" w:color="auto" w:fill="auto"/>
            <w:noWrap/>
            <w:vAlign w:val="bottom"/>
            <w:hideMark/>
          </w:tcPr>
          <w:p w14:paraId="5E46E5B1" w14:textId="77777777" w:rsidR="0097090C" w:rsidRPr="00636CC2" w:rsidRDefault="0097090C" w:rsidP="0097090C">
            <w:pPr>
              <w:rPr>
                <w:rFonts w:cs="Arial"/>
                <w:b/>
                <w:bCs/>
                <w:sz w:val="18"/>
                <w:szCs w:val="18"/>
              </w:rPr>
            </w:pPr>
            <w:r w:rsidRPr="00636CC2">
              <w:rPr>
                <w:rFonts w:cs="Arial"/>
                <w:b/>
                <w:bCs/>
                <w:sz w:val="18"/>
                <w:szCs w:val="18"/>
              </w:rPr>
              <w:t>Investments and other contractual financial assets</w:t>
            </w:r>
          </w:p>
        </w:tc>
        <w:tc>
          <w:tcPr>
            <w:tcW w:w="1000" w:type="dxa"/>
            <w:tcBorders>
              <w:top w:val="nil"/>
              <w:left w:val="nil"/>
              <w:bottom w:val="nil"/>
              <w:right w:val="nil"/>
            </w:tcBorders>
            <w:shd w:val="clear" w:color="000000" w:fill="D9D9D9"/>
            <w:noWrap/>
            <w:vAlign w:val="bottom"/>
            <w:hideMark/>
          </w:tcPr>
          <w:p w14:paraId="60E6A4D8"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0B4EE1BE" w14:textId="77777777" w:rsidR="0097090C" w:rsidRPr="00636CC2" w:rsidRDefault="0097090C" w:rsidP="0097090C">
            <w:pPr>
              <w:jc w:val="right"/>
              <w:rPr>
                <w:rFonts w:cs="Arial"/>
                <w:sz w:val="18"/>
                <w:szCs w:val="18"/>
              </w:rPr>
            </w:pPr>
          </w:p>
        </w:tc>
        <w:tc>
          <w:tcPr>
            <w:tcW w:w="1060" w:type="dxa"/>
            <w:tcBorders>
              <w:top w:val="nil"/>
              <w:left w:val="nil"/>
              <w:bottom w:val="nil"/>
              <w:right w:val="nil"/>
            </w:tcBorders>
            <w:shd w:val="clear" w:color="000000" w:fill="D9D9D9"/>
            <w:noWrap/>
            <w:vAlign w:val="bottom"/>
            <w:hideMark/>
          </w:tcPr>
          <w:p w14:paraId="6C36DF62"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102496A2" w14:textId="77777777" w:rsidR="0097090C" w:rsidRPr="00636CC2" w:rsidRDefault="0097090C" w:rsidP="0097090C">
            <w:pPr>
              <w:jc w:val="right"/>
              <w:rPr>
                <w:rFonts w:cs="Arial"/>
                <w:sz w:val="18"/>
                <w:szCs w:val="18"/>
              </w:rPr>
            </w:pPr>
          </w:p>
        </w:tc>
        <w:tc>
          <w:tcPr>
            <w:tcW w:w="940" w:type="dxa"/>
            <w:tcBorders>
              <w:top w:val="nil"/>
              <w:left w:val="nil"/>
              <w:bottom w:val="nil"/>
              <w:right w:val="nil"/>
            </w:tcBorders>
            <w:shd w:val="clear" w:color="000000" w:fill="D9D9D9"/>
            <w:noWrap/>
            <w:vAlign w:val="bottom"/>
            <w:hideMark/>
          </w:tcPr>
          <w:p w14:paraId="66B38B35"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6F16864D" w14:textId="77777777" w:rsidTr="0097090C">
        <w:trPr>
          <w:trHeight w:val="240"/>
        </w:trPr>
        <w:tc>
          <w:tcPr>
            <w:tcW w:w="4480" w:type="dxa"/>
            <w:tcBorders>
              <w:top w:val="nil"/>
              <w:left w:val="nil"/>
              <w:bottom w:val="nil"/>
              <w:right w:val="nil"/>
            </w:tcBorders>
            <w:shd w:val="clear" w:color="auto" w:fill="auto"/>
            <w:noWrap/>
            <w:vAlign w:val="bottom"/>
            <w:hideMark/>
          </w:tcPr>
          <w:p w14:paraId="70904745" w14:textId="77777777" w:rsidR="0097090C" w:rsidRPr="00636CC2" w:rsidRDefault="0097090C" w:rsidP="0097090C">
            <w:pPr>
              <w:rPr>
                <w:rFonts w:cs="Arial"/>
                <w:sz w:val="18"/>
                <w:szCs w:val="18"/>
              </w:rPr>
            </w:pPr>
            <w:r w:rsidRPr="00636CC2">
              <w:rPr>
                <w:rFonts w:cs="Arial"/>
                <w:sz w:val="18"/>
                <w:szCs w:val="18"/>
              </w:rPr>
              <w:t>Short-term cash investments</w:t>
            </w:r>
            <w:r>
              <w:rPr>
                <w:rFonts w:cs="Arial"/>
                <w:sz w:val="18"/>
                <w:szCs w:val="18"/>
              </w:rPr>
              <w:t>**</w:t>
            </w:r>
          </w:p>
        </w:tc>
        <w:tc>
          <w:tcPr>
            <w:tcW w:w="1000" w:type="dxa"/>
            <w:tcBorders>
              <w:top w:val="nil"/>
              <w:left w:val="nil"/>
              <w:bottom w:val="nil"/>
              <w:right w:val="nil"/>
            </w:tcBorders>
            <w:shd w:val="clear" w:color="000000" w:fill="D9D9D9"/>
            <w:noWrap/>
            <w:vAlign w:val="bottom"/>
            <w:hideMark/>
          </w:tcPr>
          <w:p w14:paraId="6A0B2856" w14:textId="77777777" w:rsidR="0097090C" w:rsidRPr="00636CC2" w:rsidRDefault="0097090C" w:rsidP="0097090C">
            <w:pPr>
              <w:jc w:val="right"/>
              <w:rPr>
                <w:rFonts w:cs="Arial"/>
                <w:sz w:val="18"/>
                <w:szCs w:val="18"/>
              </w:rPr>
            </w:pPr>
            <w:r w:rsidRPr="00636CC2">
              <w:rPr>
                <w:rFonts w:cs="Arial"/>
                <w:sz w:val="18"/>
                <w:szCs w:val="18"/>
              </w:rPr>
              <w:t>39,000</w:t>
            </w:r>
          </w:p>
        </w:tc>
        <w:tc>
          <w:tcPr>
            <w:tcW w:w="1060" w:type="dxa"/>
            <w:tcBorders>
              <w:top w:val="nil"/>
              <w:left w:val="nil"/>
              <w:bottom w:val="nil"/>
              <w:right w:val="nil"/>
            </w:tcBorders>
            <w:shd w:val="clear" w:color="auto" w:fill="auto"/>
            <w:noWrap/>
            <w:vAlign w:val="bottom"/>
            <w:hideMark/>
          </w:tcPr>
          <w:p w14:paraId="49175843" w14:textId="77777777" w:rsidR="0097090C" w:rsidRPr="00636CC2" w:rsidRDefault="0097090C" w:rsidP="0097090C">
            <w:pPr>
              <w:jc w:val="right"/>
              <w:rPr>
                <w:rFonts w:cs="Arial"/>
                <w:sz w:val="18"/>
                <w:szCs w:val="18"/>
              </w:rPr>
            </w:pPr>
            <w:r w:rsidRPr="00636CC2">
              <w:rPr>
                <w:rFonts w:cs="Arial"/>
                <w:sz w:val="18"/>
                <w:szCs w:val="18"/>
              </w:rPr>
              <w:t>39,000</w:t>
            </w:r>
          </w:p>
        </w:tc>
        <w:tc>
          <w:tcPr>
            <w:tcW w:w="1060" w:type="dxa"/>
            <w:tcBorders>
              <w:top w:val="nil"/>
              <w:left w:val="nil"/>
              <w:bottom w:val="nil"/>
              <w:right w:val="nil"/>
            </w:tcBorders>
            <w:shd w:val="clear" w:color="000000" w:fill="D9D9D9"/>
            <w:noWrap/>
            <w:vAlign w:val="bottom"/>
            <w:hideMark/>
          </w:tcPr>
          <w:p w14:paraId="1FA1E732"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auto" w:fill="auto"/>
            <w:noWrap/>
            <w:vAlign w:val="bottom"/>
            <w:hideMark/>
          </w:tcPr>
          <w:p w14:paraId="212F2F60"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2A3930EC"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1F7DEFB8" w14:textId="77777777" w:rsidTr="0097090C">
        <w:trPr>
          <w:trHeight w:val="240"/>
        </w:trPr>
        <w:tc>
          <w:tcPr>
            <w:tcW w:w="4480" w:type="dxa"/>
            <w:tcBorders>
              <w:top w:val="nil"/>
              <w:left w:val="nil"/>
              <w:bottom w:val="nil"/>
              <w:right w:val="nil"/>
            </w:tcBorders>
            <w:shd w:val="clear" w:color="auto" w:fill="auto"/>
            <w:noWrap/>
            <w:vAlign w:val="bottom"/>
            <w:hideMark/>
          </w:tcPr>
          <w:p w14:paraId="4E2B3D7F" w14:textId="77777777" w:rsidR="0097090C" w:rsidRPr="00636CC2" w:rsidRDefault="0097090C" w:rsidP="0097090C">
            <w:pPr>
              <w:rPr>
                <w:rFonts w:cs="Arial"/>
                <w:sz w:val="18"/>
                <w:szCs w:val="18"/>
              </w:rPr>
            </w:pPr>
            <w:r w:rsidRPr="00636CC2">
              <w:rPr>
                <w:rFonts w:cs="Arial"/>
                <w:sz w:val="18"/>
                <w:szCs w:val="18"/>
              </w:rPr>
              <w:t>Foreign exchange forward contract</w:t>
            </w:r>
          </w:p>
        </w:tc>
        <w:tc>
          <w:tcPr>
            <w:tcW w:w="1000" w:type="dxa"/>
            <w:tcBorders>
              <w:top w:val="nil"/>
              <w:left w:val="nil"/>
              <w:bottom w:val="nil"/>
              <w:right w:val="nil"/>
            </w:tcBorders>
            <w:shd w:val="clear" w:color="000000" w:fill="D9D9D9"/>
            <w:noWrap/>
            <w:vAlign w:val="bottom"/>
            <w:hideMark/>
          </w:tcPr>
          <w:p w14:paraId="6BE2FEFC"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auto" w:fill="auto"/>
            <w:noWrap/>
            <w:vAlign w:val="bottom"/>
            <w:hideMark/>
          </w:tcPr>
          <w:p w14:paraId="7E5CFF2E"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000000" w:fill="D9D9D9"/>
            <w:noWrap/>
            <w:vAlign w:val="bottom"/>
            <w:hideMark/>
          </w:tcPr>
          <w:p w14:paraId="50B68ECE"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auto" w:fill="auto"/>
            <w:noWrap/>
            <w:vAlign w:val="bottom"/>
            <w:hideMark/>
          </w:tcPr>
          <w:p w14:paraId="069161DC"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1263F36A"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62A2FB26" w14:textId="77777777" w:rsidTr="0097090C">
        <w:trPr>
          <w:trHeight w:val="240"/>
        </w:trPr>
        <w:tc>
          <w:tcPr>
            <w:tcW w:w="4480" w:type="dxa"/>
            <w:tcBorders>
              <w:top w:val="single" w:sz="4" w:space="0" w:color="auto"/>
              <w:left w:val="nil"/>
              <w:bottom w:val="single" w:sz="4" w:space="0" w:color="auto"/>
              <w:right w:val="nil"/>
            </w:tcBorders>
            <w:shd w:val="clear" w:color="auto" w:fill="auto"/>
            <w:noWrap/>
            <w:vAlign w:val="bottom"/>
            <w:hideMark/>
          </w:tcPr>
          <w:p w14:paraId="3D6220E3" w14:textId="77777777" w:rsidR="0097090C" w:rsidRPr="00636CC2" w:rsidRDefault="0097090C" w:rsidP="0097090C">
            <w:pPr>
              <w:rPr>
                <w:rFonts w:cs="Arial"/>
                <w:b/>
                <w:bCs/>
                <w:sz w:val="18"/>
                <w:szCs w:val="18"/>
              </w:rPr>
            </w:pPr>
            <w:r w:rsidRPr="00636CC2">
              <w:rPr>
                <w:rFonts w:cs="Arial"/>
                <w:b/>
                <w:bCs/>
                <w:sz w:val="18"/>
                <w:szCs w:val="18"/>
              </w:rPr>
              <w:t>Total</w:t>
            </w:r>
          </w:p>
        </w:tc>
        <w:tc>
          <w:tcPr>
            <w:tcW w:w="1000" w:type="dxa"/>
            <w:tcBorders>
              <w:top w:val="single" w:sz="4" w:space="0" w:color="auto"/>
              <w:left w:val="nil"/>
              <w:bottom w:val="single" w:sz="4" w:space="0" w:color="auto"/>
              <w:right w:val="nil"/>
            </w:tcBorders>
            <w:shd w:val="clear" w:color="000000" w:fill="D9D9D9"/>
            <w:noWrap/>
            <w:vAlign w:val="bottom"/>
            <w:hideMark/>
          </w:tcPr>
          <w:p w14:paraId="78948365" w14:textId="77777777" w:rsidR="0097090C" w:rsidRPr="00636CC2" w:rsidRDefault="0097090C" w:rsidP="0097090C">
            <w:pPr>
              <w:jc w:val="right"/>
              <w:rPr>
                <w:rFonts w:cs="Arial"/>
                <w:b/>
                <w:bCs/>
                <w:sz w:val="18"/>
                <w:szCs w:val="18"/>
              </w:rPr>
            </w:pPr>
            <w:r w:rsidRPr="00636CC2">
              <w:rPr>
                <w:rFonts w:cs="Arial"/>
                <w:b/>
                <w:bCs/>
                <w:sz w:val="18"/>
                <w:szCs w:val="18"/>
              </w:rPr>
              <w:t>41,443</w:t>
            </w:r>
          </w:p>
        </w:tc>
        <w:tc>
          <w:tcPr>
            <w:tcW w:w="1060" w:type="dxa"/>
            <w:tcBorders>
              <w:top w:val="single" w:sz="4" w:space="0" w:color="auto"/>
              <w:left w:val="nil"/>
              <w:bottom w:val="single" w:sz="4" w:space="0" w:color="auto"/>
              <w:right w:val="nil"/>
            </w:tcBorders>
            <w:shd w:val="clear" w:color="auto" w:fill="auto"/>
            <w:noWrap/>
            <w:vAlign w:val="bottom"/>
            <w:hideMark/>
          </w:tcPr>
          <w:p w14:paraId="7481BF36" w14:textId="77777777" w:rsidR="0097090C" w:rsidRPr="00636CC2" w:rsidRDefault="0097090C" w:rsidP="0097090C">
            <w:pPr>
              <w:jc w:val="right"/>
              <w:rPr>
                <w:rFonts w:cs="Arial"/>
                <w:b/>
                <w:bCs/>
                <w:sz w:val="18"/>
                <w:szCs w:val="18"/>
              </w:rPr>
            </w:pPr>
            <w:r w:rsidRPr="00636CC2">
              <w:rPr>
                <w:rFonts w:cs="Arial"/>
                <w:b/>
                <w:bCs/>
                <w:sz w:val="18"/>
                <w:szCs w:val="18"/>
              </w:rPr>
              <w:t>40,789</w:t>
            </w:r>
          </w:p>
        </w:tc>
        <w:tc>
          <w:tcPr>
            <w:tcW w:w="1060" w:type="dxa"/>
            <w:tcBorders>
              <w:top w:val="single" w:sz="4" w:space="0" w:color="auto"/>
              <w:left w:val="nil"/>
              <w:bottom w:val="single" w:sz="4" w:space="0" w:color="auto"/>
              <w:right w:val="nil"/>
            </w:tcBorders>
            <w:shd w:val="clear" w:color="000000" w:fill="D9D9D9"/>
            <w:noWrap/>
            <w:vAlign w:val="bottom"/>
            <w:hideMark/>
          </w:tcPr>
          <w:p w14:paraId="30916ED5" w14:textId="77777777" w:rsidR="0097090C" w:rsidRPr="00636CC2" w:rsidRDefault="0097090C" w:rsidP="0097090C">
            <w:pPr>
              <w:jc w:val="right"/>
              <w:rPr>
                <w:rFonts w:cs="Arial"/>
                <w:b/>
                <w:bCs/>
                <w:sz w:val="18"/>
                <w:szCs w:val="18"/>
              </w:rPr>
            </w:pPr>
            <w:r w:rsidRPr="00636CC2">
              <w:rPr>
                <w:rFonts w:cs="Arial"/>
                <w:b/>
                <w:bCs/>
                <w:sz w:val="18"/>
                <w:szCs w:val="18"/>
              </w:rPr>
              <w:t>654</w:t>
            </w:r>
          </w:p>
        </w:tc>
        <w:tc>
          <w:tcPr>
            <w:tcW w:w="1060" w:type="dxa"/>
            <w:tcBorders>
              <w:top w:val="single" w:sz="4" w:space="0" w:color="auto"/>
              <w:left w:val="nil"/>
              <w:bottom w:val="single" w:sz="4" w:space="0" w:color="auto"/>
              <w:right w:val="nil"/>
            </w:tcBorders>
            <w:shd w:val="clear" w:color="auto" w:fill="auto"/>
            <w:noWrap/>
            <w:vAlign w:val="bottom"/>
            <w:hideMark/>
          </w:tcPr>
          <w:p w14:paraId="5655B0BA" w14:textId="77777777" w:rsidR="0097090C" w:rsidRPr="00636CC2" w:rsidRDefault="0097090C" w:rsidP="0097090C">
            <w:pPr>
              <w:jc w:val="right"/>
              <w:rPr>
                <w:rFonts w:cs="Arial"/>
                <w:b/>
                <w:bCs/>
                <w:sz w:val="18"/>
                <w:szCs w:val="18"/>
              </w:rPr>
            </w:pPr>
            <w:r w:rsidRPr="00636CC2">
              <w:rPr>
                <w:rFonts w:cs="Arial"/>
                <w:b/>
                <w:bCs/>
                <w:sz w:val="18"/>
                <w:szCs w:val="18"/>
              </w:rPr>
              <w:t>0</w:t>
            </w:r>
          </w:p>
        </w:tc>
        <w:tc>
          <w:tcPr>
            <w:tcW w:w="940" w:type="dxa"/>
            <w:tcBorders>
              <w:top w:val="single" w:sz="4" w:space="0" w:color="auto"/>
              <w:left w:val="nil"/>
              <w:bottom w:val="single" w:sz="4" w:space="0" w:color="auto"/>
              <w:right w:val="nil"/>
            </w:tcBorders>
            <w:shd w:val="clear" w:color="000000" w:fill="D9D9D9"/>
            <w:noWrap/>
            <w:vAlign w:val="bottom"/>
            <w:hideMark/>
          </w:tcPr>
          <w:p w14:paraId="3069B71F" w14:textId="77777777" w:rsidR="0097090C" w:rsidRPr="00636CC2" w:rsidRDefault="0097090C" w:rsidP="0097090C">
            <w:pPr>
              <w:jc w:val="right"/>
              <w:rPr>
                <w:rFonts w:cs="Arial"/>
                <w:b/>
                <w:bCs/>
                <w:sz w:val="18"/>
                <w:szCs w:val="18"/>
              </w:rPr>
            </w:pPr>
            <w:r w:rsidRPr="00636CC2">
              <w:rPr>
                <w:rFonts w:cs="Arial"/>
                <w:b/>
                <w:bCs/>
                <w:sz w:val="18"/>
                <w:szCs w:val="18"/>
              </w:rPr>
              <w:t>0</w:t>
            </w:r>
          </w:p>
        </w:tc>
      </w:tr>
      <w:tr w:rsidR="0097090C" w:rsidRPr="00636CC2" w14:paraId="0E582C8A" w14:textId="77777777" w:rsidTr="0097090C">
        <w:trPr>
          <w:trHeight w:val="240"/>
        </w:trPr>
        <w:tc>
          <w:tcPr>
            <w:tcW w:w="4480" w:type="dxa"/>
            <w:tcBorders>
              <w:top w:val="nil"/>
              <w:left w:val="nil"/>
              <w:bottom w:val="nil"/>
              <w:right w:val="nil"/>
            </w:tcBorders>
            <w:shd w:val="clear" w:color="auto" w:fill="auto"/>
            <w:noWrap/>
            <w:vAlign w:val="bottom"/>
            <w:hideMark/>
          </w:tcPr>
          <w:p w14:paraId="2189C74F" w14:textId="77777777" w:rsidR="0097090C" w:rsidRPr="00636CC2" w:rsidRDefault="0097090C" w:rsidP="0097090C">
            <w:pPr>
              <w:rPr>
                <w:rFonts w:cs="Arial"/>
                <w:b/>
                <w:bCs/>
                <w:sz w:val="18"/>
                <w:szCs w:val="18"/>
              </w:rPr>
            </w:pPr>
            <w:r w:rsidRPr="00636CC2">
              <w:rPr>
                <w:rFonts w:cs="Arial"/>
                <w:b/>
                <w:bCs/>
                <w:sz w:val="18"/>
                <w:szCs w:val="18"/>
              </w:rPr>
              <w:t>2015</w:t>
            </w:r>
          </w:p>
        </w:tc>
        <w:tc>
          <w:tcPr>
            <w:tcW w:w="1000" w:type="dxa"/>
            <w:tcBorders>
              <w:top w:val="nil"/>
              <w:left w:val="nil"/>
              <w:bottom w:val="nil"/>
              <w:right w:val="nil"/>
            </w:tcBorders>
            <w:shd w:val="clear" w:color="000000" w:fill="D9D9D9"/>
            <w:hideMark/>
          </w:tcPr>
          <w:p w14:paraId="3DAFE7C2"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hideMark/>
          </w:tcPr>
          <w:p w14:paraId="205AD0F3" w14:textId="77777777" w:rsidR="0097090C" w:rsidRPr="00636CC2" w:rsidRDefault="0097090C" w:rsidP="0097090C">
            <w:pPr>
              <w:rPr>
                <w:rFonts w:cs="Arial"/>
                <w:sz w:val="18"/>
                <w:szCs w:val="18"/>
              </w:rPr>
            </w:pPr>
          </w:p>
        </w:tc>
        <w:tc>
          <w:tcPr>
            <w:tcW w:w="1060" w:type="dxa"/>
            <w:tcBorders>
              <w:top w:val="nil"/>
              <w:left w:val="nil"/>
              <w:bottom w:val="nil"/>
              <w:right w:val="nil"/>
            </w:tcBorders>
            <w:shd w:val="clear" w:color="000000" w:fill="D9D9D9"/>
            <w:hideMark/>
          </w:tcPr>
          <w:p w14:paraId="570EBB17" w14:textId="77777777" w:rsidR="0097090C" w:rsidRPr="00636CC2" w:rsidRDefault="0097090C" w:rsidP="0097090C">
            <w:pPr>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hideMark/>
          </w:tcPr>
          <w:p w14:paraId="6B2C3FC3" w14:textId="77777777" w:rsidR="0097090C" w:rsidRPr="00636CC2" w:rsidRDefault="0097090C" w:rsidP="0097090C">
            <w:pPr>
              <w:rPr>
                <w:rFonts w:cs="Arial"/>
                <w:sz w:val="18"/>
                <w:szCs w:val="18"/>
              </w:rPr>
            </w:pPr>
          </w:p>
        </w:tc>
        <w:tc>
          <w:tcPr>
            <w:tcW w:w="940" w:type="dxa"/>
            <w:tcBorders>
              <w:top w:val="nil"/>
              <w:left w:val="nil"/>
              <w:bottom w:val="nil"/>
              <w:right w:val="nil"/>
            </w:tcBorders>
            <w:shd w:val="clear" w:color="000000" w:fill="D9D9D9"/>
            <w:noWrap/>
            <w:vAlign w:val="bottom"/>
            <w:hideMark/>
          </w:tcPr>
          <w:p w14:paraId="1B9716F3"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2EF25204" w14:textId="77777777" w:rsidTr="0097090C">
        <w:trPr>
          <w:trHeight w:val="240"/>
        </w:trPr>
        <w:tc>
          <w:tcPr>
            <w:tcW w:w="4480" w:type="dxa"/>
            <w:tcBorders>
              <w:top w:val="nil"/>
              <w:left w:val="nil"/>
              <w:bottom w:val="nil"/>
              <w:right w:val="nil"/>
            </w:tcBorders>
            <w:shd w:val="clear" w:color="auto" w:fill="auto"/>
            <w:noWrap/>
            <w:vAlign w:val="bottom"/>
            <w:hideMark/>
          </w:tcPr>
          <w:p w14:paraId="67B16FD0" w14:textId="77777777" w:rsidR="0097090C" w:rsidRPr="00636CC2" w:rsidRDefault="0097090C" w:rsidP="0097090C">
            <w:pPr>
              <w:rPr>
                <w:rFonts w:cs="Arial"/>
                <w:sz w:val="18"/>
                <w:szCs w:val="18"/>
              </w:rPr>
            </w:pPr>
            <w:r w:rsidRPr="00636CC2">
              <w:rPr>
                <w:rFonts w:cs="Arial"/>
                <w:sz w:val="18"/>
                <w:szCs w:val="18"/>
              </w:rPr>
              <w:t>Cash</w:t>
            </w:r>
          </w:p>
        </w:tc>
        <w:tc>
          <w:tcPr>
            <w:tcW w:w="1000" w:type="dxa"/>
            <w:tcBorders>
              <w:top w:val="nil"/>
              <w:left w:val="nil"/>
              <w:bottom w:val="nil"/>
              <w:right w:val="nil"/>
            </w:tcBorders>
            <w:shd w:val="clear" w:color="000000" w:fill="D9D9D9"/>
            <w:noWrap/>
            <w:vAlign w:val="bottom"/>
            <w:hideMark/>
          </w:tcPr>
          <w:p w14:paraId="1D1B7BEC" w14:textId="77777777" w:rsidR="0097090C" w:rsidRPr="00636CC2" w:rsidRDefault="0097090C" w:rsidP="0097090C">
            <w:pPr>
              <w:jc w:val="right"/>
              <w:rPr>
                <w:rFonts w:cs="Arial"/>
                <w:sz w:val="18"/>
                <w:szCs w:val="18"/>
              </w:rPr>
            </w:pPr>
            <w:r w:rsidRPr="00636CC2">
              <w:rPr>
                <w:rFonts w:cs="Arial"/>
                <w:sz w:val="18"/>
                <w:szCs w:val="18"/>
              </w:rPr>
              <w:t>835</w:t>
            </w:r>
          </w:p>
        </w:tc>
        <w:tc>
          <w:tcPr>
            <w:tcW w:w="1060" w:type="dxa"/>
            <w:tcBorders>
              <w:top w:val="nil"/>
              <w:left w:val="nil"/>
              <w:bottom w:val="nil"/>
              <w:right w:val="nil"/>
            </w:tcBorders>
            <w:shd w:val="clear" w:color="auto" w:fill="auto"/>
            <w:noWrap/>
            <w:vAlign w:val="bottom"/>
            <w:hideMark/>
          </w:tcPr>
          <w:p w14:paraId="426DBBCA" w14:textId="77777777" w:rsidR="0097090C" w:rsidRPr="00636CC2" w:rsidRDefault="0097090C" w:rsidP="0097090C">
            <w:pPr>
              <w:jc w:val="right"/>
              <w:rPr>
                <w:rFonts w:cs="Arial"/>
                <w:sz w:val="18"/>
                <w:szCs w:val="18"/>
              </w:rPr>
            </w:pPr>
            <w:r w:rsidRPr="00636CC2">
              <w:rPr>
                <w:rFonts w:cs="Arial"/>
                <w:sz w:val="18"/>
                <w:szCs w:val="18"/>
              </w:rPr>
              <w:t>835</w:t>
            </w:r>
          </w:p>
        </w:tc>
        <w:tc>
          <w:tcPr>
            <w:tcW w:w="1060" w:type="dxa"/>
            <w:tcBorders>
              <w:top w:val="nil"/>
              <w:left w:val="nil"/>
              <w:bottom w:val="nil"/>
              <w:right w:val="nil"/>
            </w:tcBorders>
            <w:shd w:val="clear" w:color="000000" w:fill="D9D9D9"/>
            <w:hideMark/>
          </w:tcPr>
          <w:p w14:paraId="06CA10EC"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auto" w:fill="auto"/>
            <w:hideMark/>
          </w:tcPr>
          <w:p w14:paraId="10F7EDBA"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1267B0B2"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2513BF97" w14:textId="77777777" w:rsidTr="0097090C">
        <w:trPr>
          <w:trHeight w:val="240"/>
        </w:trPr>
        <w:tc>
          <w:tcPr>
            <w:tcW w:w="4480" w:type="dxa"/>
            <w:tcBorders>
              <w:top w:val="nil"/>
              <w:left w:val="nil"/>
              <w:bottom w:val="nil"/>
              <w:right w:val="nil"/>
            </w:tcBorders>
            <w:shd w:val="clear" w:color="auto" w:fill="auto"/>
            <w:noWrap/>
            <w:vAlign w:val="bottom"/>
            <w:hideMark/>
          </w:tcPr>
          <w:p w14:paraId="21412385" w14:textId="77777777" w:rsidR="0097090C" w:rsidRPr="00636CC2" w:rsidRDefault="0097090C" w:rsidP="0097090C">
            <w:pPr>
              <w:rPr>
                <w:rFonts w:cs="Arial"/>
                <w:b/>
                <w:bCs/>
                <w:sz w:val="18"/>
                <w:szCs w:val="18"/>
              </w:rPr>
            </w:pPr>
            <w:r w:rsidRPr="00636CC2">
              <w:rPr>
                <w:rFonts w:cs="Arial"/>
                <w:b/>
                <w:bCs/>
                <w:sz w:val="18"/>
                <w:szCs w:val="18"/>
              </w:rPr>
              <w:t xml:space="preserve">Receivables: </w:t>
            </w:r>
          </w:p>
        </w:tc>
        <w:tc>
          <w:tcPr>
            <w:tcW w:w="1000" w:type="dxa"/>
            <w:tcBorders>
              <w:top w:val="nil"/>
              <w:left w:val="nil"/>
              <w:bottom w:val="nil"/>
              <w:right w:val="nil"/>
            </w:tcBorders>
            <w:shd w:val="clear" w:color="000000" w:fill="D9D9D9"/>
            <w:noWrap/>
            <w:vAlign w:val="bottom"/>
            <w:hideMark/>
          </w:tcPr>
          <w:p w14:paraId="5AFC6468"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1FA4C160" w14:textId="77777777" w:rsidR="0097090C" w:rsidRPr="00636CC2" w:rsidRDefault="0097090C" w:rsidP="0097090C">
            <w:pPr>
              <w:jc w:val="right"/>
              <w:rPr>
                <w:rFonts w:cs="Arial"/>
                <w:sz w:val="18"/>
                <w:szCs w:val="18"/>
              </w:rPr>
            </w:pPr>
          </w:p>
        </w:tc>
        <w:tc>
          <w:tcPr>
            <w:tcW w:w="1060" w:type="dxa"/>
            <w:tcBorders>
              <w:top w:val="nil"/>
              <w:left w:val="nil"/>
              <w:bottom w:val="nil"/>
              <w:right w:val="nil"/>
            </w:tcBorders>
            <w:shd w:val="clear" w:color="000000" w:fill="D9D9D9"/>
            <w:noWrap/>
            <w:vAlign w:val="bottom"/>
            <w:hideMark/>
          </w:tcPr>
          <w:p w14:paraId="0E9B4051"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74FF1EFE" w14:textId="77777777" w:rsidR="0097090C" w:rsidRPr="00636CC2" w:rsidRDefault="0097090C" w:rsidP="0097090C">
            <w:pPr>
              <w:jc w:val="right"/>
              <w:rPr>
                <w:rFonts w:cs="Arial"/>
                <w:sz w:val="18"/>
                <w:szCs w:val="18"/>
              </w:rPr>
            </w:pPr>
          </w:p>
        </w:tc>
        <w:tc>
          <w:tcPr>
            <w:tcW w:w="940" w:type="dxa"/>
            <w:tcBorders>
              <w:top w:val="nil"/>
              <w:left w:val="nil"/>
              <w:bottom w:val="nil"/>
              <w:right w:val="nil"/>
            </w:tcBorders>
            <w:shd w:val="clear" w:color="000000" w:fill="D9D9D9"/>
            <w:noWrap/>
            <w:vAlign w:val="bottom"/>
            <w:hideMark/>
          </w:tcPr>
          <w:p w14:paraId="7A54DF9F"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06FCF7D7" w14:textId="77777777" w:rsidTr="0097090C">
        <w:trPr>
          <w:trHeight w:val="240"/>
        </w:trPr>
        <w:tc>
          <w:tcPr>
            <w:tcW w:w="4480" w:type="dxa"/>
            <w:tcBorders>
              <w:top w:val="nil"/>
              <w:left w:val="nil"/>
              <w:bottom w:val="nil"/>
              <w:right w:val="nil"/>
            </w:tcBorders>
            <w:shd w:val="clear" w:color="auto" w:fill="auto"/>
            <w:noWrap/>
            <w:vAlign w:val="bottom"/>
            <w:hideMark/>
          </w:tcPr>
          <w:p w14:paraId="01A9BBD5" w14:textId="77777777" w:rsidR="0097090C" w:rsidRPr="00636CC2" w:rsidRDefault="0097090C" w:rsidP="0097090C">
            <w:pPr>
              <w:rPr>
                <w:rFonts w:cs="Arial"/>
                <w:sz w:val="18"/>
                <w:szCs w:val="18"/>
              </w:rPr>
            </w:pPr>
            <w:r w:rsidRPr="00636CC2">
              <w:rPr>
                <w:rFonts w:cs="Arial"/>
                <w:sz w:val="18"/>
                <w:szCs w:val="18"/>
              </w:rPr>
              <w:t>Sale of goods and services</w:t>
            </w:r>
          </w:p>
        </w:tc>
        <w:tc>
          <w:tcPr>
            <w:tcW w:w="1000" w:type="dxa"/>
            <w:tcBorders>
              <w:top w:val="nil"/>
              <w:left w:val="nil"/>
              <w:bottom w:val="nil"/>
              <w:right w:val="nil"/>
            </w:tcBorders>
            <w:shd w:val="clear" w:color="000000" w:fill="D9D9D9"/>
            <w:noWrap/>
            <w:vAlign w:val="bottom"/>
            <w:hideMark/>
          </w:tcPr>
          <w:p w14:paraId="679781CA" w14:textId="77777777" w:rsidR="0097090C" w:rsidRPr="00636CC2" w:rsidRDefault="0097090C" w:rsidP="0097090C">
            <w:pPr>
              <w:jc w:val="right"/>
              <w:rPr>
                <w:rFonts w:cs="Arial"/>
                <w:sz w:val="18"/>
                <w:szCs w:val="18"/>
              </w:rPr>
            </w:pPr>
            <w:r w:rsidRPr="00636CC2">
              <w:rPr>
                <w:rFonts w:cs="Arial"/>
                <w:sz w:val="18"/>
                <w:szCs w:val="18"/>
              </w:rPr>
              <w:t>1,414</w:t>
            </w:r>
          </w:p>
        </w:tc>
        <w:tc>
          <w:tcPr>
            <w:tcW w:w="1060" w:type="dxa"/>
            <w:tcBorders>
              <w:top w:val="nil"/>
              <w:left w:val="nil"/>
              <w:bottom w:val="nil"/>
              <w:right w:val="nil"/>
            </w:tcBorders>
            <w:shd w:val="clear" w:color="auto" w:fill="auto"/>
            <w:noWrap/>
            <w:vAlign w:val="bottom"/>
            <w:hideMark/>
          </w:tcPr>
          <w:p w14:paraId="3A5B110E" w14:textId="77777777" w:rsidR="0097090C" w:rsidRPr="00636CC2" w:rsidRDefault="0097090C" w:rsidP="0097090C">
            <w:pPr>
              <w:jc w:val="right"/>
              <w:rPr>
                <w:rFonts w:cs="Arial"/>
                <w:sz w:val="18"/>
                <w:szCs w:val="18"/>
              </w:rPr>
            </w:pPr>
            <w:r w:rsidRPr="00636CC2">
              <w:rPr>
                <w:rFonts w:cs="Arial"/>
                <w:sz w:val="18"/>
                <w:szCs w:val="18"/>
              </w:rPr>
              <w:t>1,055</w:t>
            </w:r>
          </w:p>
        </w:tc>
        <w:tc>
          <w:tcPr>
            <w:tcW w:w="1060" w:type="dxa"/>
            <w:tcBorders>
              <w:top w:val="nil"/>
              <w:left w:val="nil"/>
              <w:bottom w:val="nil"/>
              <w:right w:val="nil"/>
            </w:tcBorders>
            <w:shd w:val="clear" w:color="000000" w:fill="D9D9D9"/>
            <w:noWrap/>
            <w:vAlign w:val="bottom"/>
            <w:hideMark/>
          </w:tcPr>
          <w:p w14:paraId="52AA0FE4" w14:textId="77777777" w:rsidR="0097090C" w:rsidRPr="00636CC2" w:rsidRDefault="0097090C" w:rsidP="0097090C">
            <w:pPr>
              <w:jc w:val="right"/>
              <w:rPr>
                <w:rFonts w:cs="Arial"/>
                <w:sz w:val="18"/>
                <w:szCs w:val="18"/>
              </w:rPr>
            </w:pPr>
            <w:r w:rsidRPr="00636CC2">
              <w:rPr>
                <w:rFonts w:cs="Arial"/>
                <w:sz w:val="18"/>
                <w:szCs w:val="18"/>
              </w:rPr>
              <w:t>359</w:t>
            </w:r>
          </w:p>
        </w:tc>
        <w:tc>
          <w:tcPr>
            <w:tcW w:w="1060" w:type="dxa"/>
            <w:tcBorders>
              <w:top w:val="nil"/>
              <w:left w:val="nil"/>
              <w:bottom w:val="nil"/>
              <w:right w:val="nil"/>
            </w:tcBorders>
            <w:shd w:val="clear" w:color="auto" w:fill="auto"/>
            <w:noWrap/>
            <w:vAlign w:val="bottom"/>
            <w:hideMark/>
          </w:tcPr>
          <w:p w14:paraId="61307472"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1AF0125B"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5B83F2BA" w14:textId="77777777" w:rsidTr="0097090C">
        <w:trPr>
          <w:trHeight w:val="240"/>
        </w:trPr>
        <w:tc>
          <w:tcPr>
            <w:tcW w:w="4480" w:type="dxa"/>
            <w:tcBorders>
              <w:top w:val="nil"/>
              <w:left w:val="nil"/>
              <w:bottom w:val="nil"/>
              <w:right w:val="nil"/>
            </w:tcBorders>
            <w:shd w:val="clear" w:color="auto" w:fill="auto"/>
            <w:noWrap/>
            <w:vAlign w:val="bottom"/>
            <w:hideMark/>
          </w:tcPr>
          <w:p w14:paraId="31BCB139" w14:textId="77777777" w:rsidR="0097090C" w:rsidRPr="00636CC2" w:rsidRDefault="0097090C" w:rsidP="0097090C">
            <w:pPr>
              <w:rPr>
                <w:rFonts w:cs="Arial"/>
                <w:b/>
                <w:bCs/>
                <w:sz w:val="18"/>
                <w:szCs w:val="18"/>
              </w:rPr>
            </w:pPr>
            <w:r w:rsidRPr="00636CC2">
              <w:rPr>
                <w:rFonts w:cs="Arial"/>
                <w:b/>
                <w:bCs/>
                <w:sz w:val="18"/>
                <w:szCs w:val="18"/>
              </w:rPr>
              <w:t>Investments and other contractual financial assets</w:t>
            </w:r>
          </w:p>
        </w:tc>
        <w:tc>
          <w:tcPr>
            <w:tcW w:w="1000" w:type="dxa"/>
            <w:tcBorders>
              <w:top w:val="nil"/>
              <w:left w:val="nil"/>
              <w:bottom w:val="nil"/>
              <w:right w:val="nil"/>
            </w:tcBorders>
            <w:shd w:val="clear" w:color="000000" w:fill="D9D9D9"/>
            <w:noWrap/>
            <w:vAlign w:val="bottom"/>
            <w:hideMark/>
          </w:tcPr>
          <w:p w14:paraId="2EE7A170"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07291557" w14:textId="77777777" w:rsidR="0097090C" w:rsidRPr="00636CC2" w:rsidRDefault="0097090C" w:rsidP="0097090C">
            <w:pPr>
              <w:jc w:val="right"/>
              <w:rPr>
                <w:rFonts w:cs="Arial"/>
                <w:sz w:val="18"/>
                <w:szCs w:val="18"/>
              </w:rPr>
            </w:pPr>
          </w:p>
        </w:tc>
        <w:tc>
          <w:tcPr>
            <w:tcW w:w="1060" w:type="dxa"/>
            <w:tcBorders>
              <w:top w:val="nil"/>
              <w:left w:val="nil"/>
              <w:bottom w:val="nil"/>
              <w:right w:val="nil"/>
            </w:tcBorders>
            <w:shd w:val="clear" w:color="000000" w:fill="D9D9D9"/>
            <w:noWrap/>
            <w:vAlign w:val="bottom"/>
            <w:hideMark/>
          </w:tcPr>
          <w:p w14:paraId="4E24614D" w14:textId="77777777" w:rsidR="0097090C" w:rsidRPr="00636CC2" w:rsidRDefault="0097090C" w:rsidP="0097090C">
            <w:pPr>
              <w:jc w:val="right"/>
              <w:rPr>
                <w:rFonts w:cs="Arial"/>
                <w:sz w:val="18"/>
                <w:szCs w:val="18"/>
              </w:rPr>
            </w:pPr>
            <w:r w:rsidRPr="00636CC2">
              <w:rPr>
                <w:rFonts w:cs="Arial"/>
                <w:sz w:val="18"/>
                <w:szCs w:val="18"/>
              </w:rPr>
              <w:t> </w:t>
            </w:r>
          </w:p>
        </w:tc>
        <w:tc>
          <w:tcPr>
            <w:tcW w:w="1060" w:type="dxa"/>
            <w:tcBorders>
              <w:top w:val="nil"/>
              <w:left w:val="nil"/>
              <w:bottom w:val="nil"/>
              <w:right w:val="nil"/>
            </w:tcBorders>
            <w:shd w:val="clear" w:color="auto" w:fill="auto"/>
            <w:noWrap/>
            <w:vAlign w:val="bottom"/>
            <w:hideMark/>
          </w:tcPr>
          <w:p w14:paraId="64B5B7BD" w14:textId="77777777" w:rsidR="0097090C" w:rsidRPr="00636CC2" w:rsidRDefault="0097090C" w:rsidP="0097090C">
            <w:pPr>
              <w:jc w:val="right"/>
              <w:rPr>
                <w:rFonts w:cs="Arial"/>
                <w:sz w:val="18"/>
                <w:szCs w:val="18"/>
              </w:rPr>
            </w:pPr>
          </w:p>
        </w:tc>
        <w:tc>
          <w:tcPr>
            <w:tcW w:w="940" w:type="dxa"/>
            <w:tcBorders>
              <w:top w:val="nil"/>
              <w:left w:val="nil"/>
              <w:bottom w:val="nil"/>
              <w:right w:val="nil"/>
            </w:tcBorders>
            <w:shd w:val="clear" w:color="000000" w:fill="D9D9D9"/>
            <w:noWrap/>
            <w:vAlign w:val="bottom"/>
            <w:hideMark/>
          </w:tcPr>
          <w:p w14:paraId="2A56B5AA"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6A977AF4" w14:textId="77777777" w:rsidTr="0097090C">
        <w:trPr>
          <w:trHeight w:val="240"/>
        </w:trPr>
        <w:tc>
          <w:tcPr>
            <w:tcW w:w="4480" w:type="dxa"/>
            <w:tcBorders>
              <w:top w:val="nil"/>
              <w:left w:val="nil"/>
              <w:bottom w:val="nil"/>
              <w:right w:val="nil"/>
            </w:tcBorders>
            <w:shd w:val="clear" w:color="auto" w:fill="auto"/>
            <w:noWrap/>
            <w:vAlign w:val="bottom"/>
            <w:hideMark/>
          </w:tcPr>
          <w:p w14:paraId="7003BDB5" w14:textId="77777777" w:rsidR="0097090C" w:rsidRPr="00636CC2" w:rsidRDefault="0097090C" w:rsidP="0097090C">
            <w:pPr>
              <w:rPr>
                <w:rFonts w:cs="Arial"/>
                <w:sz w:val="18"/>
                <w:szCs w:val="18"/>
              </w:rPr>
            </w:pPr>
            <w:r w:rsidRPr="00636CC2">
              <w:rPr>
                <w:rFonts w:cs="Arial"/>
                <w:sz w:val="18"/>
                <w:szCs w:val="18"/>
              </w:rPr>
              <w:t>Short-term cash investments</w:t>
            </w:r>
            <w:r>
              <w:rPr>
                <w:rFonts w:cs="Arial"/>
                <w:sz w:val="18"/>
                <w:szCs w:val="18"/>
              </w:rPr>
              <w:t>**</w:t>
            </w:r>
          </w:p>
        </w:tc>
        <w:tc>
          <w:tcPr>
            <w:tcW w:w="1000" w:type="dxa"/>
            <w:tcBorders>
              <w:top w:val="nil"/>
              <w:left w:val="nil"/>
              <w:bottom w:val="nil"/>
              <w:right w:val="nil"/>
            </w:tcBorders>
            <w:shd w:val="clear" w:color="000000" w:fill="D9D9D9"/>
            <w:noWrap/>
            <w:vAlign w:val="bottom"/>
            <w:hideMark/>
          </w:tcPr>
          <w:p w14:paraId="5A91B76C" w14:textId="77777777" w:rsidR="0097090C" w:rsidRPr="00636CC2" w:rsidRDefault="0097090C" w:rsidP="0097090C">
            <w:pPr>
              <w:jc w:val="right"/>
              <w:rPr>
                <w:rFonts w:cs="Arial"/>
                <w:sz w:val="18"/>
                <w:szCs w:val="18"/>
              </w:rPr>
            </w:pPr>
            <w:r w:rsidRPr="00636CC2">
              <w:rPr>
                <w:rFonts w:cs="Arial"/>
                <w:sz w:val="18"/>
                <w:szCs w:val="18"/>
              </w:rPr>
              <w:t>29,400</w:t>
            </w:r>
          </w:p>
        </w:tc>
        <w:tc>
          <w:tcPr>
            <w:tcW w:w="1060" w:type="dxa"/>
            <w:tcBorders>
              <w:top w:val="nil"/>
              <w:left w:val="nil"/>
              <w:bottom w:val="nil"/>
              <w:right w:val="nil"/>
            </w:tcBorders>
            <w:shd w:val="clear" w:color="auto" w:fill="auto"/>
            <w:noWrap/>
            <w:vAlign w:val="bottom"/>
            <w:hideMark/>
          </w:tcPr>
          <w:p w14:paraId="23368F04" w14:textId="77777777" w:rsidR="0097090C" w:rsidRPr="00636CC2" w:rsidRDefault="0097090C" w:rsidP="0097090C">
            <w:pPr>
              <w:jc w:val="right"/>
              <w:rPr>
                <w:rFonts w:cs="Arial"/>
                <w:sz w:val="18"/>
                <w:szCs w:val="18"/>
              </w:rPr>
            </w:pPr>
            <w:r w:rsidRPr="00636CC2">
              <w:rPr>
                <w:rFonts w:cs="Arial"/>
                <w:sz w:val="18"/>
                <w:szCs w:val="18"/>
              </w:rPr>
              <w:t>29,400</w:t>
            </w:r>
          </w:p>
        </w:tc>
        <w:tc>
          <w:tcPr>
            <w:tcW w:w="1060" w:type="dxa"/>
            <w:tcBorders>
              <w:top w:val="nil"/>
              <w:left w:val="nil"/>
              <w:bottom w:val="nil"/>
              <w:right w:val="nil"/>
            </w:tcBorders>
            <w:shd w:val="clear" w:color="000000" w:fill="D9D9D9"/>
            <w:noWrap/>
            <w:vAlign w:val="bottom"/>
            <w:hideMark/>
          </w:tcPr>
          <w:p w14:paraId="7F194BB0"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auto" w:fill="auto"/>
            <w:noWrap/>
            <w:vAlign w:val="bottom"/>
            <w:hideMark/>
          </w:tcPr>
          <w:p w14:paraId="0879AAD5"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3E9B65A7"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0C679CDF" w14:textId="77777777" w:rsidTr="0097090C">
        <w:trPr>
          <w:trHeight w:val="240"/>
        </w:trPr>
        <w:tc>
          <w:tcPr>
            <w:tcW w:w="4480" w:type="dxa"/>
            <w:tcBorders>
              <w:top w:val="nil"/>
              <w:left w:val="nil"/>
              <w:bottom w:val="nil"/>
              <w:right w:val="nil"/>
            </w:tcBorders>
            <w:shd w:val="clear" w:color="auto" w:fill="auto"/>
            <w:noWrap/>
            <w:vAlign w:val="bottom"/>
            <w:hideMark/>
          </w:tcPr>
          <w:p w14:paraId="5054C0D3" w14:textId="77777777" w:rsidR="0097090C" w:rsidRPr="00636CC2" w:rsidRDefault="0097090C" w:rsidP="0097090C">
            <w:pPr>
              <w:rPr>
                <w:rFonts w:cs="Arial"/>
                <w:sz w:val="18"/>
                <w:szCs w:val="18"/>
              </w:rPr>
            </w:pPr>
            <w:r w:rsidRPr="00636CC2">
              <w:rPr>
                <w:rFonts w:cs="Arial"/>
                <w:sz w:val="18"/>
                <w:szCs w:val="18"/>
              </w:rPr>
              <w:t>Foreign exchange forward contract</w:t>
            </w:r>
          </w:p>
        </w:tc>
        <w:tc>
          <w:tcPr>
            <w:tcW w:w="1000" w:type="dxa"/>
            <w:tcBorders>
              <w:top w:val="nil"/>
              <w:left w:val="nil"/>
              <w:bottom w:val="nil"/>
              <w:right w:val="nil"/>
            </w:tcBorders>
            <w:shd w:val="clear" w:color="000000" w:fill="D9D9D9"/>
            <w:noWrap/>
            <w:vAlign w:val="bottom"/>
            <w:hideMark/>
          </w:tcPr>
          <w:p w14:paraId="5E7644DA" w14:textId="77777777" w:rsidR="0097090C" w:rsidRPr="00636CC2" w:rsidRDefault="0097090C" w:rsidP="0097090C">
            <w:pPr>
              <w:jc w:val="right"/>
              <w:rPr>
                <w:rFonts w:cs="Arial"/>
                <w:sz w:val="18"/>
                <w:szCs w:val="18"/>
              </w:rPr>
            </w:pPr>
            <w:r w:rsidRPr="00636CC2">
              <w:rPr>
                <w:rFonts w:cs="Arial"/>
                <w:sz w:val="18"/>
                <w:szCs w:val="18"/>
              </w:rPr>
              <w:t>947</w:t>
            </w:r>
          </w:p>
        </w:tc>
        <w:tc>
          <w:tcPr>
            <w:tcW w:w="1060" w:type="dxa"/>
            <w:tcBorders>
              <w:top w:val="nil"/>
              <w:left w:val="nil"/>
              <w:bottom w:val="nil"/>
              <w:right w:val="nil"/>
            </w:tcBorders>
            <w:shd w:val="clear" w:color="auto" w:fill="auto"/>
            <w:noWrap/>
            <w:vAlign w:val="bottom"/>
            <w:hideMark/>
          </w:tcPr>
          <w:p w14:paraId="7A3C561A" w14:textId="77777777" w:rsidR="0097090C" w:rsidRPr="00636CC2" w:rsidRDefault="0097090C" w:rsidP="0097090C">
            <w:pPr>
              <w:jc w:val="right"/>
              <w:rPr>
                <w:rFonts w:cs="Arial"/>
                <w:sz w:val="18"/>
                <w:szCs w:val="18"/>
              </w:rPr>
            </w:pPr>
            <w:r w:rsidRPr="00636CC2">
              <w:rPr>
                <w:rFonts w:cs="Arial"/>
                <w:sz w:val="18"/>
                <w:szCs w:val="18"/>
              </w:rPr>
              <w:t>947</w:t>
            </w:r>
          </w:p>
        </w:tc>
        <w:tc>
          <w:tcPr>
            <w:tcW w:w="1060" w:type="dxa"/>
            <w:tcBorders>
              <w:top w:val="nil"/>
              <w:left w:val="nil"/>
              <w:bottom w:val="nil"/>
              <w:right w:val="nil"/>
            </w:tcBorders>
            <w:shd w:val="clear" w:color="000000" w:fill="D9D9D9"/>
            <w:noWrap/>
            <w:vAlign w:val="bottom"/>
            <w:hideMark/>
          </w:tcPr>
          <w:p w14:paraId="77C02DC3" w14:textId="77777777" w:rsidR="0097090C" w:rsidRPr="00636CC2" w:rsidRDefault="0097090C" w:rsidP="0097090C">
            <w:pPr>
              <w:jc w:val="right"/>
              <w:rPr>
                <w:rFonts w:cs="Arial"/>
                <w:sz w:val="18"/>
                <w:szCs w:val="18"/>
              </w:rPr>
            </w:pPr>
            <w:r w:rsidRPr="00636CC2">
              <w:rPr>
                <w:rFonts w:cs="Arial"/>
                <w:sz w:val="18"/>
                <w:szCs w:val="18"/>
              </w:rPr>
              <w:t>0</w:t>
            </w:r>
          </w:p>
        </w:tc>
        <w:tc>
          <w:tcPr>
            <w:tcW w:w="1060" w:type="dxa"/>
            <w:tcBorders>
              <w:top w:val="nil"/>
              <w:left w:val="nil"/>
              <w:bottom w:val="nil"/>
              <w:right w:val="nil"/>
            </w:tcBorders>
            <w:shd w:val="clear" w:color="auto" w:fill="auto"/>
            <w:noWrap/>
            <w:vAlign w:val="bottom"/>
            <w:hideMark/>
          </w:tcPr>
          <w:p w14:paraId="22A877AB" w14:textId="77777777" w:rsidR="0097090C" w:rsidRPr="00636CC2" w:rsidRDefault="0097090C" w:rsidP="0097090C">
            <w:pPr>
              <w:jc w:val="right"/>
              <w:rPr>
                <w:rFonts w:cs="Arial"/>
                <w:sz w:val="18"/>
                <w:szCs w:val="18"/>
              </w:rPr>
            </w:pPr>
            <w:r w:rsidRPr="00636CC2">
              <w:rPr>
                <w:rFonts w:cs="Arial"/>
                <w:sz w:val="18"/>
                <w:szCs w:val="18"/>
              </w:rPr>
              <w:t>0</w:t>
            </w:r>
          </w:p>
        </w:tc>
        <w:tc>
          <w:tcPr>
            <w:tcW w:w="940" w:type="dxa"/>
            <w:tcBorders>
              <w:top w:val="nil"/>
              <w:left w:val="nil"/>
              <w:bottom w:val="nil"/>
              <w:right w:val="nil"/>
            </w:tcBorders>
            <w:shd w:val="clear" w:color="000000" w:fill="D9D9D9"/>
            <w:noWrap/>
            <w:vAlign w:val="bottom"/>
            <w:hideMark/>
          </w:tcPr>
          <w:p w14:paraId="3403AF44"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404D3AB4" w14:textId="77777777" w:rsidTr="0097090C">
        <w:trPr>
          <w:trHeight w:val="240"/>
        </w:trPr>
        <w:tc>
          <w:tcPr>
            <w:tcW w:w="4480" w:type="dxa"/>
            <w:tcBorders>
              <w:top w:val="single" w:sz="4" w:space="0" w:color="auto"/>
              <w:left w:val="nil"/>
              <w:bottom w:val="single" w:sz="4" w:space="0" w:color="auto"/>
              <w:right w:val="nil"/>
            </w:tcBorders>
            <w:shd w:val="clear" w:color="auto" w:fill="auto"/>
            <w:noWrap/>
            <w:vAlign w:val="bottom"/>
            <w:hideMark/>
          </w:tcPr>
          <w:p w14:paraId="7DF9D054" w14:textId="77777777" w:rsidR="0097090C" w:rsidRPr="00636CC2" w:rsidRDefault="0097090C" w:rsidP="0097090C">
            <w:pPr>
              <w:rPr>
                <w:rFonts w:cs="Arial"/>
                <w:b/>
                <w:bCs/>
                <w:sz w:val="18"/>
                <w:szCs w:val="18"/>
              </w:rPr>
            </w:pPr>
            <w:r w:rsidRPr="00636CC2">
              <w:rPr>
                <w:rFonts w:cs="Arial"/>
                <w:b/>
                <w:bCs/>
                <w:sz w:val="18"/>
                <w:szCs w:val="18"/>
              </w:rPr>
              <w:t>Total</w:t>
            </w:r>
          </w:p>
        </w:tc>
        <w:tc>
          <w:tcPr>
            <w:tcW w:w="1000" w:type="dxa"/>
            <w:tcBorders>
              <w:top w:val="single" w:sz="4" w:space="0" w:color="auto"/>
              <w:left w:val="nil"/>
              <w:bottom w:val="single" w:sz="4" w:space="0" w:color="auto"/>
              <w:right w:val="nil"/>
            </w:tcBorders>
            <w:shd w:val="clear" w:color="000000" w:fill="D9D9D9"/>
            <w:noWrap/>
            <w:vAlign w:val="bottom"/>
            <w:hideMark/>
          </w:tcPr>
          <w:p w14:paraId="73BA24FE" w14:textId="77777777" w:rsidR="0097090C" w:rsidRPr="00636CC2" w:rsidRDefault="0097090C" w:rsidP="0097090C">
            <w:pPr>
              <w:jc w:val="right"/>
              <w:rPr>
                <w:rFonts w:cs="Arial"/>
                <w:b/>
                <w:bCs/>
                <w:sz w:val="18"/>
                <w:szCs w:val="18"/>
              </w:rPr>
            </w:pPr>
            <w:r w:rsidRPr="00636CC2">
              <w:rPr>
                <w:rFonts w:cs="Arial"/>
                <w:b/>
                <w:bCs/>
                <w:sz w:val="18"/>
                <w:szCs w:val="18"/>
              </w:rPr>
              <w:t>32,596</w:t>
            </w:r>
          </w:p>
        </w:tc>
        <w:tc>
          <w:tcPr>
            <w:tcW w:w="1060" w:type="dxa"/>
            <w:tcBorders>
              <w:top w:val="single" w:sz="4" w:space="0" w:color="auto"/>
              <w:left w:val="nil"/>
              <w:bottom w:val="single" w:sz="4" w:space="0" w:color="auto"/>
              <w:right w:val="nil"/>
            </w:tcBorders>
            <w:shd w:val="clear" w:color="auto" w:fill="auto"/>
            <w:noWrap/>
            <w:vAlign w:val="bottom"/>
            <w:hideMark/>
          </w:tcPr>
          <w:p w14:paraId="472A157D" w14:textId="77777777" w:rsidR="0097090C" w:rsidRPr="00636CC2" w:rsidRDefault="0097090C" w:rsidP="0097090C">
            <w:pPr>
              <w:jc w:val="right"/>
              <w:rPr>
                <w:rFonts w:cs="Arial"/>
                <w:b/>
                <w:bCs/>
                <w:sz w:val="18"/>
                <w:szCs w:val="18"/>
              </w:rPr>
            </w:pPr>
            <w:r w:rsidRPr="00636CC2">
              <w:rPr>
                <w:rFonts w:cs="Arial"/>
                <w:b/>
                <w:bCs/>
                <w:sz w:val="18"/>
                <w:szCs w:val="18"/>
              </w:rPr>
              <w:t>32,237</w:t>
            </w:r>
          </w:p>
        </w:tc>
        <w:tc>
          <w:tcPr>
            <w:tcW w:w="1060" w:type="dxa"/>
            <w:tcBorders>
              <w:top w:val="single" w:sz="4" w:space="0" w:color="auto"/>
              <w:left w:val="nil"/>
              <w:bottom w:val="single" w:sz="4" w:space="0" w:color="auto"/>
              <w:right w:val="nil"/>
            </w:tcBorders>
            <w:shd w:val="clear" w:color="000000" w:fill="D9D9D9"/>
            <w:noWrap/>
            <w:vAlign w:val="bottom"/>
            <w:hideMark/>
          </w:tcPr>
          <w:p w14:paraId="348747EF" w14:textId="77777777" w:rsidR="0097090C" w:rsidRPr="00636CC2" w:rsidRDefault="0097090C" w:rsidP="0097090C">
            <w:pPr>
              <w:jc w:val="right"/>
              <w:rPr>
                <w:rFonts w:cs="Arial"/>
                <w:b/>
                <w:bCs/>
                <w:sz w:val="18"/>
                <w:szCs w:val="18"/>
              </w:rPr>
            </w:pPr>
            <w:r w:rsidRPr="00636CC2">
              <w:rPr>
                <w:rFonts w:cs="Arial"/>
                <w:b/>
                <w:bCs/>
                <w:sz w:val="18"/>
                <w:szCs w:val="18"/>
              </w:rPr>
              <w:t>359</w:t>
            </w:r>
          </w:p>
        </w:tc>
        <w:tc>
          <w:tcPr>
            <w:tcW w:w="1060" w:type="dxa"/>
            <w:tcBorders>
              <w:top w:val="single" w:sz="4" w:space="0" w:color="auto"/>
              <w:left w:val="nil"/>
              <w:bottom w:val="single" w:sz="4" w:space="0" w:color="auto"/>
              <w:right w:val="nil"/>
            </w:tcBorders>
            <w:shd w:val="clear" w:color="auto" w:fill="auto"/>
            <w:noWrap/>
            <w:vAlign w:val="bottom"/>
            <w:hideMark/>
          </w:tcPr>
          <w:p w14:paraId="44DF6867" w14:textId="77777777" w:rsidR="0097090C" w:rsidRPr="00636CC2" w:rsidRDefault="0097090C" w:rsidP="0097090C">
            <w:pPr>
              <w:jc w:val="right"/>
              <w:rPr>
                <w:rFonts w:cs="Arial"/>
                <w:b/>
                <w:bCs/>
                <w:sz w:val="18"/>
                <w:szCs w:val="18"/>
              </w:rPr>
            </w:pPr>
            <w:r w:rsidRPr="00636CC2">
              <w:rPr>
                <w:rFonts w:cs="Arial"/>
                <w:b/>
                <w:bCs/>
                <w:sz w:val="18"/>
                <w:szCs w:val="18"/>
              </w:rPr>
              <w:t>0</w:t>
            </w:r>
          </w:p>
        </w:tc>
        <w:tc>
          <w:tcPr>
            <w:tcW w:w="940" w:type="dxa"/>
            <w:tcBorders>
              <w:top w:val="single" w:sz="4" w:space="0" w:color="auto"/>
              <w:left w:val="nil"/>
              <w:bottom w:val="single" w:sz="4" w:space="0" w:color="auto"/>
              <w:right w:val="nil"/>
            </w:tcBorders>
            <w:shd w:val="clear" w:color="000000" w:fill="D9D9D9"/>
            <w:noWrap/>
            <w:vAlign w:val="bottom"/>
            <w:hideMark/>
          </w:tcPr>
          <w:p w14:paraId="49B50352" w14:textId="77777777" w:rsidR="0097090C" w:rsidRPr="00636CC2" w:rsidRDefault="0097090C" w:rsidP="0097090C">
            <w:pPr>
              <w:jc w:val="right"/>
              <w:rPr>
                <w:rFonts w:cs="Arial"/>
                <w:b/>
                <w:bCs/>
                <w:sz w:val="18"/>
                <w:szCs w:val="18"/>
              </w:rPr>
            </w:pPr>
            <w:r w:rsidRPr="00636CC2">
              <w:rPr>
                <w:rFonts w:cs="Arial"/>
                <w:b/>
                <w:bCs/>
                <w:sz w:val="18"/>
                <w:szCs w:val="18"/>
              </w:rPr>
              <w:t>0</w:t>
            </w:r>
          </w:p>
        </w:tc>
      </w:tr>
    </w:tbl>
    <w:p w14:paraId="6DD1E407" w14:textId="77777777" w:rsidR="0097090C" w:rsidRDefault="0097090C" w:rsidP="0097090C">
      <w:pPr>
        <w:rPr>
          <w:rFonts w:cs="Arial"/>
        </w:rPr>
      </w:pPr>
    </w:p>
    <w:p w14:paraId="2825DC2D" w14:textId="77777777" w:rsidR="0097090C" w:rsidRPr="00207C8F" w:rsidRDefault="0097090C" w:rsidP="0097090C">
      <w:pPr>
        <w:rPr>
          <w:rFonts w:cs="Arial"/>
          <w:sz w:val="21"/>
          <w:szCs w:val="21"/>
        </w:rPr>
      </w:pPr>
      <w:r w:rsidRPr="00207C8F">
        <w:rPr>
          <w:rFonts w:cs="Arial"/>
          <w:sz w:val="21"/>
          <w:szCs w:val="21"/>
        </w:rPr>
        <w:t>** Short term cash investments are held either with the Treasury Corporation of Victoria or with financial institutions that are Approved Deposit-taking Institutions.</w:t>
      </w:r>
    </w:p>
    <w:p w14:paraId="4F7C7919" w14:textId="77777777" w:rsidR="0097090C" w:rsidRDefault="0097090C" w:rsidP="0097090C">
      <w:pPr>
        <w:rPr>
          <w:rFonts w:cs="Arial"/>
        </w:rPr>
      </w:pPr>
    </w:p>
    <w:p w14:paraId="753E8A3F" w14:textId="77777777" w:rsidR="0097090C" w:rsidRPr="001F751F" w:rsidRDefault="0097090C" w:rsidP="0097090C">
      <w:pPr>
        <w:pStyle w:val="Heading5"/>
        <w:numPr>
          <w:ilvl w:val="0"/>
          <w:numId w:val="35"/>
        </w:numPr>
      </w:pPr>
      <w:r w:rsidRPr="001F751F">
        <w:t>Liquidity Risk</w:t>
      </w:r>
    </w:p>
    <w:p w14:paraId="7B4A8EBD" w14:textId="77777777" w:rsidR="0097090C" w:rsidRDefault="0097090C" w:rsidP="0097090C">
      <w:pPr>
        <w:rPr>
          <w:rFonts w:cs="Arial"/>
        </w:rPr>
      </w:pPr>
      <w:r w:rsidRPr="00E82E37">
        <w:rPr>
          <w:rFonts w:cs="Arial"/>
        </w:rPr>
        <w:t>Liquidity risk arises when the entity is unable to meet its contractual financial obligations as they fall due. The entity operates under the Government fair payments policy of settling financial obligations within 30 days and in the event of a dispute, makes payments within 30 days from the date of resolution. It also continuously manages risk through monitoring future cash flows and maturities planning to ensure adequate holding of high quality liquid assets and dealing in highly liquid markets.</w:t>
      </w:r>
    </w:p>
    <w:p w14:paraId="7652F29A" w14:textId="77777777" w:rsidR="0097090C" w:rsidRDefault="0097090C" w:rsidP="0097090C">
      <w:pPr>
        <w:rPr>
          <w:rFonts w:cs="Arial"/>
        </w:rPr>
      </w:pPr>
    </w:p>
    <w:p w14:paraId="6731E738" w14:textId="77777777" w:rsidR="0097090C" w:rsidRPr="00E82E37" w:rsidRDefault="0097090C" w:rsidP="0097090C">
      <w:pPr>
        <w:tabs>
          <w:tab w:val="left" w:pos="525"/>
        </w:tabs>
        <w:rPr>
          <w:rFonts w:cs="Arial"/>
        </w:rPr>
      </w:pPr>
      <w:r w:rsidRPr="00E82E37">
        <w:rPr>
          <w:rFonts w:cs="Arial"/>
        </w:rPr>
        <w:t>The entity’s exposure to liquidity risk is deemed insignificant based on prior periods’ data and current assessment of risk. Cash for unexpected events is generally sourced from cash and cash equivalent assets.</w:t>
      </w:r>
    </w:p>
    <w:p w14:paraId="00803121" w14:textId="77777777" w:rsidR="0097090C" w:rsidRPr="00E82E37" w:rsidRDefault="0097090C" w:rsidP="0097090C">
      <w:pPr>
        <w:tabs>
          <w:tab w:val="left" w:pos="525"/>
        </w:tabs>
        <w:rPr>
          <w:rFonts w:cs="Arial"/>
        </w:rPr>
      </w:pPr>
    </w:p>
    <w:p w14:paraId="50E97409" w14:textId="77777777" w:rsidR="0097090C" w:rsidRDefault="0097090C" w:rsidP="0097090C">
      <w:pPr>
        <w:rPr>
          <w:rFonts w:cs="Arial"/>
        </w:rPr>
      </w:pPr>
      <w:r w:rsidRPr="00E82E37">
        <w:rPr>
          <w:rFonts w:cs="Arial"/>
        </w:rPr>
        <w:t>Maximum exposure to liquidity risk is the carrying amounts of financial liabilities</w:t>
      </w:r>
      <w:r>
        <w:rPr>
          <w:rFonts w:cs="Arial"/>
        </w:rPr>
        <w:t>.</w:t>
      </w:r>
    </w:p>
    <w:p w14:paraId="27156E31" w14:textId="77777777" w:rsidR="0097090C" w:rsidRDefault="0097090C" w:rsidP="0097090C">
      <w:pPr>
        <w:pStyle w:val="NormalIndent"/>
        <w:ind w:left="357" w:hanging="357"/>
        <w:jc w:val="both"/>
        <w:rPr>
          <w:b/>
          <w:sz w:val="22"/>
          <w:szCs w:val="22"/>
        </w:rPr>
      </w:pPr>
    </w:p>
    <w:tbl>
      <w:tblPr>
        <w:tblW w:w="9060" w:type="dxa"/>
        <w:tblInd w:w="93" w:type="dxa"/>
        <w:tblLook w:val="04A0" w:firstRow="1" w:lastRow="0" w:firstColumn="1" w:lastColumn="0" w:noHBand="0" w:noVBand="1"/>
      </w:tblPr>
      <w:tblGrid>
        <w:gridCol w:w="2641"/>
        <w:gridCol w:w="1417"/>
        <w:gridCol w:w="1402"/>
        <w:gridCol w:w="1200"/>
        <w:gridCol w:w="1200"/>
        <w:gridCol w:w="1200"/>
      </w:tblGrid>
      <w:tr w:rsidR="0097090C" w:rsidRPr="00636CC2" w14:paraId="76D71437" w14:textId="77777777" w:rsidTr="0097090C">
        <w:trPr>
          <w:trHeight w:val="240"/>
        </w:trPr>
        <w:tc>
          <w:tcPr>
            <w:tcW w:w="5460" w:type="dxa"/>
            <w:gridSpan w:val="3"/>
            <w:tcBorders>
              <w:top w:val="nil"/>
              <w:left w:val="nil"/>
              <w:bottom w:val="single" w:sz="4" w:space="0" w:color="auto"/>
              <w:right w:val="nil"/>
            </w:tcBorders>
            <w:shd w:val="clear" w:color="auto" w:fill="auto"/>
            <w:noWrap/>
            <w:vAlign w:val="bottom"/>
            <w:hideMark/>
          </w:tcPr>
          <w:p w14:paraId="7C310279" w14:textId="77777777" w:rsidR="0097090C" w:rsidRPr="00636CC2" w:rsidRDefault="0097090C" w:rsidP="0097090C">
            <w:pPr>
              <w:rPr>
                <w:rFonts w:cs="Arial"/>
                <w:b/>
                <w:bCs/>
                <w:sz w:val="18"/>
                <w:szCs w:val="18"/>
              </w:rPr>
            </w:pPr>
            <w:r w:rsidRPr="00636CC2">
              <w:rPr>
                <w:rFonts w:cs="Arial"/>
                <w:b/>
                <w:bCs/>
                <w:sz w:val="18"/>
                <w:szCs w:val="18"/>
              </w:rPr>
              <w:t>Maturity analysis of contractual financial liabilities</w:t>
            </w:r>
          </w:p>
        </w:tc>
        <w:tc>
          <w:tcPr>
            <w:tcW w:w="1200" w:type="dxa"/>
            <w:tcBorders>
              <w:top w:val="nil"/>
              <w:left w:val="nil"/>
              <w:bottom w:val="single" w:sz="4" w:space="0" w:color="auto"/>
              <w:right w:val="nil"/>
            </w:tcBorders>
            <w:shd w:val="clear" w:color="auto" w:fill="auto"/>
            <w:noWrap/>
            <w:vAlign w:val="bottom"/>
            <w:hideMark/>
          </w:tcPr>
          <w:p w14:paraId="7F38D064" w14:textId="77777777" w:rsidR="0097090C" w:rsidRPr="00636CC2" w:rsidRDefault="0097090C" w:rsidP="0097090C">
            <w:pPr>
              <w:rPr>
                <w:rFonts w:cs="Arial"/>
                <w:b/>
                <w:bCs/>
                <w:i/>
                <w:iCs/>
                <w:sz w:val="18"/>
                <w:szCs w:val="18"/>
              </w:rPr>
            </w:pPr>
            <w:r w:rsidRPr="00636CC2">
              <w:rPr>
                <w:rFonts w:cs="Arial"/>
                <w:b/>
                <w:bCs/>
                <w:i/>
                <w:iCs/>
                <w:sz w:val="18"/>
                <w:szCs w:val="18"/>
              </w:rPr>
              <w:t> </w:t>
            </w:r>
          </w:p>
        </w:tc>
        <w:tc>
          <w:tcPr>
            <w:tcW w:w="1200" w:type="dxa"/>
            <w:tcBorders>
              <w:top w:val="nil"/>
              <w:left w:val="nil"/>
              <w:bottom w:val="single" w:sz="4" w:space="0" w:color="auto"/>
              <w:right w:val="nil"/>
            </w:tcBorders>
            <w:shd w:val="clear" w:color="auto" w:fill="auto"/>
            <w:noWrap/>
            <w:vAlign w:val="bottom"/>
            <w:hideMark/>
          </w:tcPr>
          <w:p w14:paraId="419F9705" w14:textId="77777777" w:rsidR="0097090C" w:rsidRPr="00636CC2" w:rsidRDefault="0097090C" w:rsidP="0097090C">
            <w:pPr>
              <w:rPr>
                <w:rFonts w:cs="Arial"/>
                <w:sz w:val="18"/>
                <w:szCs w:val="18"/>
              </w:rPr>
            </w:pPr>
            <w:r w:rsidRPr="00636CC2">
              <w:rPr>
                <w:rFonts w:cs="Arial"/>
                <w:sz w:val="18"/>
                <w:szCs w:val="18"/>
              </w:rPr>
              <w:t> </w:t>
            </w:r>
          </w:p>
        </w:tc>
        <w:tc>
          <w:tcPr>
            <w:tcW w:w="1200" w:type="dxa"/>
            <w:tcBorders>
              <w:top w:val="nil"/>
              <w:left w:val="nil"/>
              <w:bottom w:val="single" w:sz="4" w:space="0" w:color="auto"/>
              <w:right w:val="nil"/>
            </w:tcBorders>
            <w:shd w:val="clear" w:color="auto" w:fill="auto"/>
            <w:noWrap/>
            <w:vAlign w:val="bottom"/>
            <w:hideMark/>
          </w:tcPr>
          <w:p w14:paraId="22717D0D" w14:textId="77777777" w:rsidR="0097090C" w:rsidRPr="00636CC2" w:rsidRDefault="0097090C" w:rsidP="0097090C">
            <w:pPr>
              <w:jc w:val="right"/>
              <w:rPr>
                <w:rFonts w:cs="Arial"/>
                <w:b/>
                <w:bCs/>
                <w:i/>
                <w:iCs/>
                <w:sz w:val="18"/>
                <w:szCs w:val="18"/>
              </w:rPr>
            </w:pPr>
            <w:r w:rsidRPr="00636CC2">
              <w:rPr>
                <w:rFonts w:cs="Arial"/>
                <w:b/>
                <w:bCs/>
                <w:i/>
                <w:iCs/>
                <w:sz w:val="18"/>
                <w:szCs w:val="18"/>
              </w:rPr>
              <w:t>$ '000</w:t>
            </w:r>
          </w:p>
        </w:tc>
      </w:tr>
      <w:tr w:rsidR="0097090C" w:rsidRPr="00636CC2" w14:paraId="0F584E3B" w14:textId="77777777" w:rsidTr="0097090C">
        <w:trPr>
          <w:trHeight w:val="480"/>
        </w:trPr>
        <w:tc>
          <w:tcPr>
            <w:tcW w:w="2641" w:type="dxa"/>
            <w:tcBorders>
              <w:top w:val="nil"/>
              <w:left w:val="nil"/>
              <w:bottom w:val="nil"/>
              <w:right w:val="nil"/>
            </w:tcBorders>
            <w:shd w:val="clear" w:color="auto" w:fill="auto"/>
            <w:noWrap/>
            <w:vAlign w:val="bottom"/>
            <w:hideMark/>
          </w:tcPr>
          <w:p w14:paraId="342F8089" w14:textId="77777777" w:rsidR="0097090C" w:rsidRPr="00636CC2" w:rsidRDefault="0097090C" w:rsidP="0097090C">
            <w:pPr>
              <w:rPr>
                <w:rFonts w:cs="Arial"/>
                <w:b/>
                <w:bCs/>
                <w:sz w:val="18"/>
                <w:szCs w:val="18"/>
              </w:rPr>
            </w:pPr>
          </w:p>
        </w:tc>
        <w:tc>
          <w:tcPr>
            <w:tcW w:w="1417" w:type="dxa"/>
            <w:tcBorders>
              <w:top w:val="nil"/>
              <w:left w:val="nil"/>
              <w:bottom w:val="nil"/>
              <w:right w:val="nil"/>
            </w:tcBorders>
            <w:shd w:val="clear" w:color="000000" w:fill="D9D9D9"/>
            <w:hideMark/>
          </w:tcPr>
          <w:p w14:paraId="1D62D9AB" w14:textId="77777777" w:rsidR="0097090C" w:rsidRPr="00636CC2" w:rsidRDefault="0097090C" w:rsidP="0097090C">
            <w:pPr>
              <w:jc w:val="center"/>
              <w:rPr>
                <w:rFonts w:cs="Arial"/>
                <w:sz w:val="18"/>
                <w:szCs w:val="18"/>
              </w:rPr>
            </w:pPr>
            <w:r w:rsidRPr="00636CC2">
              <w:rPr>
                <w:rFonts w:cs="Arial"/>
                <w:sz w:val="18"/>
                <w:szCs w:val="18"/>
              </w:rPr>
              <w:t>Carrying amount</w:t>
            </w:r>
          </w:p>
        </w:tc>
        <w:tc>
          <w:tcPr>
            <w:tcW w:w="1402" w:type="dxa"/>
            <w:tcBorders>
              <w:top w:val="nil"/>
              <w:left w:val="nil"/>
              <w:bottom w:val="nil"/>
              <w:right w:val="nil"/>
            </w:tcBorders>
            <w:shd w:val="clear" w:color="auto" w:fill="auto"/>
            <w:hideMark/>
          </w:tcPr>
          <w:p w14:paraId="74453D0D" w14:textId="77777777" w:rsidR="0097090C" w:rsidRPr="00636CC2" w:rsidRDefault="0097090C" w:rsidP="0097090C">
            <w:pPr>
              <w:jc w:val="center"/>
              <w:rPr>
                <w:rFonts w:cs="Arial"/>
                <w:sz w:val="18"/>
                <w:szCs w:val="18"/>
              </w:rPr>
            </w:pPr>
            <w:r w:rsidRPr="00636CC2">
              <w:rPr>
                <w:rFonts w:cs="Arial"/>
                <w:sz w:val="18"/>
                <w:szCs w:val="18"/>
              </w:rPr>
              <w:t>Nominal Amount</w:t>
            </w:r>
          </w:p>
        </w:tc>
        <w:tc>
          <w:tcPr>
            <w:tcW w:w="3600" w:type="dxa"/>
            <w:gridSpan w:val="3"/>
            <w:tcBorders>
              <w:top w:val="single" w:sz="4" w:space="0" w:color="auto"/>
              <w:left w:val="nil"/>
              <w:bottom w:val="single" w:sz="4" w:space="0" w:color="auto"/>
              <w:right w:val="nil"/>
            </w:tcBorders>
            <w:shd w:val="clear" w:color="auto" w:fill="auto"/>
            <w:noWrap/>
            <w:hideMark/>
          </w:tcPr>
          <w:p w14:paraId="1F4403F3" w14:textId="77777777" w:rsidR="0097090C" w:rsidRPr="00636CC2" w:rsidRDefault="0097090C" w:rsidP="0097090C">
            <w:pPr>
              <w:jc w:val="center"/>
              <w:rPr>
                <w:rFonts w:cs="Arial"/>
                <w:sz w:val="18"/>
                <w:szCs w:val="18"/>
              </w:rPr>
            </w:pPr>
            <w:r w:rsidRPr="00636CC2">
              <w:rPr>
                <w:rFonts w:cs="Arial"/>
                <w:sz w:val="18"/>
                <w:szCs w:val="18"/>
              </w:rPr>
              <w:t>Maturity dates</w:t>
            </w:r>
          </w:p>
        </w:tc>
      </w:tr>
      <w:tr w:rsidR="0097090C" w:rsidRPr="00636CC2" w14:paraId="3D0C3AFD" w14:textId="77777777" w:rsidTr="0097090C">
        <w:trPr>
          <w:trHeight w:val="480"/>
        </w:trPr>
        <w:tc>
          <w:tcPr>
            <w:tcW w:w="2641" w:type="dxa"/>
            <w:tcBorders>
              <w:top w:val="nil"/>
              <w:left w:val="nil"/>
              <w:bottom w:val="single" w:sz="4" w:space="0" w:color="auto"/>
              <w:right w:val="nil"/>
            </w:tcBorders>
            <w:shd w:val="clear" w:color="auto" w:fill="auto"/>
            <w:noWrap/>
            <w:vAlign w:val="bottom"/>
            <w:hideMark/>
          </w:tcPr>
          <w:p w14:paraId="49BDF5D0" w14:textId="77777777" w:rsidR="0097090C" w:rsidRPr="00636CC2" w:rsidRDefault="0097090C" w:rsidP="0097090C">
            <w:pPr>
              <w:rPr>
                <w:rFonts w:cs="Arial"/>
                <w:sz w:val="18"/>
                <w:szCs w:val="18"/>
              </w:rPr>
            </w:pPr>
            <w:r w:rsidRPr="00636CC2">
              <w:rPr>
                <w:rFonts w:cs="Arial"/>
                <w:sz w:val="18"/>
                <w:szCs w:val="18"/>
              </w:rPr>
              <w:t> </w:t>
            </w:r>
          </w:p>
        </w:tc>
        <w:tc>
          <w:tcPr>
            <w:tcW w:w="1417" w:type="dxa"/>
            <w:tcBorders>
              <w:top w:val="nil"/>
              <w:left w:val="nil"/>
              <w:bottom w:val="single" w:sz="4" w:space="0" w:color="auto"/>
              <w:right w:val="nil"/>
            </w:tcBorders>
            <w:shd w:val="clear" w:color="000000" w:fill="D9D9D9"/>
            <w:hideMark/>
          </w:tcPr>
          <w:p w14:paraId="178C183D" w14:textId="77777777" w:rsidR="0097090C" w:rsidRPr="00636CC2" w:rsidRDefault="0097090C" w:rsidP="0097090C">
            <w:pPr>
              <w:rPr>
                <w:rFonts w:cs="Arial"/>
                <w:sz w:val="18"/>
                <w:szCs w:val="18"/>
              </w:rPr>
            </w:pPr>
            <w:r w:rsidRPr="00636CC2">
              <w:rPr>
                <w:rFonts w:cs="Arial"/>
                <w:sz w:val="18"/>
                <w:szCs w:val="18"/>
              </w:rPr>
              <w:t> </w:t>
            </w:r>
          </w:p>
        </w:tc>
        <w:tc>
          <w:tcPr>
            <w:tcW w:w="1402" w:type="dxa"/>
            <w:tcBorders>
              <w:top w:val="nil"/>
              <w:left w:val="nil"/>
              <w:bottom w:val="single" w:sz="4" w:space="0" w:color="auto"/>
              <w:right w:val="nil"/>
            </w:tcBorders>
            <w:shd w:val="clear" w:color="auto" w:fill="auto"/>
            <w:hideMark/>
          </w:tcPr>
          <w:p w14:paraId="748A904F" w14:textId="77777777" w:rsidR="0097090C" w:rsidRPr="00636CC2" w:rsidRDefault="0097090C" w:rsidP="0097090C">
            <w:pPr>
              <w:rPr>
                <w:rFonts w:cs="Arial"/>
                <w:sz w:val="18"/>
                <w:szCs w:val="18"/>
              </w:rPr>
            </w:pPr>
            <w:r w:rsidRPr="00636CC2">
              <w:rPr>
                <w:rFonts w:cs="Arial"/>
                <w:sz w:val="18"/>
                <w:szCs w:val="18"/>
              </w:rPr>
              <w:t> </w:t>
            </w:r>
          </w:p>
        </w:tc>
        <w:tc>
          <w:tcPr>
            <w:tcW w:w="1200" w:type="dxa"/>
            <w:tcBorders>
              <w:top w:val="nil"/>
              <w:left w:val="nil"/>
              <w:bottom w:val="single" w:sz="4" w:space="0" w:color="auto"/>
              <w:right w:val="nil"/>
            </w:tcBorders>
            <w:shd w:val="clear" w:color="000000" w:fill="D9D9D9"/>
            <w:hideMark/>
          </w:tcPr>
          <w:p w14:paraId="02CF10BA" w14:textId="77777777" w:rsidR="0097090C" w:rsidRPr="00636CC2" w:rsidRDefault="0097090C" w:rsidP="0097090C">
            <w:pPr>
              <w:rPr>
                <w:rFonts w:cs="Arial"/>
                <w:sz w:val="18"/>
                <w:szCs w:val="18"/>
              </w:rPr>
            </w:pPr>
            <w:r w:rsidRPr="00636CC2">
              <w:rPr>
                <w:rFonts w:cs="Arial"/>
                <w:sz w:val="18"/>
                <w:szCs w:val="18"/>
              </w:rPr>
              <w:t>less than 1 year</w:t>
            </w:r>
          </w:p>
        </w:tc>
        <w:tc>
          <w:tcPr>
            <w:tcW w:w="1200" w:type="dxa"/>
            <w:tcBorders>
              <w:top w:val="nil"/>
              <w:left w:val="nil"/>
              <w:bottom w:val="single" w:sz="4" w:space="0" w:color="auto"/>
              <w:right w:val="nil"/>
            </w:tcBorders>
            <w:shd w:val="clear" w:color="auto" w:fill="auto"/>
            <w:hideMark/>
          </w:tcPr>
          <w:p w14:paraId="5CC163F2" w14:textId="77777777" w:rsidR="0097090C" w:rsidRPr="00636CC2" w:rsidRDefault="0097090C" w:rsidP="0097090C">
            <w:pPr>
              <w:rPr>
                <w:rFonts w:cs="Arial"/>
                <w:sz w:val="18"/>
                <w:szCs w:val="18"/>
              </w:rPr>
            </w:pPr>
            <w:r w:rsidRPr="00636CC2">
              <w:rPr>
                <w:rFonts w:cs="Arial"/>
                <w:sz w:val="18"/>
                <w:szCs w:val="18"/>
              </w:rPr>
              <w:t>1 - 5 years</w:t>
            </w:r>
          </w:p>
        </w:tc>
        <w:tc>
          <w:tcPr>
            <w:tcW w:w="1200" w:type="dxa"/>
            <w:tcBorders>
              <w:top w:val="nil"/>
              <w:left w:val="nil"/>
              <w:bottom w:val="single" w:sz="4" w:space="0" w:color="auto"/>
              <w:right w:val="nil"/>
            </w:tcBorders>
            <w:shd w:val="clear" w:color="000000" w:fill="D9D9D9"/>
            <w:hideMark/>
          </w:tcPr>
          <w:p w14:paraId="0224137C" w14:textId="77777777" w:rsidR="0097090C" w:rsidRPr="00636CC2" w:rsidRDefault="0097090C" w:rsidP="0097090C">
            <w:pPr>
              <w:rPr>
                <w:rFonts w:cs="Arial"/>
                <w:sz w:val="18"/>
                <w:szCs w:val="18"/>
              </w:rPr>
            </w:pPr>
            <w:r w:rsidRPr="00636CC2">
              <w:rPr>
                <w:rFonts w:cs="Arial"/>
                <w:sz w:val="18"/>
                <w:szCs w:val="18"/>
              </w:rPr>
              <w:t>5+ years</w:t>
            </w:r>
          </w:p>
        </w:tc>
      </w:tr>
      <w:tr w:rsidR="0097090C" w:rsidRPr="00636CC2" w14:paraId="74E16CCC" w14:textId="77777777" w:rsidTr="0097090C">
        <w:trPr>
          <w:trHeight w:val="240"/>
        </w:trPr>
        <w:tc>
          <w:tcPr>
            <w:tcW w:w="2641" w:type="dxa"/>
            <w:tcBorders>
              <w:top w:val="nil"/>
              <w:left w:val="nil"/>
              <w:bottom w:val="nil"/>
              <w:right w:val="nil"/>
            </w:tcBorders>
            <w:shd w:val="clear" w:color="auto" w:fill="auto"/>
            <w:noWrap/>
            <w:vAlign w:val="bottom"/>
            <w:hideMark/>
          </w:tcPr>
          <w:p w14:paraId="193FC592" w14:textId="77777777" w:rsidR="0097090C" w:rsidRPr="00636CC2" w:rsidRDefault="0097090C" w:rsidP="0097090C">
            <w:pPr>
              <w:rPr>
                <w:rFonts w:cs="Arial"/>
                <w:b/>
                <w:bCs/>
                <w:sz w:val="18"/>
                <w:szCs w:val="18"/>
              </w:rPr>
            </w:pPr>
            <w:r w:rsidRPr="00636CC2">
              <w:rPr>
                <w:rFonts w:cs="Arial"/>
                <w:b/>
                <w:bCs/>
                <w:sz w:val="18"/>
                <w:szCs w:val="18"/>
              </w:rPr>
              <w:t>2016</w:t>
            </w:r>
          </w:p>
        </w:tc>
        <w:tc>
          <w:tcPr>
            <w:tcW w:w="1417" w:type="dxa"/>
            <w:tcBorders>
              <w:top w:val="nil"/>
              <w:left w:val="nil"/>
              <w:bottom w:val="nil"/>
              <w:right w:val="nil"/>
            </w:tcBorders>
            <w:shd w:val="clear" w:color="000000" w:fill="D9D9D9"/>
            <w:hideMark/>
          </w:tcPr>
          <w:p w14:paraId="3E8B2B5C" w14:textId="77777777" w:rsidR="0097090C" w:rsidRPr="00636CC2" w:rsidRDefault="0097090C" w:rsidP="0097090C">
            <w:pPr>
              <w:rPr>
                <w:rFonts w:cs="Arial"/>
                <w:sz w:val="18"/>
                <w:szCs w:val="18"/>
              </w:rPr>
            </w:pPr>
            <w:r w:rsidRPr="00636CC2">
              <w:rPr>
                <w:rFonts w:cs="Arial"/>
                <w:sz w:val="18"/>
                <w:szCs w:val="18"/>
              </w:rPr>
              <w:t> </w:t>
            </w:r>
          </w:p>
        </w:tc>
        <w:tc>
          <w:tcPr>
            <w:tcW w:w="1402" w:type="dxa"/>
            <w:tcBorders>
              <w:top w:val="nil"/>
              <w:left w:val="nil"/>
              <w:bottom w:val="nil"/>
              <w:right w:val="nil"/>
            </w:tcBorders>
            <w:shd w:val="clear" w:color="auto" w:fill="auto"/>
            <w:hideMark/>
          </w:tcPr>
          <w:p w14:paraId="7C0B4089" w14:textId="77777777" w:rsidR="0097090C" w:rsidRPr="00636CC2" w:rsidRDefault="0097090C" w:rsidP="0097090C">
            <w:pPr>
              <w:rPr>
                <w:rFonts w:cs="Arial"/>
                <w:sz w:val="18"/>
                <w:szCs w:val="18"/>
              </w:rPr>
            </w:pPr>
          </w:p>
        </w:tc>
        <w:tc>
          <w:tcPr>
            <w:tcW w:w="1200" w:type="dxa"/>
            <w:tcBorders>
              <w:top w:val="nil"/>
              <w:left w:val="nil"/>
              <w:bottom w:val="nil"/>
              <w:right w:val="nil"/>
            </w:tcBorders>
            <w:shd w:val="clear" w:color="000000" w:fill="D9D9D9"/>
            <w:hideMark/>
          </w:tcPr>
          <w:p w14:paraId="56B7B8FC" w14:textId="77777777" w:rsidR="0097090C" w:rsidRPr="00636CC2" w:rsidRDefault="0097090C" w:rsidP="0097090C">
            <w:pPr>
              <w:rPr>
                <w:rFonts w:cs="Arial"/>
                <w:sz w:val="18"/>
                <w:szCs w:val="18"/>
              </w:rPr>
            </w:pPr>
            <w:r w:rsidRPr="00636CC2">
              <w:rPr>
                <w:rFonts w:cs="Arial"/>
                <w:sz w:val="18"/>
                <w:szCs w:val="18"/>
              </w:rPr>
              <w:t> </w:t>
            </w:r>
          </w:p>
        </w:tc>
        <w:tc>
          <w:tcPr>
            <w:tcW w:w="1200" w:type="dxa"/>
            <w:tcBorders>
              <w:top w:val="nil"/>
              <w:left w:val="nil"/>
              <w:bottom w:val="nil"/>
              <w:right w:val="nil"/>
            </w:tcBorders>
            <w:shd w:val="clear" w:color="auto" w:fill="auto"/>
            <w:hideMark/>
          </w:tcPr>
          <w:p w14:paraId="61408711" w14:textId="77777777" w:rsidR="0097090C" w:rsidRPr="00636CC2" w:rsidRDefault="0097090C" w:rsidP="0097090C">
            <w:pPr>
              <w:rPr>
                <w:rFonts w:cs="Arial"/>
                <w:sz w:val="18"/>
                <w:szCs w:val="18"/>
              </w:rPr>
            </w:pPr>
          </w:p>
        </w:tc>
        <w:tc>
          <w:tcPr>
            <w:tcW w:w="1200" w:type="dxa"/>
            <w:tcBorders>
              <w:top w:val="nil"/>
              <w:left w:val="nil"/>
              <w:bottom w:val="nil"/>
              <w:right w:val="nil"/>
            </w:tcBorders>
            <w:shd w:val="clear" w:color="000000" w:fill="D9D9D9"/>
            <w:hideMark/>
          </w:tcPr>
          <w:p w14:paraId="038A8A1F"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1F6BEE4A" w14:textId="77777777" w:rsidTr="0097090C">
        <w:trPr>
          <w:trHeight w:val="240"/>
        </w:trPr>
        <w:tc>
          <w:tcPr>
            <w:tcW w:w="2641" w:type="dxa"/>
            <w:tcBorders>
              <w:top w:val="nil"/>
              <w:left w:val="nil"/>
              <w:bottom w:val="nil"/>
              <w:right w:val="nil"/>
            </w:tcBorders>
            <w:shd w:val="clear" w:color="auto" w:fill="auto"/>
            <w:noWrap/>
            <w:vAlign w:val="bottom"/>
            <w:hideMark/>
          </w:tcPr>
          <w:p w14:paraId="0717CE64" w14:textId="77777777" w:rsidR="0097090C" w:rsidRPr="00636CC2" w:rsidRDefault="0097090C" w:rsidP="0097090C">
            <w:pPr>
              <w:rPr>
                <w:rFonts w:cs="Arial"/>
                <w:b/>
                <w:bCs/>
                <w:sz w:val="18"/>
                <w:szCs w:val="18"/>
              </w:rPr>
            </w:pPr>
            <w:r w:rsidRPr="00636CC2">
              <w:rPr>
                <w:rFonts w:cs="Arial"/>
                <w:b/>
                <w:bCs/>
                <w:sz w:val="18"/>
                <w:szCs w:val="18"/>
              </w:rPr>
              <w:t xml:space="preserve">Payables: </w:t>
            </w:r>
          </w:p>
        </w:tc>
        <w:tc>
          <w:tcPr>
            <w:tcW w:w="1417" w:type="dxa"/>
            <w:tcBorders>
              <w:top w:val="nil"/>
              <w:left w:val="nil"/>
              <w:bottom w:val="nil"/>
              <w:right w:val="nil"/>
            </w:tcBorders>
            <w:shd w:val="clear" w:color="000000" w:fill="D9D9D9"/>
            <w:noWrap/>
            <w:vAlign w:val="bottom"/>
            <w:hideMark/>
          </w:tcPr>
          <w:p w14:paraId="3755849B" w14:textId="77777777" w:rsidR="0097090C" w:rsidRPr="00636CC2" w:rsidRDefault="0097090C" w:rsidP="0097090C">
            <w:pPr>
              <w:jc w:val="right"/>
              <w:rPr>
                <w:rFonts w:cs="Arial"/>
                <w:sz w:val="18"/>
                <w:szCs w:val="18"/>
              </w:rPr>
            </w:pPr>
            <w:r w:rsidRPr="00636CC2">
              <w:rPr>
                <w:rFonts w:cs="Arial"/>
                <w:sz w:val="18"/>
                <w:szCs w:val="18"/>
              </w:rPr>
              <w:t> </w:t>
            </w:r>
          </w:p>
        </w:tc>
        <w:tc>
          <w:tcPr>
            <w:tcW w:w="1402" w:type="dxa"/>
            <w:tcBorders>
              <w:top w:val="nil"/>
              <w:left w:val="nil"/>
              <w:bottom w:val="nil"/>
              <w:right w:val="nil"/>
            </w:tcBorders>
            <w:shd w:val="clear" w:color="auto" w:fill="auto"/>
            <w:noWrap/>
            <w:vAlign w:val="bottom"/>
            <w:hideMark/>
          </w:tcPr>
          <w:p w14:paraId="66CD0393"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620F135D" w14:textId="77777777" w:rsidR="0097090C" w:rsidRPr="00636CC2" w:rsidRDefault="0097090C" w:rsidP="0097090C">
            <w:pPr>
              <w:jc w:val="right"/>
              <w:rPr>
                <w:rFonts w:cs="Arial"/>
                <w:sz w:val="18"/>
                <w:szCs w:val="18"/>
              </w:rPr>
            </w:pPr>
            <w:r w:rsidRPr="00636CC2">
              <w:rPr>
                <w:rFonts w:cs="Arial"/>
                <w:sz w:val="18"/>
                <w:szCs w:val="18"/>
              </w:rPr>
              <w:t> </w:t>
            </w:r>
          </w:p>
        </w:tc>
        <w:tc>
          <w:tcPr>
            <w:tcW w:w="1200" w:type="dxa"/>
            <w:tcBorders>
              <w:top w:val="nil"/>
              <w:left w:val="nil"/>
              <w:bottom w:val="nil"/>
              <w:right w:val="nil"/>
            </w:tcBorders>
            <w:shd w:val="clear" w:color="auto" w:fill="auto"/>
            <w:noWrap/>
            <w:vAlign w:val="bottom"/>
            <w:hideMark/>
          </w:tcPr>
          <w:p w14:paraId="7766C560"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3CAEF7F9"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3AE57F6A" w14:textId="77777777" w:rsidTr="0097090C">
        <w:trPr>
          <w:trHeight w:val="240"/>
        </w:trPr>
        <w:tc>
          <w:tcPr>
            <w:tcW w:w="2641" w:type="dxa"/>
            <w:tcBorders>
              <w:top w:val="nil"/>
              <w:left w:val="nil"/>
              <w:bottom w:val="nil"/>
              <w:right w:val="nil"/>
            </w:tcBorders>
            <w:shd w:val="clear" w:color="auto" w:fill="auto"/>
            <w:noWrap/>
            <w:vAlign w:val="bottom"/>
            <w:hideMark/>
          </w:tcPr>
          <w:p w14:paraId="0AA156C4" w14:textId="77777777" w:rsidR="0097090C" w:rsidRPr="00636CC2" w:rsidRDefault="0097090C" w:rsidP="0097090C">
            <w:pPr>
              <w:rPr>
                <w:rFonts w:cs="Arial"/>
                <w:sz w:val="18"/>
                <w:szCs w:val="18"/>
              </w:rPr>
            </w:pPr>
            <w:r w:rsidRPr="00636CC2">
              <w:rPr>
                <w:rFonts w:cs="Arial"/>
                <w:sz w:val="18"/>
                <w:szCs w:val="18"/>
              </w:rPr>
              <w:t>Supplies and services</w:t>
            </w:r>
          </w:p>
        </w:tc>
        <w:tc>
          <w:tcPr>
            <w:tcW w:w="1417" w:type="dxa"/>
            <w:tcBorders>
              <w:top w:val="nil"/>
              <w:left w:val="nil"/>
              <w:bottom w:val="nil"/>
              <w:right w:val="nil"/>
            </w:tcBorders>
            <w:shd w:val="clear" w:color="000000" w:fill="D9D9D9"/>
            <w:noWrap/>
            <w:vAlign w:val="bottom"/>
            <w:hideMark/>
          </w:tcPr>
          <w:p w14:paraId="6A8A546C" w14:textId="77777777" w:rsidR="0097090C" w:rsidRPr="00636CC2" w:rsidRDefault="0097090C" w:rsidP="0097090C">
            <w:pPr>
              <w:jc w:val="right"/>
              <w:rPr>
                <w:rFonts w:cs="Arial"/>
                <w:sz w:val="18"/>
                <w:szCs w:val="18"/>
              </w:rPr>
            </w:pPr>
            <w:r w:rsidRPr="00636CC2">
              <w:rPr>
                <w:rFonts w:cs="Arial"/>
                <w:sz w:val="18"/>
                <w:szCs w:val="18"/>
              </w:rPr>
              <w:t>14,849</w:t>
            </w:r>
          </w:p>
        </w:tc>
        <w:tc>
          <w:tcPr>
            <w:tcW w:w="1402" w:type="dxa"/>
            <w:tcBorders>
              <w:top w:val="nil"/>
              <w:left w:val="nil"/>
              <w:bottom w:val="nil"/>
              <w:right w:val="nil"/>
            </w:tcBorders>
            <w:shd w:val="clear" w:color="auto" w:fill="auto"/>
            <w:noWrap/>
            <w:vAlign w:val="bottom"/>
            <w:hideMark/>
          </w:tcPr>
          <w:p w14:paraId="57D5AE6A" w14:textId="77777777" w:rsidR="0097090C" w:rsidRPr="00636CC2" w:rsidRDefault="0097090C" w:rsidP="0097090C">
            <w:pPr>
              <w:jc w:val="right"/>
              <w:rPr>
                <w:rFonts w:cs="Arial"/>
                <w:sz w:val="18"/>
                <w:szCs w:val="18"/>
              </w:rPr>
            </w:pPr>
            <w:r w:rsidRPr="00636CC2">
              <w:rPr>
                <w:rFonts w:cs="Arial"/>
                <w:sz w:val="18"/>
                <w:szCs w:val="18"/>
              </w:rPr>
              <w:t>13,859</w:t>
            </w:r>
          </w:p>
        </w:tc>
        <w:tc>
          <w:tcPr>
            <w:tcW w:w="1200" w:type="dxa"/>
            <w:tcBorders>
              <w:top w:val="nil"/>
              <w:left w:val="nil"/>
              <w:bottom w:val="nil"/>
              <w:right w:val="nil"/>
            </w:tcBorders>
            <w:shd w:val="clear" w:color="000000" w:fill="D9D9D9"/>
            <w:noWrap/>
            <w:vAlign w:val="bottom"/>
            <w:hideMark/>
          </w:tcPr>
          <w:p w14:paraId="3B910A06" w14:textId="77777777" w:rsidR="0097090C" w:rsidRPr="00636CC2" w:rsidRDefault="0097090C" w:rsidP="0097090C">
            <w:pPr>
              <w:jc w:val="right"/>
              <w:rPr>
                <w:rFonts w:cs="Arial"/>
                <w:sz w:val="18"/>
                <w:szCs w:val="18"/>
              </w:rPr>
            </w:pPr>
            <w:r w:rsidRPr="00636CC2">
              <w:rPr>
                <w:rFonts w:cs="Arial"/>
                <w:sz w:val="18"/>
                <w:szCs w:val="18"/>
              </w:rPr>
              <w:t>13,859</w:t>
            </w:r>
          </w:p>
        </w:tc>
        <w:tc>
          <w:tcPr>
            <w:tcW w:w="1200" w:type="dxa"/>
            <w:tcBorders>
              <w:top w:val="nil"/>
              <w:left w:val="nil"/>
              <w:bottom w:val="nil"/>
              <w:right w:val="nil"/>
            </w:tcBorders>
            <w:shd w:val="clear" w:color="auto" w:fill="auto"/>
            <w:noWrap/>
            <w:vAlign w:val="bottom"/>
            <w:hideMark/>
          </w:tcPr>
          <w:p w14:paraId="463A6923" w14:textId="77777777" w:rsidR="0097090C" w:rsidRPr="00636CC2" w:rsidRDefault="0097090C" w:rsidP="0097090C">
            <w:pPr>
              <w:jc w:val="right"/>
              <w:rPr>
                <w:rFonts w:cs="Arial"/>
                <w:sz w:val="18"/>
                <w:szCs w:val="18"/>
              </w:rPr>
            </w:pPr>
            <w:r w:rsidRPr="00636CC2">
              <w:rPr>
                <w:rFonts w:cs="Arial"/>
                <w:sz w:val="18"/>
                <w:szCs w:val="18"/>
              </w:rPr>
              <w:t>0</w:t>
            </w:r>
          </w:p>
        </w:tc>
        <w:tc>
          <w:tcPr>
            <w:tcW w:w="1200" w:type="dxa"/>
            <w:tcBorders>
              <w:top w:val="nil"/>
              <w:left w:val="nil"/>
              <w:bottom w:val="nil"/>
              <w:right w:val="nil"/>
            </w:tcBorders>
            <w:shd w:val="clear" w:color="000000" w:fill="D9D9D9"/>
            <w:noWrap/>
            <w:vAlign w:val="bottom"/>
            <w:hideMark/>
          </w:tcPr>
          <w:p w14:paraId="49E03F34"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485B0A48" w14:textId="77777777" w:rsidTr="0097090C">
        <w:trPr>
          <w:trHeight w:val="240"/>
        </w:trPr>
        <w:tc>
          <w:tcPr>
            <w:tcW w:w="2641" w:type="dxa"/>
            <w:tcBorders>
              <w:top w:val="nil"/>
              <w:left w:val="nil"/>
              <w:bottom w:val="nil"/>
              <w:right w:val="nil"/>
            </w:tcBorders>
            <w:shd w:val="clear" w:color="auto" w:fill="auto"/>
            <w:noWrap/>
            <w:vAlign w:val="bottom"/>
            <w:hideMark/>
          </w:tcPr>
          <w:p w14:paraId="1155D0F7" w14:textId="77777777" w:rsidR="0097090C" w:rsidRPr="00636CC2" w:rsidRDefault="0097090C" w:rsidP="0097090C">
            <w:pPr>
              <w:rPr>
                <w:rFonts w:cs="Arial"/>
                <w:b/>
                <w:bCs/>
                <w:sz w:val="18"/>
                <w:szCs w:val="18"/>
              </w:rPr>
            </w:pPr>
            <w:r w:rsidRPr="00636CC2">
              <w:rPr>
                <w:rFonts w:cs="Arial"/>
                <w:b/>
                <w:bCs/>
                <w:sz w:val="18"/>
                <w:szCs w:val="18"/>
              </w:rPr>
              <w:t>Borrowings</w:t>
            </w:r>
          </w:p>
        </w:tc>
        <w:tc>
          <w:tcPr>
            <w:tcW w:w="1417" w:type="dxa"/>
            <w:tcBorders>
              <w:top w:val="nil"/>
              <w:left w:val="nil"/>
              <w:bottom w:val="nil"/>
              <w:right w:val="nil"/>
            </w:tcBorders>
            <w:shd w:val="clear" w:color="000000" w:fill="D9D9D9"/>
            <w:noWrap/>
            <w:vAlign w:val="bottom"/>
            <w:hideMark/>
          </w:tcPr>
          <w:p w14:paraId="243E43D6" w14:textId="77777777" w:rsidR="0097090C" w:rsidRPr="00636CC2" w:rsidRDefault="0097090C" w:rsidP="0097090C">
            <w:pPr>
              <w:jc w:val="right"/>
              <w:rPr>
                <w:rFonts w:cs="Arial"/>
                <w:sz w:val="18"/>
                <w:szCs w:val="18"/>
              </w:rPr>
            </w:pPr>
            <w:r w:rsidRPr="00636CC2">
              <w:rPr>
                <w:rFonts w:cs="Arial"/>
                <w:sz w:val="18"/>
                <w:szCs w:val="18"/>
              </w:rPr>
              <w:t> </w:t>
            </w:r>
          </w:p>
        </w:tc>
        <w:tc>
          <w:tcPr>
            <w:tcW w:w="1402" w:type="dxa"/>
            <w:tcBorders>
              <w:top w:val="nil"/>
              <w:left w:val="nil"/>
              <w:bottom w:val="nil"/>
              <w:right w:val="nil"/>
            </w:tcBorders>
            <w:shd w:val="clear" w:color="auto" w:fill="auto"/>
            <w:noWrap/>
            <w:vAlign w:val="bottom"/>
            <w:hideMark/>
          </w:tcPr>
          <w:p w14:paraId="03BD33C0"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0C76F969" w14:textId="77777777" w:rsidR="0097090C" w:rsidRPr="00636CC2" w:rsidRDefault="0097090C" w:rsidP="0097090C">
            <w:pPr>
              <w:jc w:val="right"/>
              <w:rPr>
                <w:rFonts w:cs="Arial"/>
                <w:sz w:val="18"/>
                <w:szCs w:val="18"/>
              </w:rPr>
            </w:pPr>
            <w:r w:rsidRPr="00636CC2">
              <w:rPr>
                <w:rFonts w:cs="Arial"/>
                <w:sz w:val="18"/>
                <w:szCs w:val="18"/>
              </w:rPr>
              <w:t> </w:t>
            </w:r>
          </w:p>
        </w:tc>
        <w:tc>
          <w:tcPr>
            <w:tcW w:w="1200" w:type="dxa"/>
            <w:tcBorders>
              <w:top w:val="nil"/>
              <w:left w:val="nil"/>
              <w:bottom w:val="nil"/>
              <w:right w:val="nil"/>
            </w:tcBorders>
            <w:shd w:val="clear" w:color="auto" w:fill="auto"/>
            <w:noWrap/>
            <w:vAlign w:val="bottom"/>
            <w:hideMark/>
          </w:tcPr>
          <w:p w14:paraId="4B4AEE83"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14ACE85E"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1E716D7A" w14:textId="77777777" w:rsidTr="0097090C">
        <w:trPr>
          <w:trHeight w:val="240"/>
        </w:trPr>
        <w:tc>
          <w:tcPr>
            <w:tcW w:w="2641" w:type="dxa"/>
            <w:tcBorders>
              <w:top w:val="nil"/>
              <w:left w:val="nil"/>
              <w:bottom w:val="single" w:sz="4" w:space="0" w:color="auto"/>
              <w:right w:val="nil"/>
            </w:tcBorders>
            <w:shd w:val="clear" w:color="auto" w:fill="auto"/>
            <w:noWrap/>
            <w:vAlign w:val="bottom"/>
            <w:hideMark/>
          </w:tcPr>
          <w:p w14:paraId="67A64578" w14:textId="77777777" w:rsidR="0097090C" w:rsidRPr="00636CC2" w:rsidRDefault="0097090C" w:rsidP="0097090C">
            <w:pPr>
              <w:rPr>
                <w:rFonts w:cs="Arial"/>
                <w:sz w:val="18"/>
                <w:szCs w:val="18"/>
              </w:rPr>
            </w:pPr>
            <w:r w:rsidRPr="00636CC2">
              <w:rPr>
                <w:rFonts w:cs="Arial"/>
                <w:sz w:val="18"/>
                <w:szCs w:val="18"/>
              </w:rPr>
              <w:t>Lease liabilities</w:t>
            </w:r>
          </w:p>
        </w:tc>
        <w:tc>
          <w:tcPr>
            <w:tcW w:w="1417" w:type="dxa"/>
            <w:tcBorders>
              <w:top w:val="nil"/>
              <w:left w:val="nil"/>
              <w:bottom w:val="single" w:sz="4" w:space="0" w:color="auto"/>
              <w:right w:val="nil"/>
            </w:tcBorders>
            <w:shd w:val="clear" w:color="000000" w:fill="D9D9D9"/>
            <w:noWrap/>
            <w:vAlign w:val="bottom"/>
            <w:hideMark/>
          </w:tcPr>
          <w:p w14:paraId="70C3FA36" w14:textId="77777777" w:rsidR="0097090C" w:rsidRPr="00636CC2" w:rsidRDefault="0097090C" w:rsidP="0097090C">
            <w:pPr>
              <w:jc w:val="right"/>
              <w:rPr>
                <w:rFonts w:cs="Arial"/>
                <w:sz w:val="18"/>
                <w:szCs w:val="18"/>
              </w:rPr>
            </w:pPr>
            <w:r w:rsidRPr="00636CC2">
              <w:rPr>
                <w:rFonts w:cs="Arial"/>
                <w:sz w:val="18"/>
                <w:szCs w:val="18"/>
              </w:rPr>
              <w:t>457</w:t>
            </w:r>
          </w:p>
        </w:tc>
        <w:tc>
          <w:tcPr>
            <w:tcW w:w="1402" w:type="dxa"/>
            <w:tcBorders>
              <w:top w:val="nil"/>
              <w:left w:val="nil"/>
              <w:bottom w:val="single" w:sz="4" w:space="0" w:color="auto"/>
              <w:right w:val="nil"/>
            </w:tcBorders>
            <w:shd w:val="clear" w:color="auto" w:fill="auto"/>
            <w:noWrap/>
            <w:vAlign w:val="bottom"/>
            <w:hideMark/>
          </w:tcPr>
          <w:p w14:paraId="2962DFDB" w14:textId="77777777" w:rsidR="0097090C" w:rsidRPr="00636CC2" w:rsidRDefault="0097090C" w:rsidP="0097090C">
            <w:pPr>
              <w:jc w:val="right"/>
              <w:rPr>
                <w:rFonts w:cs="Arial"/>
                <w:sz w:val="18"/>
                <w:szCs w:val="18"/>
              </w:rPr>
            </w:pPr>
            <w:r w:rsidRPr="00636CC2">
              <w:rPr>
                <w:rFonts w:cs="Arial"/>
                <w:sz w:val="18"/>
                <w:szCs w:val="18"/>
              </w:rPr>
              <w:t>457</w:t>
            </w:r>
          </w:p>
        </w:tc>
        <w:tc>
          <w:tcPr>
            <w:tcW w:w="1200" w:type="dxa"/>
            <w:tcBorders>
              <w:top w:val="nil"/>
              <w:left w:val="nil"/>
              <w:bottom w:val="nil"/>
              <w:right w:val="nil"/>
            </w:tcBorders>
            <w:shd w:val="clear" w:color="000000" w:fill="D9D9D9"/>
            <w:noWrap/>
            <w:vAlign w:val="bottom"/>
            <w:hideMark/>
          </w:tcPr>
          <w:p w14:paraId="5132A04F" w14:textId="77777777" w:rsidR="0097090C" w:rsidRPr="00636CC2" w:rsidRDefault="0097090C" w:rsidP="0097090C">
            <w:pPr>
              <w:jc w:val="right"/>
              <w:rPr>
                <w:rFonts w:cs="Arial"/>
                <w:sz w:val="18"/>
                <w:szCs w:val="18"/>
              </w:rPr>
            </w:pPr>
            <w:r w:rsidRPr="00636CC2">
              <w:rPr>
                <w:rFonts w:cs="Arial"/>
                <w:sz w:val="18"/>
                <w:szCs w:val="18"/>
              </w:rPr>
              <w:t>185</w:t>
            </w:r>
          </w:p>
        </w:tc>
        <w:tc>
          <w:tcPr>
            <w:tcW w:w="1200" w:type="dxa"/>
            <w:tcBorders>
              <w:top w:val="nil"/>
              <w:left w:val="nil"/>
              <w:bottom w:val="nil"/>
              <w:right w:val="nil"/>
            </w:tcBorders>
            <w:shd w:val="clear" w:color="auto" w:fill="auto"/>
            <w:noWrap/>
            <w:vAlign w:val="bottom"/>
            <w:hideMark/>
          </w:tcPr>
          <w:p w14:paraId="1E3CE90B" w14:textId="77777777" w:rsidR="0097090C" w:rsidRPr="00636CC2" w:rsidRDefault="0097090C" w:rsidP="0097090C">
            <w:pPr>
              <w:jc w:val="right"/>
              <w:rPr>
                <w:rFonts w:cs="Arial"/>
                <w:sz w:val="18"/>
                <w:szCs w:val="18"/>
              </w:rPr>
            </w:pPr>
            <w:r w:rsidRPr="00636CC2">
              <w:rPr>
                <w:rFonts w:cs="Arial"/>
                <w:sz w:val="18"/>
                <w:szCs w:val="18"/>
              </w:rPr>
              <w:t>272</w:t>
            </w:r>
          </w:p>
        </w:tc>
        <w:tc>
          <w:tcPr>
            <w:tcW w:w="1200" w:type="dxa"/>
            <w:tcBorders>
              <w:top w:val="nil"/>
              <w:left w:val="nil"/>
              <w:bottom w:val="single" w:sz="4" w:space="0" w:color="auto"/>
              <w:right w:val="nil"/>
            </w:tcBorders>
            <w:shd w:val="clear" w:color="000000" w:fill="D9D9D9"/>
            <w:noWrap/>
            <w:vAlign w:val="bottom"/>
            <w:hideMark/>
          </w:tcPr>
          <w:p w14:paraId="21C50584"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67559AB8" w14:textId="77777777" w:rsidTr="0097090C">
        <w:trPr>
          <w:trHeight w:val="240"/>
        </w:trPr>
        <w:tc>
          <w:tcPr>
            <w:tcW w:w="2641" w:type="dxa"/>
            <w:tcBorders>
              <w:top w:val="nil"/>
              <w:left w:val="nil"/>
              <w:bottom w:val="single" w:sz="4" w:space="0" w:color="auto"/>
              <w:right w:val="nil"/>
            </w:tcBorders>
            <w:shd w:val="clear" w:color="auto" w:fill="auto"/>
            <w:noWrap/>
            <w:vAlign w:val="bottom"/>
            <w:hideMark/>
          </w:tcPr>
          <w:p w14:paraId="0081909B" w14:textId="77777777" w:rsidR="0097090C" w:rsidRPr="00636CC2" w:rsidRDefault="0097090C" w:rsidP="0097090C">
            <w:pPr>
              <w:rPr>
                <w:rFonts w:cs="Arial"/>
                <w:b/>
                <w:bCs/>
                <w:sz w:val="18"/>
                <w:szCs w:val="18"/>
              </w:rPr>
            </w:pPr>
            <w:r w:rsidRPr="00636CC2">
              <w:rPr>
                <w:rFonts w:cs="Arial"/>
                <w:b/>
                <w:bCs/>
                <w:sz w:val="18"/>
                <w:szCs w:val="18"/>
              </w:rPr>
              <w:t>Total</w:t>
            </w:r>
          </w:p>
        </w:tc>
        <w:tc>
          <w:tcPr>
            <w:tcW w:w="1417" w:type="dxa"/>
            <w:tcBorders>
              <w:top w:val="nil"/>
              <w:left w:val="nil"/>
              <w:bottom w:val="single" w:sz="4" w:space="0" w:color="auto"/>
              <w:right w:val="nil"/>
            </w:tcBorders>
            <w:shd w:val="clear" w:color="000000" w:fill="D9D9D9"/>
            <w:noWrap/>
            <w:vAlign w:val="bottom"/>
            <w:hideMark/>
          </w:tcPr>
          <w:p w14:paraId="05952F07" w14:textId="77777777" w:rsidR="0097090C" w:rsidRPr="00636CC2" w:rsidRDefault="0097090C" w:rsidP="0097090C">
            <w:pPr>
              <w:jc w:val="right"/>
              <w:rPr>
                <w:rFonts w:cs="Arial"/>
                <w:b/>
                <w:bCs/>
                <w:sz w:val="18"/>
                <w:szCs w:val="18"/>
              </w:rPr>
            </w:pPr>
            <w:r w:rsidRPr="00636CC2">
              <w:rPr>
                <w:rFonts w:cs="Arial"/>
                <w:b/>
                <w:bCs/>
                <w:sz w:val="18"/>
                <w:szCs w:val="18"/>
              </w:rPr>
              <w:t>15,306</w:t>
            </w:r>
          </w:p>
        </w:tc>
        <w:tc>
          <w:tcPr>
            <w:tcW w:w="1402" w:type="dxa"/>
            <w:tcBorders>
              <w:top w:val="nil"/>
              <w:left w:val="nil"/>
              <w:bottom w:val="single" w:sz="4" w:space="0" w:color="auto"/>
              <w:right w:val="nil"/>
            </w:tcBorders>
            <w:shd w:val="clear" w:color="auto" w:fill="auto"/>
            <w:noWrap/>
            <w:vAlign w:val="bottom"/>
            <w:hideMark/>
          </w:tcPr>
          <w:p w14:paraId="4739D32B" w14:textId="77777777" w:rsidR="0097090C" w:rsidRPr="00636CC2" w:rsidRDefault="0097090C" w:rsidP="0097090C">
            <w:pPr>
              <w:jc w:val="right"/>
              <w:rPr>
                <w:rFonts w:cs="Arial"/>
                <w:b/>
                <w:bCs/>
                <w:sz w:val="18"/>
                <w:szCs w:val="18"/>
              </w:rPr>
            </w:pPr>
            <w:r w:rsidRPr="00636CC2">
              <w:rPr>
                <w:rFonts w:cs="Arial"/>
                <w:b/>
                <w:bCs/>
                <w:sz w:val="18"/>
                <w:szCs w:val="18"/>
              </w:rPr>
              <w:t>14,316</w:t>
            </w:r>
          </w:p>
        </w:tc>
        <w:tc>
          <w:tcPr>
            <w:tcW w:w="1200" w:type="dxa"/>
            <w:tcBorders>
              <w:top w:val="single" w:sz="4" w:space="0" w:color="auto"/>
              <w:left w:val="nil"/>
              <w:bottom w:val="single" w:sz="4" w:space="0" w:color="auto"/>
              <w:right w:val="nil"/>
            </w:tcBorders>
            <w:shd w:val="clear" w:color="000000" w:fill="D9D9D9"/>
            <w:noWrap/>
            <w:vAlign w:val="bottom"/>
            <w:hideMark/>
          </w:tcPr>
          <w:p w14:paraId="106703BB" w14:textId="77777777" w:rsidR="0097090C" w:rsidRPr="00636CC2" w:rsidRDefault="0097090C" w:rsidP="0097090C">
            <w:pPr>
              <w:jc w:val="right"/>
              <w:rPr>
                <w:rFonts w:cs="Arial"/>
                <w:b/>
                <w:bCs/>
                <w:sz w:val="18"/>
                <w:szCs w:val="18"/>
              </w:rPr>
            </w:pPr>
            <w:r w:rsidRPr="00636CC2">
              <w:rPr>
                <w:rFonts w:cs="Arial"/>
                <w:b/>
                <w:bCs/>
                <w:sz w:val="18"/>
                <w:szCs w:val="18"/>
              </w:rPr>
              <w:t>14,044</w:t>
            </w:r>
          </w:p>
        </w:tc>
        <w:tc>
          <w:tcPr>
            <w:tcW w:w="1200" w:type="dxa"/>
            <w:tcBorders>
              <w:top w:val="single" w:sz="4" w:space="0" w:color="auto"/>
              <w:left w:val="nil"/>
              <w:bottom w:val="single" w:sz="4" w:space="0" w:color="auto"/>
              <w:right w:val="nil"/>
            </w:tcBorders>
            <w:shd w:val="clear" w:color="auto" w:fill="auto"/>
            <w:noWrap/>
            <w:vAlign w:val="bottom"/>
            <w:hideMark/>
          </w:tcPr>
          <w:p w14:paraId="5B06CEC2" w14:textId="77777777" w:rsidR="0097090C" w:rsidRPr="00636CC2" w:rsidRDefault="0097090C" w:rsidP="0097090C">
            <w:pPr>
              <w:jc w:val="right"/>
              <w:rPr>
                <w:rFonts w:cs="Arial"/>
                <w:b/>
                <w:bCs/>
                <w:sz w:val="18"/>
                <w:szCs w:val="18"/>
              </w:rPr>
            </w:pPr>
            <w:r w:rsidRPr="00636CC2">
              <w:rPr>
                <w:rFonts w:cs="Arial"/>
                <w:b/>
                <w:bCs/>
                <w:sz w:val="18"/>
                <w:szCs w:val="18"/>
              </w:rPr>
              <w:t>272</w:t>
            </w:r>
          </w:p>
        </w:tc>
        <w:tc>
          <w:tcPr>
            <w:tcW w:w="1200" w:type="dxa"/>
            <w:tcBorders>
              <w:top w:val="nil"/>
              <w:left w:val="nil"/>
              <w:bottom w:val="single" w:sz="4" w:space="0" w:color="auto"/>
              <w:right w:val="nil"/>
            </w:tcBorders>
            <w:shd w:val="clear" w:color="000000" w:fill="D9D9D9"/>
            <w:noWrap/>
            <w:vAlign w:val="bottom"/>
            <w:hideMark/>
          </w:tcPr>
          <w:p w14:paraId="2F36E0AA" w14:textId="77777777" w:rsidR="0097090C" w:rsidRPr="00636CC2" w:rsidRDefault="0097090C" w:rsidP="0097090C">
            <w:pPr>
              <w:jc w:val="right"/>
              <w:rPr>
                <w:rFonts w:cs="Arial"/>
                <w:b/>
                <w:bCs/>
                <w:sz w:val="18"/>
                <w:szCs w:val="18"/>
              </w:rPr>
            </w:pPr>
            <w:r w:rsidRPr="00636CC2">
              <w:rPr>
                <w:rFonts w:cs="Arial"/>
                <w:b/>
                <w:bCs/>
                <w:sz w:val="18"/>
                <w:szCs w:val="18"/>
              </w:rPr>
              <w:t>0</w:t>
            </w:r>
          </w:p>
        </w:tc>
      </w:tr>
      <w:tr w:rsidR="0097090C" w:rsidRPr="00636CC2" w14:paraId="3B959D4E" w14:textId="77777777" w:rsidTr="0097090C">
        <w:trPr>
          <w:trHeight w:val="240"/>
        </w:trPr>
        <w:tc>
          <w:tcPr>
            <w:tcW w:w="2641" w:type="dxa"/>
            <w:tcBorders>
              <w:top w:val="nil"/>
              <w:left w:val="nil"/>
              <w:bottom w:val="nil"/>
              <w:right w:val="nil"/>
            </w:tcBorders>
            <w:shd w:val="clear" w:color="auto" w:fill="auto"/>
            <w:noWrap/>
            <w:vAlign w:val="bottom"/>
            <w:hideMark/>
          </w:tcPr>
          <w:p w14:paraId="5A1D7130" w14:textId="77777777" w:rsidR="0097090C" w:rsidRPr="00636CC2" w:rsidRDefault="0097090C" w:rsidP="0097090C">
            <w:pPr>
              <w:rPr>
                <w:rFonts w:cs="Arial"/>
                <w:b/>
                <w:bCs/>
                <w:sz w:val="18"/>
                <w:szCs w:val="18"/>
              </w:rPr>
            </w:pPr>
            <w:r w:rsidRPr="00636CC2">
              <w:rPr>
                <w:rFonts w:cs="Arial"/>
                <w:b/>
                <w:bCs/>
                <w:sz w:val="18"/>
                <w:szCs w:val="18"/>
              </w:rPr>
              <w:t>2015</w:t>
            </w:r>
          </w:p>
        </w:tc>
        <w:tc>
          <w:tcPr>
            <w:tcW w:w="1417" w:type="dxa"/>
            <w:tcBorders>
              <w:top w:val="nil"/>
              <w:left w:val="nil"/>
              <w:bottom w:val="nil"/>
              <w:right w:val="nil"/>
            </w:tcBorders>
            <w:shd w:val="clear" w:color="000000" w:fill="D9D9D9"/>
            <w:hideMark/>
          </w:tcPr>
          <w:p w14:paraId="368C314E" w14:textId="77777777" w:rsidR="0097090C" w:rsidRPr="00636CC2" w:rsidRDefault="0097090C" w:rsidP="0097090C">
            <w:pPr>
              <w:rPr>
                <w:rFonts w:cs="Arial"/>
                <w:sz w:val="18"/>
                <w:szCs w:val="18"/>
              </w:rPr>
            </w:pPr>
            <w:r w:rsidRPr="00636CC2">
              <w:rPr>
                <w:rFonts w:cs="Arial"/>
                <w:sz w:val="18"/>
                <w:szCs w:val="18"/>
              </w:rPr>
              <w:t> </w:t>
            </w:r>
          </w:p>
        </w:tc>
        <w:tc>
          <w:tcPr>
            <w:tcW w:w="1402" w:type="dxa"/>
            <w:tcBorders>
              <w:top w:val="nil"/>
              <w:left w:val="nil"/>
              <w:bottom w:val="nil"/>
              <w:right w:val="nil"/>
            </w:tcBorders>
            <w:shd w:val="clear" w:color="auto" w:fill="auto"/>
            <w:hideMark/>
          </w:tcPr>
          <w:p w14:paraId="3B4C4245" w14:textId="77777777" w:rsidR="0097090C" w:rsidRPr="00636CC2" w:rsidRDefault="0097090C" w:rsidP="0097090C">
            <w:pPr>
              <w:rPr>
                <w:rFonts w:cs="Arial"/>
                <w:sz w:val="18"/>
                <w:szCs w:val="18"/>
              </w:rPr>
            </w:pPr>
          </w:p>
        </w:tc>
        <w:tc>
          <w:tcPr>
            <w:tcW w:w="1200" w:type="dxa"/>
            <w:tcBorders>
              <w:top w:val="nil"/>
              <w:left w:val="nil"/>
              <w:bottom w:val="nil"/>
              <w:right w:val="nil"/>
            </w:tcBorders>
            <w:shd w:val="clear" w:color="000000" w:fill="D9D9D9"/>
            <w:hideMark/>
          </w:tcPr>
          <w:p w14:paraId="77972F19" w14:textId="77777777" w:rsidR="0097090C" w:rsidRPr="00636CC2" w:rsidRDefault="0097090C" w:rsidP="0097090C">
            <w:pPr>
              <w:rPr>
                <w:rFonts w:cs="Arial"/>
                <w:sz w:val="18"/>
                <w:szCs w:val="18"/>
              </w:rPr>
            </w:pPr>
            <w:r w:rsidRPr="00636CC2">
              <w:rPr>
                <w:rFonts w:cs="Arial"/>
                <w:sz w:val="18"/>
                <w:szCs w:val="18"/>
              </w:rPr>
              <w:t> </w:t>
            </w:r>
          </w:p>
        </w:tc>
        <w:tc>
          <w:tcPr>
            <w:tcW w:w="1200" w:type="dxa"/>
            <w:tcBorders>
              <w:top w:val="nil"/>
              <w:left w:val="nil"/>
              <w:bottom w:val="nil"/>
              <w:right w:val="nil"/>
            </w:tcBorders>
            <w:shd w:val="clear" w:color="auto" w:fill="auto"/>
            <w:hideMark/>
          </w:tcPr>
          <w:p w14:paraId="7DF6D0B5" w14:textId="77777777" w:rsidR="0097090C" w:rsidRPr="00636CC2" w:rsidRDefault="0097090C" w:rsidP="0097090C">
            <w:pPr>
              <w:rPr>
                <w:rFonts w:cs="Arial"/>
                <w:sz w:val="18"/>
                <w:szCs w:val="18"/>
              </w:rPr>
            </w:pPr>
          </w:p>
        </w:tc>
        <w:tc>
          <w:tcPr>
            <w:tcW w:w="1200" w:type="dxa"/>
            <w:tcBorders>
              <w:top w:val="nil"/>
              <w:left w:val="nil"/>
              <w:bottom w:val="nil"/>
              <w:right w:val="nil"/>
            </w:tcBorders>
            <w:shd w:val="clear" w:color="000000" w:fill="D9D9D9"/>
            <w:hideMark/>
          </w:tcPr>
          <w:p w14:paraId="00B1AF10"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1DCF087C" w14:textId="77777777" w:rsidTr="0097090C">
        <w:trPr>
          <w:trHeight w:val="240"/>
        </w:trPr>
        <w:tc>
          <w:tcPr>
            <w:tcW w:w="2641" w:type="dxa"/>
            <w:tcBorders>
              <w:top w:val="nil"/>
              <w:left w:val="nil"/>
              <w:bottom w:val="nil"/>
              <w:right w:val="nil"/>
            </w:tcBorders>
            <w:shd w:val="clear" w:color="auto" w:fill="auto"/>
            <w:noWrap/>
            <w:vAlign w:val="bottom"/>
            <w:hideMark/>
          </w:tcPr>
          <w:p w14:paraId="75C07E6B" w14:textId="77777777" w:rsidR="0097090C" w:rsidRPr="00636CC2" w:rsidRDefault="0097090C" w:rsidP="0097090C">
            <w:pPr>
              <w:rPr>
                <w:rFonts w:cs="Arial"/>
                <w:b/>
                <w:bCs/>
                <w:sz w:val="18"/>
                <w:szCs w:val="18"/>
              </w:rPr>
            </w:pPr>
            <w:r w:rsidRPr="00636CC2">
              <w:rPr>
                <w:rFonts w:cs="Arial"/>
                <w:b/>
                <w:bCs/>
                <w:sz w:val="18"/>
                <w:szCs w:val="18"/>
              </w:rPr>
              <w:t xml:space="preserve">Payables: </w:t>
            </w:r>
          </w:p>
        </w:tc>
        <w:tc>
          <w:tcPr>
            <w:tcW w:w="1417" w:type="dxa"/>
            <w:tcBorders>
              <w:top w:val="nil"/>
              <w:left w:val="nil"/>
              <w:bottom w:val="nil"/>
              <w:right w:val="nil"/>
            </w:tcBorders>
            <w:shd w:val="clear" w:color="000000" w:fill="D9D9D9"/>
            <w:noWrap/>
            <w:vAlign w:val="bottom"/>
            <w:hideMark/>
          </w:tcPr>
          <w:p w14:paraId="74BEC64E" w14:textId="77777777" w:rsidR="0097090C" w:rsidRPr="00636CC2" w:rsidRDefault="0097090C" w:rsidP="0097090C">
            <w:pPr>
              <w:jc w:val="right"/>
              <w:rPr>
                <w:rFonts w:cs="Arial"/>
                <w:sz w:val="18"/>
                <w:szCs w:val="18"/>
              </w:rPr>
            </w:pPr>
            <w:r w:rsidRPr="00636CC2">
              <w:rPr>
                <w:rFonts w:cs="Arial"/>
                <w:sz w:val="18"/>
                <w:szCs w:val="18"/>
              </w:rPr>
              <w:t> </w:t>
            </w:r>
          </w:p>
        </w:tc>
        <w:tc>
          <w:tcPr>
            <w:tcW w:w="1402" w:type="dxa"/>
            <w:tcBorders>
              <w:top w:val="nil"/>
              <w:left w:val="nil"/>
              <w:bottom w:val="nil"/>
              <w:right w:val="nil"/>
            </w:tcBorders>
            <w:shd w:val="clear" w:color="auto" w:fill="auto"/>
            <w:noWrap/>
            <w:vAlign w:val="bottom"/>
            <w:hideMark/>
          </w:tcPr>
          <w:p w14:paraId="55CA8CDB"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568A8466" w14:textId="77777777" w:rsidR="0097090C" w:rsidRPr="00636CC2" w:rsidRDefault="0097090C" w:rsidP="0097090C">
            <w:pPr>
              <w:jc w:val="right"/>
              <w:rPr>
                <w:rFonts w:cs="Arial"/>
                <w:sz w:val="18"/>
                <w:szCs w:val="18"/>
              </w:rPr>
            </w:pPr>
            <w:r w:rsidRPr="00636CC2">
              <w:rPr>
                <w:rFonts w:cs="Arial"/>
                <w:sz w:val="18"/>
                <w:szCs w:val="18"/>
              </w:rPr>
              <w:t> </w:t>
            </w:r>
          </w:p>
        </w:tc>
        <w:tc>
          <w:tcPr>
            <w:tcW w:w="1200" w:type="dxa"/>
            <w:tcBorders>
              <w:top w:val="nil"/>
              <w:left w:val="nil"/>
              <w:bottom w:val="nil"/>
              <w:right w:val="nil"/>
            </w:tcBorders>
            <w:shd w:val="clear" w:color="auto" w:fill="auto"/>
            <w:noWrap/>
            <w:vAlign w:val="bottom"/>
            <w:hideMark/>
          </w:tcPr>
          <w:p w14:paraId="1B062AE7"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56A89E55"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0884C8E5" w14:textId="77777777" w:rsidTr="0097090C">
        <w:trPr>
          <w:trHeight w:val="240"/>
        </w:trPr>
        <w:tc>
          <w:tcPr>
            <w:tcW w:w="2641" w:type="dxa"/>
            <w:tcBorders>
              <w:top w:val="nil"/>
              <w:left w:val="nil"/>
              <w:bottom w:val="nil"/>
              <w:right w:val="nil"/>
            </w:tcBorders>
            <w:shd w:val="clear" w:color="auto" w:fill="auto"/>
            <w:noWrap/>
            <w:vAlign w:val="bottom"/>
            <w:hideMark/>
          </w:tcPr>
          <w:p w14:paraId="2A853C37" w14:textId="77777777" w:rsidR="0097090C" w:rsidRPr="00636CC2" w:rsidRDefault="0097090C" w:rsidP="0097090C">
            <w:pPr>
              <w:rPr>
                <w:rFonts w:cs="Arial"/>
                <w:sz w:val="18"/>
                <w:szCs w:val="18"/>
              </w:rPr>
            </w:pPr>
            <w:r w:rsidRPr="00636CC2">
              <w:rPr>
                <w:rFonts w:cs="Arial"/>
                <w:sz w:val="18"/>
                <w:szCs w:val="18"/>
              </w:rPr>
              <w:t>Supplies and services</w:t>
            </w:r>
          </w:p>
        </w:tc>
        <w:tc>
          <w:tcPr>
            <w:tcW w:w="1417" w:type="dxa"/>
            <w:tcBorders>
              <w:top w:val="nil"/>
              <w:left w:val="nil"/>
              <w:bottom w:val="nil"/>
              <w:right w:val="nil"/>
            </w:tcBorders>
            <w:shd w:val="clear" w:color="000000" w:fill="D9D9D9"/>
            <w:noWrap/>
            <w:vAlign w:val="bottom"/>
            <w:hideMark/>
          </w:tcPr>
          <w:p w14:paraId="5463C22D" w14:textId="77777777" w:rsidR="0097090C" w:rsidRPr="00636CC2" w:rsidRDefault="0097090C" w:rsidP="0097090C">
            <w:pPr>
              <w:jc w:val="right"/>
              <w:rPr>
                <w:rFonts w:cs="Arial"/>
                <w:sz w:val="18"/>
                <w:szCs w:val="18"/>
              </w:rPr>
            </w:pPr>
            <w:r w:rsidRPr="00636CC2">
              <w:rPr>
                <w:rFonts w:cs="Arial"/>
                <w:sz w:val="18"/>
                <w:szCs w:val="18"/>
              </w:rPr>
              <w:t>6,495</w:t>
            </w:r>
          </w:p>
        </w:tc>
        <w:tc>
          <w:tcPr>
            <w:tcW w:w="1402" w:type="dxa"/>
            <w:tcBorders>
              <w:top w:val="nil"/>
              <w:left w:val="nil"/>
              <w:bottom w:val="nil"/>
              <w:right w:val="nil"/>
            </w:tcBorders>
            <w:shd w:val="clear" w:color="auto" w:fill="auto"/>
            <w:noWrap/>
            <w:vAlign w:val="bottom"/>
            <w:hideMark/>
          </w:tcPr>
          <w:p w14:paraId="121D1B08" w14:textId="77777777" w:rsidR="0097090C" w:rsidRPr="00636CC2" w:rsidRDefault="0097090C" w:rsidP="0097090C">
            <w:pPr>
              <w:jc w:val="right"/>
              <w:rPr>
                <w:rFonts w:cs="Arial"/>
                <w:sz w:val="18"/>
                <w:szCs w:val="18"/>
              </w:rPr>
            </w:pPr>
            <w:r w:rsidRPr="00636CC2">
              <w:rPr>
                <w:rFonts w:cs="Arial"/>
                <w:sz w:val="18"/>
                <w:szCs w:val="18"/>
              </w:rPr>
              <w:t>6,495</w:t>
            </w:r>
          </w:p>
        </w:tc>
        <w:tc>
          <w:tcPr>
            <w:tcW w:w="1200" w:type="dxa"/>
            <w:tcBorders>
              <w:top w:val="nil"/>
              <w:left w:val="nil"/>
              <w:bottom w:val="nil"/>
              <w:right w:val="nil"/>
            </w:tcBorders>
            <w:shd w:val="clear" w:color="000000" w:fill="D9D9D9"/>
            <w:noWrap/>
            <w:vAlign w:val="bottom"/>
            <w:hideMark/>
          </w:tcPr>
          <w:p w14:paraId="01A2BDDA" w14:textId="77777777" w:rsidR="0097090C" w:rsidRPr="00636CC2" w:rsidRDefault="0097090C" w:rsidP="0097090C">
            <w:pPr>
              <w:jc w:val="right"/>
              <w:rPr>
                <w:rFonts w:cs="Arial"/>
                <w:sz w:val="18"/>
                <w:szCs w:val="18"/>
              </w:rPr>
            </w:pPr>
            <w:r w:rsidRPr="00636CC2">
              <w:rPr>
                <w:rFonts w:cs="Arial"/>
                <w:sz w:val="18"/>
                <w:szCs w:val="18"/>
              </w:rPr>
              <w:t>6,495</w:t>
            </w:r>
          </w:p>
        </w:tc>
        <w:tc>
          <w:tcPr>
            <w:tcW w:w="1200" w:type="dxa"/>
            <w:tcBorders>
              <w:top w:val="nil"/>
              <w:left w:val="nil"/>
              <w:bottom w:val="nil"/>
              <w:right w:val="nil"/>
            </w:tcBorders>
            <w:shd w:val="clear" w:color="auto" w:fill="auto"/>
            <w:noWrap/>
            <w:vAlign w:val="bottom"/>
            <w:hideMark/>
          </w:tcPr>
          <w:p w14:paraId="5B5A13A9" w14:textId="77777777" w:rsidR="0097090C" w:rsidRPr="00636CC2" w:rsidRDefault="0097090C" w:rsidP="0097090C">
            <w:pPr>
              <w:jc w:val="right"/>
              <w:rPr>
                <w:rFonts w:cs="Arial"/>
                <w:sz w:val="18"/>
                <w:szCs w:val="18"/>
              </w:rPr>
            </w:pPr>
            <w:r w:rsidRPr="00636CC2">
              <w:rPr>
                <w:rFonts w:cs="Arial"/>
                <w:sz w:val="18"/>
                <w:szCs w:val="18"/>
              </w:rPr>
              <w:t>0</w:t>
            </w:r>
          </w:p>
        </w:tc>
        <w:tc>
          <w:tcPr>
            <w:tcW w:w="1200" w:type="dxa"/>
            <w:tcBorders>
              <w:top w:val="nil"/>
              <w:left w:val="nil"/>
              <w:bottom w:val="nil"/>
              <w:right w:val="nil"/>
            </w:tcBorders>
            <w:shd w:val="clear" w:color="000000" w:fill="D9D9D9"/>
            <w:noWrap/>
            <w:vAlign w:val="bottom"/>
            <w:hideMark/>
          </w:tcPr>
          <w:p w14:paraId="29B10E78"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64C458F5" w14:textId="77777777" w:rsidTr="0097090C">
        <w:trPr>
          <w:trHeight w:val="240"/>
        </w:trPr>
        <w:tc>
          <w:tcPr>
            <w:tcW w:w="2641" w:type="dxa"/>
            <w:tcBorders>
              <w:top w:val="nil"/>
              <w:left w:val="nil"/>
              <w:bottom w:val="nil"/>
              <w:right w:val="nil"/>
            </w:tcBorders>
            <w:shd w:val="clear" w:color="auto" w:fill="auto"/>
            <w:noWrap/>
            <w:vAlign w:val="bottom"/>
            <w:hideMark/>
          </w:tcPr>
          <w:p w14:paraId="691BAE9D" w14:textId="77777777" w:rsidR="0097090C" w:rsidRPr="00636CC2" w:rsidRDefault="0097090C" w:rsidP="0097090C">
            <w:pPr>
              <w:rPr>
                <w:rFonts w:cs="Arial"/>
                <w:b/>
                <w:bCs/>
                <w:sz w:val="18"/>
                <w:szCs w:val="18"/>
              </w:rPr>
            </w:pPr>
            <w:r w:rsidRPr="00636CC2">
              <w:rPr>
                <w:rFonts w:cs="Arial"/>
                <w:b/>
                <w:bCs/>
                <w:sz w:val="18"/>
                <w:szCs w:val="18"/>
              </w:rPr>
              <w:t>Borrowings</w:t>
            </w:r>
          </w:p>
        </w:tc>
        <w:tc>
          <w:tcPr>
            <w:tcW w:w="1417" w:type="dxa"/>
            <w:tcBorders>
              <w:top w:val="nil"/>
              <w:left w:val="nil"/>
              <w:bottom w:val="nil"/>
              <w:right w:val="nil"/>
            </w:tcBorders>
            <w:shd w:val="clear" w:color="000000" w:fill="D9D9D9"/>
            <w:noWrap/>
            <w:vAlign w:val="bottom"/>
            <w:hideMark/>
          </w:tcPr>
          <w:p w14:paraId="6606AA6E" w14:textId="77777777" w:rsidR="0097090C" w:rsidRPr="00636CC2" w:rsidRDefault="0097090C" w:rsidP="0097090C">
            <w:pPr>
              <w:jc w:val="right"/>
              <w:rPr>
                <w:rFonts w:cs="Arial"/>
                <w:sz w:val="18"/>
                <w:szCs w:val="18"/>
              </w:rPr>
            </w:pPr>
            <w:r w:rsidRPr="00636CC2">
              <w:rPr>
                <w:rFonts w:cs="Arial"/>
                <w:sz w:val="18"/>
                <w:szCs w:val="18"/>
              </w:rPr>
              <w:t> </w:t>
            </w:r>
          </w:p>
        </w:tc>
        <w:tc>
          <w:tcPr>
            <w:tcW w:w="1402" w:type="dxa"/>
            <w:tcBorders>
              <w:top w:val="nil"/>
              <w:left w:val="nil"/>
              <w:bottom w:val="nil"/>
              <w:right w:val="nil"/>
            </w:tcBorders>
            <w:shd w:val="clear" w:color="auto" w:fill="auto"/>
            <w:noWrap/>
            <w:vAlign w:val="bottom"/>
            <w:hideMark/>
          </w:tcPr>
          <w:p w14:paraId="28C51F4B"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2D4E5837" w14:textId="77777777" w:rsidR="0097090C" w:rsidRPr="00636CC2" w:rsidRDefault="0097090C" w:rsidP="0097090C">
            <w:pPr>
              <w:jc w:val="right"/>
              <w:rPr>
                <w:rFonts w:cs="Arial"/>
                <w:sz w:val="18"/>
                <w:szCs w:val="18"/>
              </w:rPr>
            </w:pPr>
            <w:r w:rsidRPr="00636CC2">
              <w:rPr>
                <w:rFonts w:cs="Arial"/>
                <w:sz w:val="18"/>
                <w:szCs w:val="18"/>
              </w:rPr>
              <w:t> </w:t>
            </w:r>
          </w:p>
        </w:tc>
        <w:tc>
          <w:tcPr>
            <w:tcW w:w="1200" w:type="dxa"/>
            <w:tcBorders>
              <w:top w:val="nil"/>
              <w:left w:val="nil"/>
              <w:bottom w:val="nil"/>
              <w:right w:val="nil"/>
            </w:tcBorders>
            <w:shd w:val="clear" w:color="auto" w:fill="auto"/>
            <w:noWrap/>
            <w:vAlign w:val="bottom"/>
            <w:hideMark/>
          </w:tcPr>
          <w:p w14:paraId="319AF2E6" w14:textId="77777777" w:rsidR="0097090C" w:rsidRPr="00636CC2" w:rsidRDefault="0097090C" w:rsidP="0097090C">
            <w:pPr>
              <w:jc w:val="right"/>
              <w:rPr>
                <w:rFonts w:cs="Arial"/>
                <w:sz w:val="18"/>
                <w:szCs w:val="18"/>
              </w:rPr>
            </w:pPr>
          </w:p>
        </w:tc>
        <w:tc>
          <w:tcPr>
            <w:tcW w:w="1200" w:type="dxa"/>
            <w:tcBorders>
              <w:top w:val="nil"/>
              <w:left w:val="nil"/>
              <w:bottom w:val="nil"/>
              <w:right w:val="nil"/>
            </w:tcBorders>
            <w:shd w:val="clear" w:color="000000" w:fill="D9D9D9"/>
            <w:noWrap/>
            <w:vAlign w:val="bottom"/>
            <w:hideMark/>
          </w:tcPr>
          <w:p w14:paraId="20652EE2" w14:textId="77777777" w:rsidR="0097090C" w:rsidRPr="00636CC2" w:rsidRDefault="0097090C" w:rsidP="0097090C">
            <w:pPr>
              <w:jc w:val="right"/>
              <w:rPr>
                <w:rFonts w:cs="Arial"/>
                <w:sz w:val="18"/>
                <w:szCs w:val="18"/>
              </w:rPr>
            </w:pPr>
            <w:r w:rsidRPr="00636CC2">
              <w:rPr>
                <w:rFonts w:cs="Arial"/>
                <w:sz w:val="18"/>
                <w:szCs w:val="18"/>
              </w:rPr>
              <w:t> </w:t>
            </w:r>
          </w:p>
        </w:tc>
      </w:tr>
      <w:tr w:rsidR="0097090C" w:rsidRPr="00636CC2" w14:paraId="345B2E73" w14:textId="77777777" w:rsidTr="0097090C">
        <w:trPr>
          <w:trHeight w:val="240"/>
        </w:trPr>
        <w:tc>
          <w:tcPr>
            <w:tcW w:w="2641" w:type="dxa"/>
            <w:tcBorders>
              <w:top w:val="nil"/>
              <w:left w:val="nil"/>
              <w:bottom w:val="single" w:sz="4" w:space="0" w:color="auto"/>
              <w:right w:val="nil"/>
            </w:tcBorders>
            <w:shd w:val="clear" w:color="auto" w:fill="auto"/>
            <w:noWrap/>
            <w:vAlign w:val="bottom"/>
            <w:hideMark/>
          </w:tcPr>
          <w:p w14:paraId="5B95AC6F" w14:textId="77777777" w:rsidR="0097090C" w:rsidRPr="00636CC2" w:rsidRDefault="0097090C" w:rsidP="0097090C">
            <w:pPr>
              <w:rPr>
                <w:rFonts w:cs="Arial"/>
                <w:sz w:val="18"/>
                <w:szCs w:val="18"/>
              </w:rPr>
            </w:pPr>
            <w:r w:rsidRPr="00636CC2">
              <w:rPr>
                <w:rFonts w:cs="Arial"/>
                <w:sz w:val="18"/>
                <w:szCs w:val="18"/>
              </w:rPr>
              <w:t>Lease liabilities</w:t>
            </w:r>
          </w:p>
        </w:tc>
        <w:tc>
          <w:tcPr>
            <w:tcW w:w="1417" w:type="dxa"/>
            <w:tcBorders>
              <w:top w:val="nil"/>
              <w:left w:val="nil"/>
              <w:bottom w:val="single" w:sz="4" w:space="0" w:color="auto"/>
              <w:right w:val="nil"/>
            </w:tcBorders>
            <w:shd w:val="clear" w:color="000000" w:fill="D9D9D9"/>
            <w:noWrap/>
            <w:vAlign w:val="bottom"/>
            <w:hideMark/>
          </w:tcPr>
          <w:p w14:paraId="1804FAB7" w14:textId="77777777" w:rsidR="0097090C" w:rsidRPr="00636CC2" w:rsidRDefault="0097090C" w:rsidP="0097090C">
            <w:pPr>
              <w:jc w:val="right"/>
              <w:rPr>
                <w:rFonts w:cs="Arial"/>
                <w:sz w:val="18"/>
                <w:szCs w:val="18"/>
              </w:rPr>
            </w:pPr>
            <w:r w:rsidRPr="00636CC2">
              <w:rPr>
                <w:rFonts w:cs="Arial"/>
                <w:sz w:val="18"/>
                <w:szCs w:val="18"/>
              </w:rPr>
              <w:t>274</w:t>
            </w:r>
          </w:p>
        </w:tc>
        <w:tc>
          <w:tcPr>
            <w:tcW w:w="1402" w:type="dxa"/>
            <w:tcBorders>
              <w:top w:val="nil"/>
              <w:left w:val="nil"/>
              <w:bottom w:val="single" w:sz="4" w:space="0" w:color="auto"/>
              <w:right w:val="nil"/>
            </w:tcBorders>
            <w:shd w:val="clear" w:color="auto" w:fill="auto"/>
            <w:noWrap/>
            <w:vAlign w:val="bottom"/>
            <w:hideMark/>
          </w:tcPr>
          <w:p w14:paraId="1212F089" w14:textId="77777777" w:rsidR="0097090C" w:rsidRPr="00636CC2" w:rsidRDefault="0097090C" w:rsidP="0097090C">
            <w:pPr>
              <w:jc w:val="right"/>
              <w:rPr>
                <w:rFonts w:cs="Arial"/>
                <w:sz w:val="18"/>
                <w:szCs w:val="18"/>
              </w:rPr>
            </w:pPr>
            <w:r w:rsidRPr="00636CC2">
              <w:rPr>
                <w:rFonts w:cs="Arial"/>
                <w:sz w:val="18"/>
                <w:szCs w:val="18"/>
              </w:rPr>
              <w:t>290</w:t>
            </w:r>
          </w:p>
        </w:tc>
        <w:tc>
          <w:tcPr>
            <w:tcW w:w="1200" w:type="dxa"/>
            <w:tcBorders>
              <w:top w:val="nil"/>
              <w:left w:val="nil"/>
              <w:bottom w:val="nil"/>
              <w:right w:val="nil"/>
            </w:tcBorders>
            <w:shd w:val="clear" w:color="000000" w:fill="D9D9D9"/>
            <w:noWrap/>
            <w:vAlign w:val="bottom"/>
            <w:hideMark/>
          </w:tcPr>
          <w:p w14:paraId="7BA27821" w14:textId="77777777" w:rsidR="0097090C" w:rsidRPr="00636CC2" w:rsidRDefault="0097090C" w:rsidP="0097090C">
            <w:pPr>
              <w:jc w:val="right"/>
              <w:rPr>
                <w:rFonts w:cs="Arial"/>
                <w:sz w:val="18"/>
                <w:szCs w:val="18"/>
              </w:rPr>
            </w:pPr>
            <w:r w:rsidRPr="00636CC2">
              <w:rPr>
                <w:rFonts w:cs="Arial"/>
                <w:sz w:val="18"/>
                <w:szCs w:val="18"/>
              </w:rPr>
              <w:t>140</w:t>
            </w:r>
          </w:p>
        </w:tc>
        <w:tc>
          <w:tcPr>
            <w:tcW w:w="1200" w:type="dxa"/>
            <w:tcBorders>
              <w:top w:val="nil"/>
              <w:left w:val="nil"/>
              <w:bottom w:val="nil"/>
              <w:right w:val="nil"/>
            </w:tcBorders>
            <w:shd w:val="clear" w:color="auto" w:fill="auto"/>
            <w:noWrap/>
            <w:vAlign w:val="bottom"/>
            <w:hideMark/>
          </w:tcPr>
          <w:p w14:paraId="22E78B51" w14:textId="77777777" w:rsidR="0097090C" w:rsidRPr="00636CC2" w:rsidRDefault="0097090C" w:rsidP="0097090C">
            <w:pPr>
              <w:jc w:val="right"/>
              <w:rPr>
                <w:rFonts w:cs="Arial"/>
                <w:sz w:val="18"/>
                <w:szCs w:val="18"/>
              </w:rPr>
            </w:pPr>
            <w:r w:rsidRPr="00636CC2">
              <w:rPr>
                <w:rFonts w:cs="Arial"/>
                <w:sz w:val="18"/>
                <w:szCs w:val="18"/>
              </w:rPr>
              <w:t>150</w:t>
            </w:r>
          </w:p>
        </w:tc>
        <w:tc>
          <w:tcPr>
            <w:tcW w:w="1200" w:type="dxa"/>
            <w:tcBorders>
              <w:top w:val="nil"/>
              <w:left w:val="nil"/>
              <w:bottom w:val="single" w:sz="4" w:space="0" w:color="auto"/>
              <w:right w:val="nil"/>
            </w:tcBorders>
            <w:shd w:val="clear" w:color="000000" w:fill="D9D9D9"/>
            <w:noWrap/>
            <w:vAlign w:val="bottom"/>
            <w:hideMark/>
          </w:tcPr>
          <w:p w14:paraId="27D869AF"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7BAFAD53" w14:textId="77777777" w:rsidTr="0097090C">
        <w:trPr>
          <w:trHeight w:val="240"/>
        </w:trPr>
        <w:tc>
          <w:tcPr>
            <w:tcW w:w="2641" w:type="dxa"/>
            <w:tcBorders>
              <w:top w:val="nil"/>
              <w:left w:val="nil"/>
              <w:bottom w:val="single" w:sz="4" w:space="0" w:color="auto"/>
              <w:right w:val="nil"/>
            </w:tcBorders>
            <w:shd w:val="clear" w:color="auto" w:fill="auto"/>
            <w:noWrap/>
            <w:vAlign w:val="bottom"/>
            <w:hideMark/>
          </w:tcPr>
          <w:p w14:paraId="2911BD62" w14:textId="77777777" w:rsidR="0097090C" w:rsidRPr="00636CC2" w:rsidRDefault="0097090C" w:rsidP="0097090C">
            <w:pPr>
              <w:rPr>
                <w:rFonts w:cs="Arial"/>
                <w:b/>
                <w:bCs/>
                <w:sz w:val="18"/>
                <w:szCs w:val="18"/>
              </w:rPr>
            </w:pPr>
            <w:r w:rsidRPr="00636CC2">
              <w:rPr>
                <w:rFonts w:cs="Arial"/>
                <w:b/>
                <w:bCs/>
                <w:sz w:val="18"/>
                <w:szCs w:val="18"/>
              </w:rPr>
              <w:t>Total</w:t>
            </w:r>
          </w:p>
        </w:tc>
        <w:tc>
          <w:tcPr>
            <w:tcW w:w="1417" w:type="dxa"/>
            <w:tcBorders>
              <w:top w:val="nil"/>
              <w:left w:val="nil"/>
              <w:bottom w:val="single" w:sz="4" w:space="0" w:color="auto"/>
              <w:right w:val="nil"/>
            </w:tcBorders>
            <w:shd w:val="clear" w:color="000000" w:fill="D9D9D9"/>
            <w:noWrap/>
            <w:vAlign w:val="bottom"/>
            <w:hideMark/>
          </w:tcPr>
          <w:p w14:paraId="289B16A5" w14:textId="77777777" w:rsidR="0097090C" w:rsidRPr="00636CC2" w:rsidRDefault="0097090C" w:rsidP="0097090C">
            <w:pPr>
              <w:jc w:val="right"/>
              <w:rPr>
                <w:rFonts w:cs="Arial"/>
                <w:b/>
                <w:bCs/>
                <w:sz w:val="18"/>
                <w:szCs w:val="18"/>
              </w:rPr>
            </w:pPr>
            <w:r w:rsidRPr="00636CC2">
              <w:rPr>
                <w:rFonts w:cs="Arial"/>
                <w:b/>
                <w:bCs/>
                <w:sz w:val="18"/>
                <w:szCs w:val="18"/>
              </w:rPr>
              <w:t>6,769</w:t>
            </w:r>
          </w:p>
        </w:tc>
        <w:tc>
          <w:tcPr>
            <w:tcW w:w="1402" w:type="dxa"/>
            <w:tcBorders>
              <w:top w:val="nil"/>
              <w:left w:val="nil"/>
              <w:bottom w:val="single" w:sz="4" w:space="0" w:color="auto"/>
              <w:right w:val="nil"/>
            </w:tcBorders>
            <w:shd w:val="clear" w:color="auto" w:fill="auto"/>
            <w:noWrap/>
            <w:vAlign w:val="bottom"/>
            <w:hideMark/>
          </w:tcPr>
          <w:p w14:paraId="60C07AB3" w14:textId="77777777" w:rsidR="0097090C" w:rsidRPr="00636CC2" w:rsidRDefault="0097090C" w:rsidP="0097090C">
            <w:pPr>
              <w:jc w:val="right"/>
              <w:rPr>
                <w:rFonts w:cs="Arial"/>
                <w:b/>
                <w:bCs/>
                <w:sz w:val="18"/>
                <w:szCs w:val="18"/>
              </w:rPr>
            </w:pPr>
            <w:r w:rsidRPr="00636CC2">
              <w:rPr>
                <w:rFonts w:cs="Arial"/>
                <w:b/>
                <w:bCs/>
                <w:sz w:val="18"/>
                <w:szCs w:val="18"/>
              </w:rPr>
              <w:t>6,785</w:t>
            </w:r>
          </w:p>
        </w:tc>
        <w:tc>
          <w:tcPr>
            <w:tcW w:w="1200" w:type="dxa"/>
            <w:tcBorders>
              <w:top w:val="single" w:sz="4" w:space="0" w:color="auto"/>
              <w:left w:val="nil"/>
              <w:bottom w:val="single" w:sz="4" w:space="0" w:color="auto"/>
              <w:right w:val="nil"/>
            </w:tcBorders>
            <w:shd w:val="clear" w:color="000000" w:fill="D9D9D9"/>
            <w:noWrap/>
            <w:vAlign w:val="bottom"/>
            <w:hideMark/>
          </w:tcPr>
          <w:p w14:paraId="53301F29" w14:textId="77777777" w:rsidR="0097090C" w:rsidRPr="00636CC2" w:rsidRDefault="0097090C" w:rsidP="0097090C">
            <w:pPr>
              <w:jc w:val="right"/>
              <w:rPr>
                <w:rFonts w:cs="Arial"/>
                <w:b/>
                <w:bCs/>
                <w:sz w:val="18"/>
                <w:szCs w:val="18"/>
              </w:rPr>
            </w:pPr>
            <w:r w:rsidRPr="00636CC2">
              <w:rPr>
                <w:rFonts w:cs="Arial"/>
                <w:b/>
                <w:bCs/>
                <w:sz w:val="18"/>
                <w:szCs w:val="18"/>
              </w:rPr>
              <w:t>6,635</w:t>
            </w:r>
          </w:p>
        </w:tc>
        <w:tc>
          <w:tcPr>
            <w:tcW w:w="1200" w:type="dxa"/>
            <w:tcBorders>
              <w:top w:val="single" w:sz="4" w:space="0" w:color="auto"/>
              <w:left w:val="nil"/>
              <w:bottom w:val="single" w:sz="4" w:space="0" w:color="auto"/>
              <w:right w:val="nil"/>
            </w:tcBorders>
            <w:shd w:val="clear" w:color="auto" w:fill="auto"/>
            <w:noWrap/>
            <w:vAlign w:val="bottom"/>
            <w:hideMark/>
          </w:tcPr>
          <w:p w14:paraId="78284494" w14:textId="77777777" w:rsidR="0097090C" w:rsidRPr="00636CC2" w:rsidRDefault="0097090C" w:rsidP="0097090C">
            <w:pPr>
              <w:jc w:val="right"/>
              <w:rPr>
                <w:rFonts w:cs="Arial"/>
                <w:b/>
                <w:bCs/>
                <w:sz w:val="18"/>
                <w:szCs w:val="18"/>
              </w:rPr>
            </w:pPr>
            <w:r w:rsidRPr="00636CC2">
              <w:rPr>
                <w:rFonts w:cs="Arial"/>
                <w:b/>
                <w:bCs/>
                <w:sz w:val="18"/>
                <w:szCs w:val="18"/>
              </w:rPr>
              <w:t>150</w:t>
            </w:r>
          </w:p>
        </w:tc>
        <w:tc>
          <w:tcPr>
            <w:tcW w:w="1200" w:type="dxa"/>
            <w:tcBorders>
              <w:top w:val="nil"/>
              <w:left w:val="nil"/>
              <w:bottom w:val="single" w:sz="4" w:space="0" w:color="auto"/>
              <w:right w:val="nil"/>
            </w:tcBorders>
            <w:shd w:val="clear" w:color="000000" w:fill="D9D9D9"/>
            <w:noWrap/>
            <w:vAlign w:val="bottom"/>
            <w:hideMark/>
          </w:tcPr>
          <w:p w14:paraId="3BDBD60E" w14:textId="77777777" w:rsidR="0097090C" w:rsidRPr="00636CC2" w:rsidRDefault="0097090C" w:rsidP="0097090C">
            <w:pPr>
              <w:jc w:val="right"/>
              <w:rPr>
                <w:rFonts w:cs="Arial"/>
                <w:b/>
                <w:bCs/>
                <w:sz w:val="18"/>
                <w:szCs w:val="18"/>
              </w:rPr>
            </w:pPr>
            <w:r w:rsidRPr="00636CC2">
              <w:rPr>
                <w:rFonts w:cs="Arial"/>
                <w:b/>
                <w:bCs/>
                <w:sz w:val="18"/>
                <w:szCs w:val="18"/>
              </w:rPr>
              <w:t>0</w:t>
            </w:r>
          </w:p>
        </w:tc>
      </w:tr>
    </w:tbl>
    <w:p w14:paraId="1D994BFB" w14:textId="77777777" w:rsidR="0097090C" w:rsidRDefault="0097090C" w:rsidP="0097090C">
      <w:pPr>
        <w:rPr>
          <w:rFonts w:cs="Arial"/>
        </w:rPr>
      </w:pPr>
    </w:p>
    <w:p w14:paraId="1D04955B" w14:textId="77777777" w:rsidR="0097090C" w:rsidRPr="006E34A0" w:rsidRDefault="0097090C" w:rsidP="0097090C">
      <w:pPr>
        <w:pStyle w:val="Heading5"/>
        <w:numPr>
          <w:ilvl w:val="0"/>
          <w:numId w:val="35"/>
        </w:numPr>
      </w:pPr>
      <w:r w:rsidRPr="006E34A0">
        <w:t xml:space="preserve">Market Risk </w:t>
      </w:r>
    </w:p>
    <w:p w14:paraId="53E28E3D" w14:textId="77777777" w:rsidR="0097090C" w:rsidRPr="00E82E37" w:rsidRDefault="0097090C" w:rsidP="0097090C">
      <w:pPr>
        <w:rPr>
          <w:rFonts w:cs="Arial"/>
        </w:rPr>
      </w:pPr>
      <w:r w:rsidRPr="00E82E37">
        <w:rPr>
          <w:rFonts w:cs="Arial"/>
        </w:rPr>
        <w:t>The entity’s exposures to market risk are primarily through interest rate risk with only insignificant exposure to foreign currency and other price risks. Objectives, policies and processes used to manage each of these risks are disclosed in the paragraphs below.</w:t>
      </w:r>
    </w:p>
    <w:p w14:paraId="35778D42" w14:textId="77777777" w:rsidR="0097090C" w:rsidRPr="00E82E37" w:rsidRDefault="0097090C" w:rsidP="0097090C">
      <w:pPr>
        <w:rPr>
          <w:rFonts w:cs="Arial"/>
        </w:rPr>
      </w:pPr>
    </w:p>
    <w:p w14:paraId="4672E150" w14:textId="77777777" w:rsidR="0097090C" w:rsidRPr="00E82E37" w:rsidRDefault="0097090C" w:rsidP="0097090C">
      <w:pPr>
        <w:pStyle w:val="Heading6"/>
      </w:pPr>
      <w:r w:rsidRPr="00E82E37">
        <w:t>Foreign currency risk</w:t>
      </w:r>
    </w:p>
    <w:p w14:paraId="403A86B7" w14:textId="77777777" w:rsidR="0097090C" w:rsidRPr="00052A84" w:rsidRDefault="0097090C" w:rsidP="0097090C">
      <w:pPr>
        <w:rPr>
          <w:rFonts w:cs="Arial"/>
        </w:rPr>
      </w:pPr>
      <w:r w:rsidRPr="00052A84">
        <w:rPr>
          <w:rFonts w:cs="Arial"/>
        </w:rPr>
        <w:t>The entity is normally exposed to insignificant foreign currency risk through its payables relating to purchases of supplies and consumables from overseas. This is because of a limited amount of purchases denominated in foreign currencies and a short timeframe between commitment and settlement.</w:t>
      </w:r>
    </w:p>
    <w:p w14:paraId="204EED5A" w14:textId="77777777" w:rsidR="0097090C" w:rsidRPr="00E82E37" w:rsidRDefault="0097090C" w:rsidP="0097090C">
      <w:pPr>
        <w:rPr>
          <w:rFonts w:cs="Arial"/>
        </w:rPr>
      </w:pPr>
      <w:r w:rsidRPr="00052A84">
        <w:rPr>
          <w:rFonts w:cs="Arial"/>
        </w:rPr>
        <w:t>The entity manages its risk through continuous monitoring of movements in exchange rates and ensures availability of funds through rigorous cash flow planning and monitoring.</w:t>
      </w:r>
    </w:p>
    <w:p w14:paraId="0EF46B7E" w14:textId="77777777" w:rsidR="0097090C" w:rsidRDefault="0097090C" w:rsidP="0097090C">
      <w:pPr>
        <w:rPr>
          <w:b/>
        </w:rPr>
      </w:pPr>
    </w:p>
    <w:p w14:paraId="51CC736D" w14:textId="77777777" w:rsidR="0097090C" w:rsidRDefault="0097090C" w:rsidP="0097090C">
      <w:pPr>
        <w:rPr>
          <w:b/>
        </w:rPr>
      </w:pPr>
      <w:r w:rsidRPr="00052A84">
        <w:t xml:space="preserve">Where significant </w:t>
      </w:r>
      <w:r>
        <w:t>foreign currency risk arises as a result of significant commitments to exhibition and equipment suppliers overseas combined with a significant lead time between commitment and settlement, the entity may enter into foreign currency forward contracts to limit the exposure to exchange rate movements.</w:t>
      </w:r>
    </w:p>
    <w:p w14:paraId="2B74EE59" w14:textId="77777777" w:rsidR="0097090C" w:rsidRPr="00E82E37" w:rsidRDefault="0097090C" w:rsidP="0097090C">
      <w:pPr>
        <w:rPr>
          <w:b/>
        </w:rPr>
      </w:pPr>
    </w:p>
    <w:p w14:paraId="3FE88654" w14:textId="77777777" w:rsidR="0097090C" w:rsidRPr="00E82E37" w:rsidRDefault="0097090C" w:rsidP="0097090C">
      <w:pPr>
        <w:pStyle w:val="Heading6"/>
      </w:pPr>
      <w:r w:rsidRPr="00E82E37">
        <w:t>Interest rate risk</w:t>
      </w:r>
    </w:p>
    <w:p w14:paraId="56760E9E" w14:textId="77777777" w:rsidR="0097090C" w:rsidRPr="00E82E37" w:rsidRDefault="0097090C" w:rsidP="0097090C">
      <w:pPr>
        <w:rPr>
          <w:rFonts w:cs="Arial"/>
        </w:rPr>
      </w:pPr>
      <w:r w:rsidRPr="00E82E37">
        <w:rPr>
          <w:rFonts w:cs="Arial"/>
        </w:rPr>
        <w:t xml:space="preserve">Exposure to interest rate risk arises primarily through the entity’s interest bearing cash and cash equivalents assets. Minimisation of risk is achieved by mainly undertaking short-term fixed-rate cash investments. </w:t>
      </w:r>
    </w:p>
    <w:p w14:paraId="0A1BB5E4" w14:textId="77777777" w:rsidR="0097090C" w:rsidRPr="00E82E37" w:rsidRDefault="0097090C" w:rsidP="0097090C">
      <w:pPr>
        <w:rPr>
          <w:rFonts w:cs="Arial"/>
        </w:rPr>
      </w:pPr>
    </w:p>
    <w:p w14:paraId="641DB448" w14:textId="77777777" w:rsidR="0097090C" w:rsidRPr="00E82E37" w:rsidRDefault="0097090C" w:rsidP="0097090C">
      <w:pPr>
        <w:rPr>
          <w:rFonts w:cs="Arial"/>
        </w:rPr>
      </w:pPr>
      <w:r w:rsidRPr="00E82E37">
        <w:rPr>
          <w:rFonts w:cs="Arial"/>
        </w:rPr>
        <w:t>The impact of a reasonably possible 1% increase or decrease in interest rates is not expected to have a material effect on the entity’s net result or equity.</w:t>
      </w:r>
    </w:p>
    <w:p w14:paraId="629A20CB" w14:textId="77777777" w:rsidR="0097090C" w:rsidRDefault="0097090C" w:rsidP="0097090C">
      <w:pPr>
        <w:rPr>
          <w:b/>
        </w:rPr>
      </w:pPr>
    </w:p>
    <w:p w14:paraId="4DE90880" w14:textId="77777777" w:rsidR="0097090C" w:rsidRDefault="0097090C" w:rsidP="0097090C">
      <w:pPr>
        <w:spacing w:before="60"/>
      </w:pPr>
      <w:r w:rsidRPr="00E82E37">
        <w:t>Museum Victoria’s exposure to interest rate risk and the effective weighted average interest rate for each class of financial assets and liabilities is set out below.</w:t>
      </w:r>
    </w:p>
    <w:p w14:paraId="7FF800E5" w14:textId="77777777" w:rsidR="0097090C" w:rsidRDefault="0097090C" w:rsidP="0097090C">
      <w:pPr>
        <w:spacing w:before="60"/>
      </w:pPr>
    </w:p>
    <w:tbl>
      <w:tblPr>
        <w:tblW w:w="9520" w:type="dxa"/>
        <w:tblInd w:w="93" w:type="dxa"/>
        <w:tblLook w:val="04A0" w:firstRow="1" w:lastRow="0" w:firstColumn="1" w:lastColumn="0" w:noHBand="0" w:noVBand="1"/>
      </w:tblPr>
      <w:tblGrid>
        <w:gridCol w:w="3540"/>
        <w:gridCol w:w="1340"/>
        <w:gridCol w:w="1160"/>
        <w:gridCol w:w="1160"/>
        <w:gridCol w:w="1160"/>
        <w:gridCol w:w="1160"/>
      </w:tblGrid>
      <w:tr w:rsidR="0097090C" w:rsidRPr="00636CC2" w14:paraId="170DEA40" w14:textId="77777777" w:rsidTr="0097090C">
        <w:trPr>
          <w:trHeight w:val="240"/>
        </w:trPr>
        <w:tc>
          <w:tcPr>
            <w:tcW w:w="4880" w:type="dxa"/>
            <w:gridSpan w:val="2"/>
            <w:tcBorders>
              <w:top w:val="nil"/>
              <w:left w:val="nil"/>
              <w:bottom w:val="single" w:sz="4" w:space="0" w:color="auto"/>
              <w:right w:val="nil"/>
            </w:tcBorders>
            <w:shd w:val="clear" w:color="auto" w:fill="auto"/>
            <w:noWrap/>
            <w:vAlign w:val="bottom"/>
            <w:hideMark/>
          </w:tcPr>
          <w:p w14:paraId="68474EB2" w14:textId="77777777" w:rsidR="0097090C" w:rsidRPr="00636CC2" w:rsidRDefault="0097090C" w:rsidP="0097090C">
            <w:pPr>
              <w:rPr>
                <w:rFonts w:cs="Arial"/>
                <w:b/>
                <w:bCs/>
                <w:sz w:val="18"/>
                <w:szCs w:val="18"/>
              </w:rPr>
            </w:pPr>
            <w:r w:rsidRPr="00636CC2">
              <w:rPr>
                <w:rFonts w:cs="Arial"/>
                <w:b/>
                <w:bCs/>
                <w:sz w:val="18"/>
                <w:szCs w:val="18"/>
              </w:rPr>
              <w:t>Interest rate exposure of financial instruments</w:t>
            </w:r>
          </w:p>
        </w:tc>
        <w:tc>
          <w:tcPr>
            <w:tcW w:w="1160" w:type="dxa"/>
            <w:tcBorders>
              <w:top w:val="nil"/>
              <w:left w:val="nil"/>
              <w:bottom w:val="single" w:sz="4" w:space="0" w:color="auto"/>
              <w:right w:val="nil"/>
            </w:tcBorders>
            <w:shd w:val="clear" w:color="auto" w:fill="auto"/>
            <w:noWrap/>
            <w:vAlign w:val="bottom"/>
            <w:hideMark/>
          </w:tcPr>
          <w:p w14:paraId="12A2E619"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single" w:sz="4" w:space="0" w:color="auto"/>
              <w:right w:val="nil"/>
            </w:tcBorders>
            <w:shd w:val="clear" w:color="auto" w:fill="auto"/>
            <w:noWrap/>
            <w:vAlign w:val="bottom"/>
            <w:hideMark/>
          </w:tcPr>
          <w:p w14:paraId="0E6201FC"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single" w:sz="4" w:space="0" w:color="auto"/>
              <w:right w:val="nil"/>
            </w:tcBorders>
            <w:shd w:val="clear" w:color="auto" w:fill="auto"/>
            <w:noWrap/>
            <w:vAlign w:val="bottom"/>
            <w:hideMark/>
          </w:tcPr>
          <w:p w14:paraId="60F2DD2A"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single" w:sz="4" w:space="0" w:color="auto"/>
              <w:right w:val="nil"/>
            </w:tcBorders>
            <w:shd w:val="clear" w:color="auto" w:fill="auto"/>
            <w:noWrap/>
            <w:vAlign w:val="bottom"/>
            <w:hideMark/>
          </w:tcPr>
          <w:p w14:paraId="601B6C12" w14:textId="77777777" w:rsidR="0097090C" w:rsidRPr="00636CC2" w:rsidRDefault="0097090C" w:rsidP="0097090C">
            <w:pPr>
              <w:jc w:val="right"/>
              <w:rPr>
                <w:rFonts w:cs="Arial"/>
                <w:b/>
                <w:bCs/>
                <w:i/>
                <w:iCs/>
                <w:sz w:val="18"/>
                <w:szCs w:val="18"/>
              </w:rPr>
            </w:pPr>
            <w:r w:rsidRPr="00636CC2">
              <w:rPr>
                <w:rFonts w:cs="Arial"/>
                <w:b/>
                <w:bCs/>
                <w:i/>
                <w:iCs/>
                <w:sz w:val="18"/>
                <w:szCs w:val="18"/>
              </w:rPr>
              <w:t>$ '000</w:t>
            </w:r>
          </w:p>
        </w:tc>
      </w:tr>
      <w:tr w:rsidR="0097090C" w:rsidRPr="00636CC2" w14:paraId="7BC1D483" w14:textId="77777777" w:rsidTr="0097090C">
        <w:trPr>
          <w:trHeight w:val="960"/>
        </w:trPr>
        <w:tc>
          <w:tcPr>
            <w:tcW w:w="3540" w:type="dxa"/>
            <w:tcBorders>
              <w:top w:val="nil"/>
              <w:left w:val="nil"/>
              <w:bottom w:val="nil"/>
              <w:right w:val="nil"/>
            </w:tcBorders>
            <w:shd w:val="clear" w:color="auto" w:fill="auto"/>
            <w:noWrap/>
            <w:vAlign w:val="bottom"/>
            <w:hideMark/>
          </w:tcPr>
          <w:p w14:paraId="0BE04875" w14:textId="77777777" w:rsidR="0097090C" w:rsidRPr="00636CC2" w:rsidRDefault="0097090C" w:rsidP="0097090C">
            <w:pPr>
              <w:rPr>
                <w:rFonts w:cs="Arial"/>
                <w:b/>
                <w:bCs/>
                <w:sz w:val="18"/>
                <w:szCs w:val="18"/>
              </w:rPr>
            </w:pPr>
            <w:r w:rsidRPr="00636CC2">
              <w:rPr>
                <w:rFonts w:cs="Arial"/>
                <w:b/>
                <w:bCs/>
                <w:sz w:val="18"/>
                <w:szCs w:val="18"/>
              </w:rPr>
              <w:t>2016</w:t>
            </w:r>
          </w:p>
        </w:tc>
        <w:tc>
          <w:tcPr>
            <w:tcW w:w="1340" w:type="dxa"/>
            <w:tcBorders>
              <w:top w:val="nil"/>
              <w:left w:val="nil"/>
              <w:bottom w:val="nil"/>
              <w:right w:val="nil"/>
            </w:tcBorders>
            <w:shd w:val="clear" w:color="000000" w:fill="D9D9D9"/>
            <w:hideMark/>
          </w:tcPr>
          <w:p w14:paraId="3648749D" w14:textId="77777777" w:rsidR="0097090C" w:rsidRPr="00636CC2" w:rsidRDefault="0097090C" w:rsidP="0097090C">
            <w:pPr>
              <w:jc w:val="center"/>
              <w:rPr>
                <w:rFonts w:cs="Arial"/>
                <w:sz w:val="18"/>
                <w:szCs w:val="18"/>
              </w:rPr>
            </w:pPr>
            <w:r w:rsidRPr="00636CC2">
              <w:rPr>
                <w:rFonts w:cs="Arial"/>
                <w:sz w:val="18"/>
                <w:szCs w:val="18"/>
              </w:rPr>
              <w:t>Weighted average effective interest rate %</w:t>
            </w:r>
          </w:p>
        </w:tc>
        <w:tc>
          <w:tcPr>
            <w:tcW w:w="1160" w:type="dxa"/>
            <w:tcBorders>
              <w:top w:val="nil"/>
              <w:left w:val="nil"/>
              <w:bottom w:val="nil"/>
              <w:right w:val="nil"/>
            </w:tcBorders>
            <w:shd w:val="clear" w:color="auto" w:fill="auto"/>
            <w:hideMark/>
          </w:tcPr>
          <w:p w14:paraId="14AE8926" w14:textId="77777777" w:rsidR="0097090C" w:rsidRPr="00636CC2" w:rsidRDefault="0097090C" w:rsidP="0097090C">
            <w:pPr>
              <w:jc w:val="center"/>
              <w:rPr>
                <w:rFonts w:cs="Arial"/>
                <w:sz w:val="18"/>
                <w:szCs w:val="18"/>
              </w:rPr>
            </w:pPr>
            <w:r w:rsidRPr="00636CC2">
              <w:rPr>
                <w:rFonts w:cs="Arial"/>
                <w:sz w:val="18"/>
                <w:szCs w:val="18"/>
              </w:rPr>
              <w:t>Carrying amount</w:t>
            </w:r>
          </w:p>
        </w:tc>
        <w:tc>
          <w:tcPr>
            <w:tcW w:w="3480" w:type="dxa"/>
            <w:gridSpan w:val="3"/>
            <w:tcBorders>
              <w:top w:val="single" w:sz="4" w:space="0" w:color="auto"/>
              <w:left w:val="nil"/>
              <w:bottom w:val="single" w:sz="4" w:space="0" w:color="auto"/>
              <w:right w:val="nil"/>
            </w:tcBorders>
            <w:shd w:val="clear" w:color="auto" w:fill="auto"/>
            <w:hideMark/>
          </w:tcPr>
          <w:p w14:paraId="06D02FAE" w14:textId="77777777" w:rsidR="0097090C" w:rsidRPr="00636CC2" w:rsidRDefault="0097090C" w:rsidP="0097090C">
            <w:pPr>
              <w:jc w:val="center"/>
              <w:rPr>
                <w:rFonts w:cs="Arial"/>
                <w:sz w:val="18"/>
                <w:szCs w:val="18"/>
              </w:rPr>
            </w:pPr>
            <w:r w:rsidRPr="00636CC2">
              <w:rPr>
                <w:rFonts w:cs="Arial"/>
                <w:sz w:val="18"/>
                <w:szCs w:val="18"/>
              </w:rPr>
              <w:t>Interest rate exposure</w:t>
            </w:r>
          </w:p>
        </w:tc>
      </w:tr>
      <w:tr w:rsidR="0097090C" w:rsidRPr="00636CC2" w14:paraId="56776A18" w14:textId="77777777" w:rsidTr="0097090C">
        <w:trPr>
          <w:trHeight w:val="480"/>
        </w:trPr>
        <w:tc>
          <w:tcPr>
            <w:tcW w:w="3540" w:type="dxa"/>
            <w:tcBorders>
              <w:top w:val="single" w:sz="4" w:space="0" w:color="auto"/>
              <w:left w:val="nil"/>
              <w:bottom w:val="single" w:sz="4" w:space="0" w:color="auto"/>
              <w:right w:val="nil"/>
            </w:tcBorders>
            <w:shd w:val="clear" w:color="auto" w:fill="auto"/>
            <w:noWrap/>
            <w:vAlign w:val="bottom"/>
            <w:hideMark/>
          </w:tcPr>
          <w:p w14:paraId="5602AF88" w14:textId="77777777" w:rsidR="0097090C" w:rsidRPr="00636CC2" w:rsidRDefault="0097090C" w:rsidP="0097090C">
            <w:pPr>
              <w:rPr>
                <w:rFonts w:cs="Arial"/>
                <w:sz w:val="18"/>
                <w:szCs w:val="18"/>
              </w:rPr>
            </w:pPr>
            <w:r w:rsidRPr="00636CC2">
              <w:rPr>
                <w:rFonts w:cs="Arial"/>
                <w:sz w:val="18"/>
                <w:szCs w:val="18"/>
              </w:rPr>
              <w:t> </w:t>
            </w:r>
          </w:p>
        </w:tc>
        <w:tc>
          <w:tcPr>
            <w:tcW w:w="1340" w:type="dxa"/>
            <w:tcBorders>
              <w:top w:val="single" w:sz="4" w:space="0" w:color="auto"/>
              <w:left w:val="nil"/>
              <w:bottom w:val="single" w:sz="4" w:space="0" w:color="auto"/>
              <w:right w:val="nil"/>
            </w:tcBorders>
            <w:shd w:val="clear" w:color="000000" w:fill="D9D9D9"/>
            <w:hideMark/>
          </w:tcPr>
          <w:p w14:paraId="4014DDAE" w14:textId="77777777" w:rsidR="0097090C" w:rsidRPr="00636CC2" w:rsidRDefault="0097090C" w:rsidP="0097090C">
            <w:pPr>
              <w:jc w:val="center"/>
              <w:rPr>
                <w:rFonts w:cs="Arial"/>
                <w:sz w:val="18"/>
                <w:szCs w:val="18"/>
              </w:rPr>
            </w:pPr>
            <w:r w:rsidRPr="00636CC2">
              <w:rPr>
                <w:rFonts w:cs="Arial"/>
                <w:sz w:val="18"/>
                <w:szCs w:val="18"/>
              </w:rPr>
              <w:t> </w:t>
            </w:r>
          </w:p>
        </w:tc>
        <w:tc>
          <w:tcPr>
            <w:tcW w:w="1160" w:type="dxa"/>
            <w:tcBorders>
              <w:top w:val="single" w:sz="4" w:space="0" w:color="auto"/>
              <w:left w:val="nil"/>
              <w:bottom w:val="single" w:sz="4" w:space="0" w:color="auto"/>
              <w:right w:val="nil"/>
            </w:tcBorders>
            <w:shd w:val="clear" w:color="auto" w:fill="auto"/>
            <w:hideMark/>
          </w:tcPr>
          <w:p w14:paraId="7B893DEA" w14:textId="77777777" w:rsidR="0097090C" w:rsidRPr="00636CC2" w:rsidRDefault="0097090C" w:rsidP="0097090C">
            <w:pPr>
              <w:jc w:val="center"/>
              <w:rPr>
                <w:rFonts w:cs="Arial"/>
                <w:sz w:val="18"/>
                <w:szCs w:val="18"/>
              </w:rPr>
            </w:pPr>
            <w:r w:rsidRPr="00636CC2">
              <w:rPr>
                <w:rFonts w:cs="Arial"/>
                <w:sz w:val="18"/>
                <w:szCs w:val="18"/>
              </w:rPr>
              <w:t> </w:t>
            </w:r>
          </w:p>
        </w:tc>
        <w:tc>
          <w:tcPr>
            <w:tcW w:w="1160" w:type="dxa"/>
            <w:tcBorders>
              <w:top w:val="nil"/>
              <w:left w:val="nil"/>
              <w:bottom w:val="single" w:sz="4" w:space="0" w:color="auto"/>
              <w:right w:val="nil"/>
            </w:tcBorders>
            <w:shd w:val="clear" w:color="000000" w:fill="D9D9D9"/>
            <w:vAlign w:val="bottom"/>
            <w:hideMark/>
          </w:tcPr>
          <w:p w14:paraId="5B1934D0" w14:textId="77777777" w:rsidR="0097090C" w:rsidRPr="00636CC2" w:rsidRDefault="0097090C" w:rsidP="0097090C">
            <w:pPr>
              <w:jc w:val="center"/>
              <w:rPr>
                <w:rFonts w:cs="Arial"/>
                <w:sz w:val="18"/>
                <w:szCs w:val="18"/>
              </w:rPr>
            </w:pPr>
            <w:r w:rsidRPr="00636CC2">
              <w:rPr>
                <w:rFonts w:cs="Arial"/>
                <w:sz w:val="18"/>
                <w:szCs w:val="18"/>
              </w:rPr>
              <w:t>Fixed interest rate</w:t>
            </w:r>
          </w:p>
        </w:tc>
        <w:tc>
          <w:tcPr>
            <w:tcW w:w="1160" w:type="dxa"/>
            <w:tcBorders>
              <w:top w:val="nil"/>
              <w:left w:val="nil"/>
              <w:bottom w:val="single" w:sz="4" w:space="0" w:color="auto"/>
              <w:right w:val="nil"/>
            </w:tcBorders>
            <w:shd w:val="clear" w:color="auto" w:fill="auto"/>
            <w:vAlign w:val="bottom"/>
            <w:hideMark/>
          </w:tcPr>
          <w:p w14:paraId="710C04AC" w14:textId="77777777" w:rsidR="0097090C" w:rsidRPr="00636CC2" w:rsidRDefault="0097090C" w:rsidP="0097090C">
            <w:pPr>
              <w:jc w:val="center"/>
              <w:rPr>
                <w:rFonts w:cs="Arial"/>
                <w:sz w:val="18"/>
                <w:szCs w:val="18"/>
              </w:rPr>
            </w:pPr>
            <w:r w:rsidRPr="00636CC2">
              <w:rPr>
                <w:rFonts w:cs="Arial"/>
                <w:sz w:val="18"/>
                <w:szCs w:val="18"/>
              </w:rPr>
              <w:t>Variable interest rate</w:t>
            </w:r>
          </w:p>
        </w:tc>
        <w:tc>
          <w:tcPr>
            <w:tcW w:w="1160" w:type="dxa"/>
            <w:tcBorders>
              <w:top w:val="nil"/>
              <w:left w:val="nil"/>
              <w:bottom w:val="single" w:sz="4" w:space="0" w:color="auto"/>
              <w:right w:val="nil"/>
            </w:tcBorders>
            <w:shd w:val="clear" w:color="000000" w:fill="D9D9D9"/>
            <w:vAlign w:val="bottom"/>
            <w:hideMark/>
          </w:tcPr>
          <w:p w14:paraId="751C3703" w14:textId="77777777" w:rsidR="0097090C" w:rsidRPr="00636CC2" w:rsidRDefault="0097090C" w:rsidP="0097090C">
            <w:pPr>
              <w:jc w:val="center"/>
              <w:rPr>
                <w:rFonts w:cs="Arial"/>
                <w:sz w:val="18"/>
                <w:szCs w:val="18"/>
              </w:rPr>
            </w:pPr>
            <w:r w:rsidRPr="00636CC2">
              <w:rPr>
                <w:rFonts w:cs="Arial"/>
                <w:sz w:val="18"/>
                <w:szCs w:val="18"/>
              </w:rPr>
              <w:t>Non-interest bearing</w:t>
            </w:r>
          </w:p>
        </w:tc>
      </w:tr>
      <w:tr w:rsidR="0097090C" w:rsidRPr="00636CC2" w14:paraId="04EC4B06" w14:textId="77777777" w:rsidTr="0097090C">
        <w:trPr>
          <w:trHeight w:val="240"/>
        </w:trPr>
        <w:tc>
          <w:tcPr>
            <w:tcW w:w="3540" w:type="dxa"/>
            <w:tcBorders>
              <w:top w:val="nil"/>
              <w:left w:val="nil"/>
              <w:bottom w:val="nil"/>
              <w:right w:val="nil"/>
            </w:tcBorders>
            <w:shd w:val="clear" w:color="auto" w:fill="auto"/>
            <w:noWrap/>
            <w:vAlign w:val="bottom"/>
            <w:hideMark/>
          </w:tcPr>
          <w:p w14:paraId="3E2E0C3C" w14:textId="77777777" w:rsidR="0097090C" w:rsidRPr="00636CC2" w:rsidRDefault="0097090C" w:rsidP="0097090C">
            <w:pPr>
              <w:rPr>
                <w:rFonts w:cs="Arial"/>
                <w:b/>
                <w:bCs/>
                <w:sz w:val="18"/>
                <w:szCs w:val="18"/>
              </w:rPr>
            </w:pPr>
            <w:r w:rsidRPr="00636CC2">
              <w:rPr>
                <w:rFonts w:cs="Arial"/>
                <w:b/>
                <w:bCs/>
                <w:sz w:val="18"/>
                <w:szCs w:val="18"/>
              </w:rPr>
              <w:t>Financial Assets</w:t>
            </w:r>
          </w:p>
        </w:tc>
        <w:tc>
          <w:tcPr>
            <w:tcW w:w="1340" w:type="dxa"/>
            <w:tcBorders>
              <w:top w:val="nil"/>
              <w:left w:val="nil"/>
              <w:bottom w:val="nil"/>
              <w:right w:val="nil"/>
            </w:tcBorders>
            <w:shd w:val="clear" w:color="000000" w:fill="D9D9D9"/>
            <w:hideMark/>
          </w:tcPr>
          <w:p w14:paraId="07983AC2" w14:textId="77777777" w:rsidR="0097090C" w:rsidRPr="00636CC2" w:rsidRDefault="0097090C" w:rsidP="0097090C">
            <w:pP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hideMark/>
          </w:tcPr>
          <w:p w14:paraId="7612D999" w14:textId="77777777" w:rsidR="0097090C" w:rsidRPr="00636CC2" w:rsidRDefault="0097090C" w:rsidP="0097090C">
            <w:pPr>
              <w:rPr>
                <w:rFonts w:cs="Arial"/>
                <w:i/>
                <w:iCs/>
                <w:sz w:val="18"/>
                <w:szCs w:val="18"/>
              </w:rPr>
            </w:pPr>
          </w:p>
        </w:tc>
        <w:tc>
          <w:tcPr>
            <w:tcW w:w="1160" w:type="dxa"/>
            <w:tcBorders>
              <w:top w:val="nil"/>
              <w:left w:val="nil"/>
              <w:bottom w:val="nil"/>
              <w:right w:val="nil"/>
            </w:tcBorders>
            <w:shd w:val="clear" w:color="000000" w:fill="D9D9D9"/>
            <w:vAlign w:val="bottom"/>
            <w:hideMark/>
          </w:tcPr>
          <w:p w14:paraId="4C32BA78" w14:textId="77777777" w:rsidR="0097090C" w:rsidRPr="00636CC2" w:rsidRDefault="0097090C" w:rsidP="0097090C">
            <w:pPr>
              <w:jc w:val="cente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vAlign w:val="bottom"/>
            <w:hideMark/>
          </w:tcPr>
          <w:p w14:paraId="5128590C" w14:textId="77777777" w:rsidR="0097090C" w:rsidRPr="00636CC2" w:rsidRDefault="0097090C" w:rsidP="0097090C">
            <w:pPr>
              <w:jc w:val="center"/>
              <w:rPr>
                <w:rFonts w:cs="Arial"/>
                <w:i/>
                <w:iCs/>
                <w:sz w:val="18"/>
                <w:szCs w:val="18"/>
              </w:rPr>
            </w:pPr>
          </w:p>
        </w:tc>
        <w:tc>
          <w:tcPr>
            <w:tcW w:w="1160" w:type="dxa"/>
            <w:tcBorders>
              <w:top w:val="nil"/>
              <w:left w:val="nil"/>
              <w:bottom w:val="nil"/>
              <w:right w:val="nil"/>
            </w:tcBorders>
            <w:shd w:val="clear" w:color="000000" w:fill="D9D9D9"/>
            <w:vAlign w:val="bottom"/>
            <w:hideMark/>
          </w:tcPr>
          <w:p w14:paraId="13ECF7D4" w14:textId="77777777" w:rsidR="0097090C" w:rsidRPr="00636CC2" w:rsidRDefault="0097090C" w:rsidP="0097090C">
            <w:pPr>
              <w:rPr>
                <w:rFonts w:cs="Arial"/>
                <w:i/>
                <w:iCs/>
                <w:sz w:val="18"/>
                <w:szCs w:val="18"/>
              </w:rPr>
            </w:pPr>
            <w:r w:rsidRPr="00636CC2">
              <w:rPr>
                <w:rFonts w:cs="Arial"/>
                <w:i/>
                <w:iCs/>
                <w:sz w:val="18"/>
                <w:szCs w:val="18"/>
              </w:rPr>
              <w:t> </w:t>
            </w:r>
          </w:p>
        </w:tc>
      </w:tr>
      <w:tr w:rsidR="0097090C" w:rsidRPr="00636CC2" w14:paraId="2A0F39F8" w14:textId="77777777" w:rsidTr="0097090C">
        <w:trPr>
          <w:trHeight w:val="240"/>
        </w:trPr>
        <w:tc>
          <w:tcPr>
            <w:tcW w:w="3540" w:type="dxa"/>
            <w:tcBorders>
              <w:top w:val="nil"/>
              <w:left w:val="nil"/>
              <w:bottom w:val="nil"/>
              <w:right w:val="nil"/>
            </w:tcBorders>
            <w:shd w:val="clear" w:color="auto" w:fill="auto"/>
            <w:noWrap/>
            <w:vAlign w:val="bottom"/>
            <w:hideMark/>
          </w:tcPr>
          <w:p w14:paraId="7806D1D5" w14:textId="77777777" w:rsidR="0097090C" w:rsidRPr="00636CC2" w:rsidRDefault="0097090C" w:rsidP="0097090C">
            <w:pPr>
              <w:rPr>
                <w:rFonts w:cs="Arial"/>
                <w:sz w:val="18"/>
                <w:szCs w:val="18"/>
              </w:rPr>
            </w:pPr>
            <w:r w:rsidRPr="00636CC2">
              <w:rPr>
                <w:rFonts w:cs="Arial"/>
                <w:sz w:val="18"/>
                <w:szCs w:val="18"/>
              </w:rPr>
              <w:t>Cash and deposits</w:t>
            </w:r>
          </w:p>
        </w:tc>
        <w:tc>
          <w:tcPr>
            <w:tcW w:w="1340" w:type="dxa"/>
            <w:tcBorders>
              <w:top w:val="nil"/>
              <w:left w:val="nil"/>
              <w:bottom w:val="nil"/>
              <w:right w:val="nil"/>
            </w:tcBorders>
            <w:shd w:val="clear" w:color="000000" w:fill="D9D9D9"/>
            <w:noWrap/>
            <w:vAlign w:val="bottom"/>
            <w:hideMark/>
          </w:tcPr>
          <w:p w14:paraId="38ACE279" w14:textId="77777777" w:rsidR="0097090C" w:rsidRPr="00636CC2" w:rsidRDefault="0097090C" w:rsidP="0097090C">
            <w:pPr>
              <w:jc w:val="right"/>
              <w:rPr>
                <w:rFonts w:cs="Arial"/>
                <w:sz w:val="18"/>
                <w:szCs w:val="18"/>
              </w:rPr>
            </w:pPr>
            <w:r w:rsidRPr="00636CC2">
              <w:rPr>
                <w:rFonts w:cs="Arial"/>
                <w:sz w:val="18"/>
                <w:szCs w:val="18"/>
              </w:rPr>
              <w:t>1.14%</w:t>
            </w:r>
          </w:p>
        </w:tc>
        <w:tc>
          <w:tcPr>
            <w:tcW w:w="1160" w:type="dxa"/>
            <w:tcBorders>
              <w:top w:val="nil"/>
              <w:left w:val="nil"/>
              <w:bottom w:val="nil"/>
              <w:right w:val="nil"/>
            </w:tcBorders>
            <w:shd w:val="clear" w:color="auto" w:fill="auto"/>
            <w:noWrap/>
            <w:vAlign w:val="bottom"/>
            <w:hideMark/>
          </w:tcPr>
          <w:p w14:paraId="5B790CCE" w14:textId="77777777" w:rsidR="0097090C" w:rsidRPr="00636CC2" w:rsidRDefault="0097090C" w:rsidP="0097090C">
            <w:pPr>
              <w:jc w:val="right"/>
              <w:rPr>
                <w:rFonts w:cs="Arial"/>
                <w:sz w:val="18"/>
                <w:szCs w:val="18"/>
              </w:rPr>
            </w:pPr>
            <w:r w:rsidRPr="00636CC2">
              <w:rPr>
                <w:rFonts w:cs="Arial"/>
                <w:sz w:val="18"/>
                <w:szCs w:val="18"/>
              </w:rPr>
              <w:t>1,789</w:t>
            </w:r>
          </w:p>
        </w:tc>
        <w:tc>
          <w:tcPr>
            <w:tcW w:w="1160" w:type="dxa"/>
            <w:tcBorders>
              <w:top w:val="nil"/>
              <w:left w:val="nil"/>
              <w:bottom w:val="nil"/>
              <w:right w:val="nil"/>
            </w:tcBorders>
            <w:shd w:val="clear" w:color="000000" w:fill="D9D9D9"/>
            <w:noWrap/>
            <w:vAlign w:val="bottom"/>
            <w:hideMark/>
          </w:tcPr>
          <w:p w14:paraId="4DED144D"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auto" w:fill="auto"/>
            <w:noWrap/>
            <w:vAlign w:val="bottom"/>
            <w:hideMark/>
          </w:tcPr>
          <w:p w14:paraId="1B30A32B" w14:textId="77777777" w:rsidR="0097090C" w:rsidRPr="00636CC2" w:rsidRDefault="0097090C" w:rsidP="0097090C">
            <w:pPr>
              <w:jc w:val="right"/>
              <w:rPr>
                <w:rFonts w:cs="Arial"/>
                <w:sz w:val="18"/>
                <w:szCs w:val="18"/>
              </w:rPr>
            </w:pPr>
            <w:r w:rsidRPr="00636CC2">
              <w:rPr>
                <w:rFonts w:cs="Arial"/>
                <w:sz w:val="18"/>
                <w:szCs w:val="18"/>
              </w:rPr>
              <w:t>1,789</w:t>
            </w:r>
          </w:p>
        </w:tc>
        <w:tc>
          <w:tcPr>
            <w:tcW w:w="1160" w:type="dxa"/>
            <w:tcBorders>
              <w:top w:val="nil"/>
              <w:left w:val="nil"/>
              <w:bottom w:val="nil"/>
              <w:right w:val="nil"/>
            </w:tcBorders>
            <w:shd w:val="clear" w:color="000000" w:fill="D9D9D9"/>
            <w:noWrap/>
            <w:vAlign w:val="bottom"/>
            <w:hideMark/>
          </w:tcPr>
          <w:p w14:paraId="33F07041"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0B3DFF82" w14:textId="77777777" w:rsidTr="0097090C">
        <w:trPr>
          <w:trHeight w:val="240"/>
        </w:trPr>
        <w:tc>
          <w:tcPr>
            <w:tcW w:w="3540" w:type="dxa"/>
            <w:tcBorders>
              <w:top w:val="nil"/>
              <w:left w:val="nil"/>
              <w:bottom w:val="nil"/>
              <w:right w:val="nil"/>
            </w:tcBorders>
            <w:shd w:val="clear" w:color="auto" w:fill="auto"/>
            <w:noWrap/>
            <w:vAlign w:val="bottom"/>
            <w:hideMark/>
          </w:tcPr>
          <w:p w14:paraId="252F9618" w14:textId="77777777" w:rsidR="0097090C" w:rsidRPr="00636CC2" w:rsidRDefault="0097090C" w:rsidP="0097090C">
            <w:pPr>
              <w:rPr>
                <w:rFonts w:cs="Arial"/>
                <w:sz w:val="18"/>
                <w:szCs w:val="18"/>
              </w:rPr>
            </w:pPr>
            <w:r w:rsidRPr="00636CC2">
              <w:rPr>
                <w:rFonts w:cs="Arial"/>
                <w:sz w:val="18"/>
                <w:szCs w:val="18"/>
              </w:rPr>
              <w:t xml:space="preserve">Receivables: </w:t>
            </w:r>
          </w:p>
        </w:tc>
        <w:tc>
          <w:tcPr>
            <w:tcW w:w="1340" w:type="dxa"/>
            <w:tcBorders>
              <w:top w:val="nil"/>
              <w:left w:val="nil"/>
              <w:bottom w:val="nil"/>
              <w:right w:val="nil"/>
            </w:tcBorders>
            <w:shd w:val="clear" w:color="000000" w:fill="D9D9D9"/>
            <w:noWrap/>
            <w:vAlign w:val="bottom"/>
            <w:hideMark/>
          </w:tcPr>
          <w:p w14:paraId="2D9DD6A2"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1B3FDC5F"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7BF5E1FA"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22EB403D"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360C26EC"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5AD8FC58" w14:textId="77777777" w:rsidTr="0097090C">
        <w:trPr>
          <w:trHeight w:val="240"/>
        </w:trPr>
        <w:tc>
          <w:tcPr>
            <w:tcW w:w="3540" w:type="dxa"/>
            <w:tcBorders>
              <w:top w:val="nil"/>
              <w:left w:val="nil"/>
              <w:bottom w:val="nil"/>
              <w:right w:val="nil"/>
            </w:tcBorders>
            <w:shd w:val="clear" w:color="auto" w:fill="auto"/>
            <w:noWrap/>
            <w:vAlign w:val="bottom"/>
            <w:hideMark/>
          </w:tcPr>
          <w:p w14:paraId="647FD48C" w14:textId="77777777" w:rsidR="0097090C" w:rsidRPr="00636CC2" w:rsidRDefault="0097090C" w:rsidP="0097090C">
            <w:pPr>
              <w:ind w:firstLineChars="100" w:firstLine="180"/>
              <w:rPr>
                <w:rFonts w:cs="Arial"/>
                <w:sz w:val="18"/>
                <w:szCs w:val="18"/>
              </w:rPr>
            </w:pPr>
            <w:r w:rsidRPr="00636CC2">
              <w:rPr>
                <w:rFonts w:cs="Arial"/>
                <w:sz w:val="18"/>
                <w:szCs w:val="18"/>
              </w:rPr>
              <w:t>Sale of goods and services</w:t>
            </w:r>
          </w:p>
        </w:tc>
        <w:tc>
          <w:tcPr>
            <w:tcW w:w="1340" w:type="dxa"/>
            <w:tcBorders>
              <w:top w:val="nil"/>
              <w:left w:val="nil"/>
              <w:bottom w:val="nil"/>
              <w:right w:val="nil"/>
            </w:tcBorders>
            <w:shd w:val="clear" w:color="000000" w:fill="D9D9D9"/>
            <w:noWrap/>
            <w:vAlign w:val="bottom"/>
            <w:hideMark/>
          </w:tcPr>
          <w:p w14:paraId="1709F327"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73C1CF0B" w14:textId="77777777" w:rsidR="0097090C" w:rsidRPr="00636CC2" w:rsidRDefault="0097090C" w:rsidP="0097090C">
            <w:pPr>
              <w:jc w:val="right"/>
              <w:rPr>
                <w:rFonts w:cs="Arial"/>
                <w:sz w:val="18"/>
                <w:szCs w:val="18"/>
              </w:rPr>
            </w:pPr>
            <w:r w:rsidRPr="00636CC2">
              <w:rPr>
                <w:rFonts w:cs="Arial"/>
                <w:sz w:val="18"/>
                <w:szCs w:val="18"/>
              </w:rPr>
              <w:t>654</w:t>
            </w:r>
          </w:p>
        </w:tc>
        <w:tc>
          <w:tcPr>
            <w:tcW w:w="1160" w:type="dxa"/>
            <w:tcBorders>
              <w:top w:val="nil"/>
              <w:left w:val="nil"/>
              <w:bottom w:val="nil"/>
              <w:right w:val="nil"/>
            </w:tcBorders>
            <w:shd w:val="clear" w:color="000000" w:fill="D9D9D9"/>
            <w:noWrap/>
            <w:vAlign w:val="bottom"/>
            <w:hideMark/>
          </w:tcPr>
          <w:p w14:paraId="6D30DBD2"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auto" w:fill="auto"/>
            <w:noWrap/>
            <w:vAlign w:val="bottom"/>
            <w:hideMark/>
          </w:tcPr>
          <w:p w14:paraId="066DE6D4"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000000" w:fill="D9D9D9"/>
            <w:noWrap/>
            <w:vAlign w:val="bottom"/>
            <w:hideMark/>
          </w:tcPr>
          <w:p w14:paraId="413CF6E8" w14:textId="77777777" w:rsidR="0097090C" w:rsidRPr="00636CC2" w:rsidRDefault="0097090C" w:rsidP="0097090C">
            <w:pPr>
              <w:jc w:val="right"/>
              <w:rPr>
                <w:rFonts w:cs="Arial"/>
                <w:sz w:val="18"/>
                <w:szCs w:val="18"/>
              </w:rPr>
            </w:pPr>
            <w:r w:rsidRPr="00636CC2">
              <w:rPr>
                <w:rFonts w:cs="Arial"/>
                <w:sz w:val="18"/>
                <w:szCs w:val="18"/>
              </w:rPr>
              <w:t>654</w:t>
            </w:r>
          </w:p>
        </w:tc>
      </w:tr>
      <w:tr w:rsidR="0097090C" w:rsidRPr="00636CC2" w14:paraId="07C64781" w14:textId="77777777" w:rsidTr="0097090C">
        <w:trPr>
          <w:trHeight w:val="240"/>
        </w:trPr>
        <w:tc>
          <w:tcPr>
            <w:tcW w:w="3540" w:type="dxa"/>
            <w:tcBorders>
              <w:top w:val="nil"/>
              <w:left w:val="nil"/>
              <w:bottom w:val="nil"/>
              <w:right w:val="nil"/>
            </w:tcBorders>
            <w:shd w:val="clear" w:color="auto" w:fill="auto"/>
            <w:vAlign w:val="bottom"/>
            <w:hideMark/>
          </w:tcPr>
          <w:p w14:paraId="5155A28B" w14:textId="77777777" w:rsidR="0097090C" w:rsidRPr="00636CC2" w:rsidRDefault="0097090C" w:rsidP="0097090C">
            <w:pPr>
              <w:rPr>
                <w:rFonts w:cs="Arial"/>
                <w:sz w:val="18"/>
                <w:szCs w:val="18"/>
              </w:rPr>
            </w:pPr>
            <w:r w:rsidRPr="00636CC2">
              <w:rPr>
                <w:rFonts w:cs="Arial"/>
                <w:sz w:val="18"/>
                <w:szCs w:val="18"/>
              </w:rPr>
              <w:t>Investments and other financial assets:</w:t>
            </w:r>
          </w:p>
        </w:tc>
        <w:tc>
          <w:tcPr>
            <w:tcW w:w="1340" w:type="dxa"/>
            <w:tcBorders>
              <w:top w:val="nil"/>
              <w:left w:val="nil"/>
              <w:bottom w:val="nil"/>
              <w:right w:val="nil"/>
            </w:tcBorders>
            <w:shd w:val="clear" w:color="000000" w:fill="D9D9D9"/>
            <w:noWrap/>
            <w:vAlign w:val="bottom"/>
            <w:hideMark/>
          </w:tcPr>
          <w:p w14:paraId="5D49A1E2"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6CD450D0"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282D231D"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66A8EA92"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793BD779"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411AD050"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5CB1CDCB" w14:textId="77777777" w:rsidR="0097090C" w:rsidRPr="00636CC2" w:rsidRDefault="0097090C" w:rsidP="0097090C">
            <w:pPr>
              <w:rPr>
                <w:rFonts w:cs="Arial"/>
                <w:sz w:val="18"/>
                <w:szCs w:val="18"/>
              </w:rPr>
            </w:pPr>
            <w:r w:rsidRPr="00636CC2">
              <w:rPr>
                <w:rFonts w:cs="Arial"/>
                <w:sz w:val="18"/>
                <w:szCs w:val="18"/>
              </w:rPr>
              <w:t xml:space="preserve">   Short-term cash investments</w:t>
            </w:r>
          </w:p>
        </w:tc>
        <w:tc>
          <w:tcPr>
            <w:tcW w:w="1340" w:type="dxa"/>
            <w:tcBorders>
              <w:top w:val="nil"/>
              <w:left w:val="nil"/>
              <w:bottom w:val="nil"/>
              <w:right w:val="nil"/>
            </w:tcBorders>
            <w:shd w:val="clear" w:color="000000" w:fill="D9D9D9"/>
            <w:noWrap/>
            <w:vAlign w:val="bottom"/>
            <w:hideMark/>
          </w:tcPr>
          <w:p w14:paraId="2C30CBD9" w14:textId="77777777" w:rsidR="0097090C" w:rsidRPr="00636CC2" w:rsidRDefault="0097090C" w:rsidP="0097090C">
            <w:pPr>
              <w:jc w:val="right"/>
              <w:rPr>
                <w:rFonts w:cs="Arial"/>
                <w:sz w:val="18"/>
                <w:szCs w:val="18"/>
              </w:rPr>
            </w:pPr>
            <w:r w:rsidRPr="00636CC2">
              <w:rPr>
                <w:rFonts w:cs="Arial"/>
                <w:sz w:val="18"/>
                <w:szCs w:val="18"/>
              </w:rPr>
              <w:t>1.86%</w:t>
            </w:r>
          </w:p>
        </w:tc>
        <w:tc>
          <w:tcPr>
            <w:tcW w:w="1160" w:type="dxa"/>
            <w:tcBorders>
              <w:top w:val="nil"/>
              <w:left w:val="nil"/>
              <w:bottom w:val="nil"/>
              <w:right w:val="nil"/>
            </w:tcBorders>
            <w:shd w:val="clear" w:color="auto" w:fill="auto"/>
            <w:noWrap/>
            <w:vAlign w:val="bottom"/>
            <w:hideMark/>
          </w:tcPr>
          <w:p w14:paraId="67091B45" w14:textId="77777777" w:rsidR="0097090C" w:rsidRPr="00636CC2" w:rsidRDefault="0097090C" w:rsidP="0097090C">
            <w:pPr>
              <w:jc w:val="right"/>
              <w:rPr>
                <w:rFonts w:cs="Arial"/>
                <w:sz w:val="18"/>
                <w:szCs w:val="18"/>
              </w:rPr>
            </w:pPr>
            <w:r w:rsidRPr="00636CC2">
              <w:rPr>
                <w:rFonts w:cs="Arial"/>
                <w:sz w:val="18"/>
                <w:szCs w:val="18"/>
              </w:rPr>
              <w:t>39,000</w:t>
            </w:r>
          </w:p>
        </w:tc>
        <w:tc>
          <w:tcPr>
            <w:tcW w:w="1160" w:type="dxa"/>
            <w:tcBorders>
              <w:top w:val="nil"/>
              <w:left w:val="nil"/>
              <w:bottom w:val="nil"/>
              <w:right w:val="nil"/>
            </w:tcBorders>
            <w:shd w:val="clear" w:color="000000" w:fill="D9D9D9"/>
            <w:noWrap/>
            <w:vAlign w:val="bottom"/>
            <w:hideMark/>
          </w:tcPr>
          <w:p w14:paraId="6368254B" w14:textId="77777777" w:rsidR="0097090C" w:rsidRPr="00636CC2" w:rsidRDefault="0097090C" w:rsidP="0097090C">
            <w:pPr>
              <w:jc w:val="right"/>
              <w:rPr>
                <w:rFonts w:cs="Arial"/>
                <w:sz w:val="18"/>
                <w:szCs w:val="18"/>
              </w:rPr>
            </w:pPr>
            <w:r w:rsidRPr="00636CC2">
              <w:rPr>
                <w:rFonts w:cs="Arial"/>
                <w:sz w:val="18"/>
                <w:szCs w:val="18"/>
              </w:rPr>
              <w:t>39,000</w:t>
            </w:r>
          </w:p>
        </w:tc>
        <w:tc>
          <w:tcPr>
            <w:tcW w:w="1160" w:type="dxa"/>
            <w:tcBorders>
              <w:top w:val="nil"/>
              <w:left w:val="nil"/>
              <w:bottom w:val="nil"/>
              <w:right w:val="nil"/>
            </w:tcBorders>
            <w:shd w:val="clear" w:color="auto" w:fill="auto"/>
            <w:noWrap/>
            <w:vAlign w:val="bottom"/>
            <w:hideMark/>
          </w:tcPr>
          <w:p w14:paraId="2D6B986C"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000000" w:fill="D9D9D9"/>
            <w:noWrap/>
            <w:vAlign w:val="bottom"/>
            <w:hideMark/>
          </w:tcPr>
          <w:p w14:paraId="13C32979"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0D0AF710"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3CB6603C" w14:textId="77777777" w:rsidR="0097090C" w:rsidRPr="00636CC2" w:rsidRDefault="0097090C" w:rsidP="0097090C">
            <w:pPr>
              <w:rPr>
                <w:rFonts w:cs="Arial"/>
                <w:b/>
                <w:bCs/>
                <w:sz w:val="18"/>
                <w:szCs w:val="18"/>
              </w:rPr>
            </w:pPr>
            <w:r w:rsidRPr="00636CC2">
              <w:rPr>
                <w:rFonts w:cs="Arial"/>
                <w:b/>
                <w:bCs/>
                <w:sz w:val="18"/>
                <w:szCs w:val="18"/>
              </w:rPr>
              <w:t>Total financial assets</w:t>
            </w:r>
          </w:p>
        </w:tc>
        <w:tc>
          <w:tcPr>
            <w:tcW w:w="1340" w:type="dxa"/>
            <w:tcBorders>
              <w:top w:val="single" w:sz="4" w:space="0" w:color="auto"/>
              <w:left w:val="nil"/>
              <w:bottom w:val="single" w:sz="4" w:space="0" w:color="auto"/>
              <w:right w:val="nil"/>
            </w:tcBorders>
            <w:shd w:val="clear" w:color="000000" w:fill="D9D9D9"/>
            <w:noWrap/>
            <w:vAlign w:val="bottom"/>
            <w:hideMark/>
          </w:tcPr>
          <w:p w14:paraId="3B96A91A" w14:textId="77777777" w:rsidR="0097090C" w:rsidRPr="00636CC2" w:rsidRDefault="0097090C" w:rsidP="0097090C">
            <w:pPr>
              <w:rPr>
                <w:rFonts w:cs="Arial"/>
                <w:b/>
                <w:bCs/>
                <w:sz w:val="18"/>
                <w:szCs w:val="18"/>
              </w:rPr>
            </w:pPr>
            <w:r w:rsidRPr="00636CC2">
              <w:rPr>
                <w:rFonts w:cs="Arial"/>
                <w:b/>
                <w:bCs/>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14:paraId="1DE212FA" w14:textId="77777777" w:rsidR="0097090C" w:rsidRPr="00636CC2" w:rsidRDefault="0097090C" w:rsidP="0097090C">
            <w:pPr>
              <w:jc w:val="right"/>
              <w:rPr>
                <w:rFonts w:cs="Arial"/>
                <w:b/>
                <w:bCs/>
                <w:sz w:val="18"/>
                <w:szCs w:val="18"/>
              </w:rPr>
            </w:pPr>
            <w:r w:rsidRPr="00636CC2">
              <w:rPr>
                <w:rFonts w:cs="Arial"/>
                <w:b/>
                <w:bCs/>
                <w:sz w:val="18"/>
                <w:szCs w:val="18"/>
              </w:rPr>
              <w:t>41,443</w:t>
            </w:r>
          </w:p>
        </w:tc>
        <w:tc>
          <w:tcPr>
            <w:tcW w:w="1160" w:type="dxa"/>
            <w:tcBorders>
              <w:top w:val="single" w:sz="4" w:space="0" w:color="auto"/>
              <w:left w:val="nil"/>
              <w:bottom w:val="single" w:sz="4" w:space="0" w:color="auto"/>
              <w:right w:val="nil"/>
            </w:tcBorders>
            <w:shd w:val="clear" w:color="000000" w:fill="D9D9D9"/>
            <w:noWrap/>
            <w:vAlign w:val="bottom"/>
            <w:hideMark/>
          </w:tcPr>
          <w:p w14:paraId="04FED412" w14:textId="77777777" w:rsidR="0097090C" w:rsidRPr="00636CC2" w:rsidRDefault="0097090C" w:rsidP="0097090C">
            <w:pPr>
              <w:jc w:val="right"/>
              <w:rPr>
                <w:rFonts w:cs="Arial"/>
                <w:b/>
                <w:bCs/>
                <w:sz w:val="18"/>
                <w:szCs w:val="18"/>
              </w:rPr>
            </w:pPr>
            <w:r w:rsidRPr="00636CC2">
              <w:rPr>
                <w:rFonts w:cs="Arial"/>
                <w:b/>
                <w:bCs/>
                <w:sz w:val="18"/>
                <w:szCs w:val="18"/>
              </w:rPr>
              <w:t>39,000</w:t>
            </w:r>
          </w:p>
        </w:tc>
        <w:tc>
          <w:tcPr>
            <w:tcW w:w="1160" w:type="dxa"/>
            <w:tcBorders>
              <w:top w:val="single" w:sz="4" w:space="0" w:color="auto"/>
              <w:left w:val="nil"/>
              <w:bottom w:val="single" w:sz="4" w:space="0" w:color="auto"/>
              <w:right w:val="nil"/>
            </w:tcBorders>
            <w:shd w:val="clear" w:color="auto" w:fill="auto"/>
            <w:noWrap/>
            <w:vAlign w:val="bottom"/>
            <w:hideMark/>
          </w:tcPr>
          <w:p w14:paraId="3F1A6273" w14:textId="77777777" w:rsidR="0097090C" w:rsidRPr="00636CC2" w:rsidRDefault="0097090C" w:rsidP="0097090C">
            <w:pPr>
              <w:jc w:val="right"/>
              <w:rPr>
                <w:rFonts w:cs="Arial"/>
                <w:b/>
                <w:bCs/>
                <w:sz w:val="18"/>
                <w:szCs w:val="18"/>
              </w:rPr>
            </w:pPr>
            <w:r w:rsidRPr="00636CC2">
              <w:rPr>
                <w:rFonts w:cs="Arial"/>
                <w:b/>
                <w:bCs/>
                <w:sz w:val="18"/>
                <w:szCs w:val="18"/>
              </w:rPr>
              <w:t>1,789</w:t>
            </w:r>
          </w:p>
        </w:tc>
        <w:tc>
          <w:tcPr>
            <w:tcW w:w="1160" w:type="dxa"/>
            <w:tcBorders>
              <w:top w:val="single" w:sz="4" w:space="0" w:color="auto"/>
              <w:left w:val="nil"/>
              <w:bottom w:val="single" w:sz="4" w:space="0" w:color="auto"/>
              <w:right w:val="nil"/>
            </w:tcBorders>
            <w:shd w:val="clear" w:color="000000" w:fill="D9D9D9"/>
            <w:noWrap/>
            <w:vAlign w:val="bottom"/>
            <w:hideMark/>
          </w:tcPr>
          <w:p w14:paraId="723F9A2F" w14:textId="77777777" w:rsidR="0097090C" w:rsidRPr="00636CC2" w:rsidRDefault="0097090C" w:rsidP="0097090C">
            <w:pPr>
              <w:jc w:val="right"/>
              <w:rPr>
                <w:rFonts w:cs="Arial"/>
                <w:b/>
                <w:bCs/>
                <w:sz w:val="18"/>
                <w:szCs w:val="18"/>
              </w:rPr>
            </w:pPr>
            <w:r w:rsidRPr="00636CC2">
              <w:rPr>
                <w:rFonts w:cs="Arial"/>
                <w:b/>
                <w:bCs/>
                <w:sz w:val="18"/>
                <w:szCs w:val="18"/>
              </w:rPr>
              <w:t>654</w:t>
            </w:r>
          </w:p>
        </w:tc>
      </w:tr>
      <w:tr w:rsidR="0097090C" w:rsidRPr="00636CC2" w14:paraId="09AC86DB" w14:textId="77777777" w:rsidTr="0097090C">
        <w:trPr>
          <w:trHeight w:val="240"/>
        </w:trPr>
        <w:tc>
          <w:tcPr>
            <w:tcW w:w="3540" w:type="dxa"/>
            <w:tcBorders>
              <w:top w:val="nil"/>
              <w:left w:val="nil"/>
              <w:bottom w:val="nil"/>
              <w:right w:val="nil"/>
            </w:tcBorders>
            <w:shd w:val="clear" w:color="auto" w:fill="auto"/>
            <w:noWrap/>
            <w:vAlign w:val="bottom"/>
            <w:hideMark/>
          </w:tcPr>
          <w:p w14:paraId="78B4C932" w14:textId="77777777" w:rsidR="0097090C" w:rsidRPr="00636CC2" w:rsidRDefault="0097090C" w:rsidP="0097090C">
            <w:pPr>
              <w:rPr>
                <w:rFonts w:cs="Arial"/>
                <w:b/>
                <w:bCs/>
                <w:sz w:val="18"/>
                <w:szCs w:val="18"/>
              </w:rPr>
            </w:pPr>
            <w:r w:rsidRPr="00636CC2">
              <w:rPr>
                <w:rFonts w:cs="Arial"/>
                <w:b/>
                <w:bCs/>
                <w:sz w:val="18"/>
                <w:szCs w:val="18"/>
              </w:rPr>
              <w:t>Financial Liabilities</w:t>
            </w:r>
          </w:p>
        </w:tc>
        <w:tc>
          <w:tcPr>
            <w:tcW w:w="1340" w:type="dxa"/>
            <w:tcBorders>
              <w:top w:val="nil"/>
              <w:left w:val="nil"/>
              <w:bottom w:val="nil"/>
              <w:right w:val="nil"/>
            </w:tcBorders>
            <w:shd w:val="clear" w:color="000000" w:fill="D9D9D9"/>
            <w:hideMark/>
          </w:tcPr>
          <w:p w14:paraId="4A977FB2" w14:textId="77777777" w:rsidR="0097090C" w:rsidRPr="00636CC2" w:rsidRDefault="0097090C" w:rsidP="0097090C">
            <w:pP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hideMark/>
          </w:tcPr>
          <w:p w14:paraId="310AA54F" w14:textId="77777777" w:rsidR="0097090C" w:rsidRPr="00636CC2" w:rsidRDefault="0097090C" w:rsidP="0097090C">
            <w:pPr>
              <w:rPr>
                <w:rFonts w:cs="Arial"/>
                <w:i/>
                <w:iCs/>
                <w:sz w:val="18"/>
                <w:szCs w:val="18"/>
              </w:rPr>
            </w:pPr>
          </w:p>
        </w:tc>
        <w:tc>
          <w:tcPr>
            <w:tcW w:w="1160" w:type="dxa"/>
            <w:tcBorders>
              <w:top w:val="nil"/>
              <w:left w:val="nil"/>
              <w:bottom w:val="nil"/>
              <w:right w:val="nil"/>
            </w:tcBorders>
            <w:shd w:val="clear" w:color="000000" w:fill="D9D9D9"/>
            <w:vAlign w:val="bottom"/>
            <w:hideMark/>
          </w:tcPr>
          <w:p w14:paraId="007492C8" w14:textId="77777777" w:rsidR="0097090C" w:rsidRPr="00636CC2" w:rsidRDefault="0097090C" w:rsidP="0097090C">
            <w:pPr>
              <w:jc w:val="cente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vAlign w:val="bottom"/>
            <w:hideMark/>
          </w:tcPr>
          <w:p w14:paraId="132FB649" w14:textId="77777777" w:rsidR="0097090C" w:rsidRPr="00636CC2" w:rsidRDefault="0097090C" w:rsidP="0097090C">
            <w:pPr>
              <w:jc w:val="center"/>
              <w:rPr>
                <w:rFonts w:cs="Arial"/>
                <w:i/>
                <w:iCs/>
                <w:sz w:val="18"/>
                <w:szCs w:val="18"/>
              </w:rPr>
            </w:pPr>
          </w:p>
        </w:tc>
        <w:tc>
          <w:tcPr>
            <w:tcW w:w="1160" w:type="dxa"/>
            <w:tcBorders>
              <w:top w:val="nil"/>
              <w:left w:val="nil"/>
              <w:bottom w:val="nil"/>
              <w:right w:val="nil"/>
            </w:tcBorders>
            <w:shd w:val="clear" w:color="000000" w:fill="D9D9D9"/>
            <w:vAlign w:val="bottom"/>
            <w:hideMark/>
          </w:tcPr>
          <w:p w14:paraId="2870C7C5" w14:textId="77777777" w:rsidR="0097090C" w:rsidRPr="00636CC2" w:rsidRDefault="0097090C" w:rsidP="0097090C">
            <w:pPr>
              <w:rPr>
                <w:rFonts w:cs="Arial"/>
                <w:i/>
                <w:iCs/>
                <w:sz w:val="18"/>
                <w:szCs w:val="18"/>
              </w:rPr>
            </w:pPr>
            <w:r w:rsidRPr="00636CC2">
              <w:rPr>
                <w:rFonts w:cs="Arial"/>
                <w:i/>
                <w:iCs/>
                <w:sz w:val="18"/>
                <w:szCs w:val="18"/>
              </w:rPr>
              <w:t> </w:t>
            </w:r>
          </w:p>
        </w:tc>
      </w:tr>
      <w:tr w:rsidR="0097090C" w:rsidRPr="00636CC2" w14:paraId="6C786759" w14:textId="77777777" w:rsidTr="0097090C">
        <w:trPr>
          <w:trHeight w:val="240"/>
        </w:trPr>
        <w:tc>
          <w:tcPr>
            <w:tcW w:w="3540" w:type="dxa"/>
            <w:tcBorders>
              <w:top w:val="nil"/>
              <w:left w:val="nil"/>
              <w:bottom w:val="nil"/>
              <w:right w:val="nil"/>
            </w:tcBorders>
            <w:shd w:val="clear" w:color="auto" w:fill="auto"/>
            <w:noWrap/>
            <w:vAlign w:val="bottom"/>
            <w:hideMark/>
          </w:tcPr>
          <w:p w14:paraId="3ABE36D2" w14:textId="77777777" w:rsidR="0097090C" w:rsidRPr="00636CC2" w:rsidRDefault="0097090C" w:rsidP="0097090C">
            <w:pPr>
              <w:rPr>
                <w:rFonts w:cs="Arial"/>
                <w:sz w:val="18"/>
                <w:szCs w:val="18"/>
              </w:rPr>
            </w:pPr>
            <w:r w:rsidRPr="00636CC2">
              <w:rPr>
                <w:rFonts w:cs="Arial"/>
                <w:sz w:val="18"/>
                <w:szCs w:val="18"/>
              </w:rPr>
              <w:t>Payables:</w:t>
            </w:r>
          </w:p>
        </w:tc>
        <w:tc>
          <w:tcPr>
            <w:tcW w:w="1340" w:type="dxa"/>
            <w:tcBorders>
              <w:top w:val="nil"/>
              <w:left w:val="nil"/>
              <w:bottom w:val="nil"/>
              <w:right w:val="nil"/>
            </w:tcBorders>
            <w:shd w:val="clear" w:color="000000" w:fill="D9D9D9"/>
            <w:noWrap/>
            <w:vAlign w:val="bottom"/>
            <w:hideMark/>
          </w:tcPr>
          <w:p w14:paraId="2E49DB69"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62732774"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76BD84F3"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5FA24920"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6FDC2B5C"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1A9F6A0E" w14:textId="77777777" w:rsidTr="0097090C">
        <w:trPr>
          <w:trHeight w:val="240"/>
        </w:trPr>
        <w:tc>
          <w:tcPr>
            <w:tcW w:w="3540" w:type="dxa"/>
            <w:tcBorders>
              <w:top w:val="nil"/>
              <w:left w:val="nil"/>
              <w:bottom w:val="nil"/>
              <w:right w:val="nil"/>
            </w:tcBorders>
            <w:shd w:val="clear" w:color="auto" w:fill="auto"/>
            <w:noWrap/>
            <w:vAlign w:val="bottom"/>
            <w:hideMark/>
          </w:tcPr>
          <w:p w14:paraId="6221B625" w14:textId="77777777" w:rsidR="0097090C" w:rsidRPr="00636CC2" w:rsidRDefault="0097090C" w:rsidP="0097090C">
            <w:pPr>
              <w:rPr>
                <w:rFonts w:cs="Arial"/>
                <w:sz w:val="18"/>
                <w:szCs w:val="18"/>
              </w:rPr>
            </w:pPr>
            <w:r w:rsidRPr="00636CC2">
              <w:rPr>
                <w:rFonts w:cs="Arial"/>
                <w:sz w:val="18"/>
                <w:szCs w:val="18"/>
              </w:rPr>
              <w:t xml:space="preserve">   Trade and other creditors</w:t>
            </w:r>
          </w:p>
        </w:tc>
        <w:tc>
          <w:tcPr>
            <w:tcW w:w="1340" w:type="dxa"/>
            <w:tcBorders>
              <w:top w:val="nil"/>
              <w:left w:val="nil"/>
              <w:bottom w:val="nil"/>
              <w:right w:val="nil"/>
            </w:tcBorders>
            <w:shd w:val="clear" w:color="000000" w:fill="D9D9D9"/>
            <w:noWrap/>
            <w:vAlign w:val="bottom"/>
            <w:hideMark/>
          </w:tcPr>
          <w:p w14:paraId="42558A2D"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66A2A6EE" w14:textId="77777777" w:rsidR="0097090C" w:rsidRPr="00636CC2" w:rsidRDefault="0097090C" w:rsidP="0097090C">
            <w:pPr>
              <w:jc w:val="right"/>
              <w:rPr>
                <w:rFonts w:cs="Arial"/>
                <w:sz w:val="18"/>
                <w:szCs w:val="18"/>
              </w:rPr>
            </w:pPr>
            <w:r w:rsidRPr="00636CC2">
              <w:rPr>
                <w:rFonts w:cs="Arial"/>
                <w:sz w:val="18"/>
                <w:szCs w:val="18"/>
              </w:rPr>
              <w:t>13,859</w:t>
            </w:r>
          </w:p>
        </w:tc>
        <w:tc>
          <w:tcPr>
            <w:tcW w:w="1160" w:type="dxa"/>
            <w:tcBorders>
              <w:top w:val="nil"/>
              <w:left w:val="nil"/>
              <w:bottom w:val="nil"/>
              <w:right w:val="nil"/>
            </w:tcBorders>
            <w:shd w:val="clear" w:color="000000" w:fill="D9D9D9"/>
            <w:noWrap/>
            <w:vAlign w:val="bottom"/>
            <w:hideMark/>
          </w:tcPr>
          <w:p w14:paraId="08EAD65A"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auto" w:fill="auto"/>
            <w:noWrap/>
            <w:vAlign w:val="bottom"/>
            <w:hideMark/>
          </w:tcPr>
          <w:p w14:paraId="342DDEA9"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000000" w:fill="D9D9D9"/>
            <w:noWrap/>
            <w:vAlign w:val="bottom"/>
            <w:hideMark/>
          </w:tcPr>
          <w:p w14:paraId="5EC3DA6D" w14:textId="77777777" w:rsidR="0097090C" w:rsidRPr="00636CC2" w:rsidRDefault="0097090C" w:rsidP="0097090C">
            <w:pPr>
              <w:jc w:val="right"/>
              <w:rPr>
                <w:rFonts w:cs="Arial"/>
                <w:sz w:val="18"/>
                <w:szCs w:val="18"/>
              </w:rPr>
            </w:pPr>
            <w:r w:rsidRPr="00636CC2">
              <w:rPr>
                <w:rFonts w:cs="Arial"/>
                <w:sz w:val="18"/>
                <w:szCs w:val="18"/>
              </w:rPr>
              <w:t>13,859</w:t>
            </w:r>
          </w:p>
        </w:tc>
      </w:tr>
      <w:tr w:rsidR="0097090C" w:rsidRPr="00636CC2" w14:paraId="181F69C1" w14:textId="77777777" w:rsidTr="0097090C">
        <w:trPr>
          <w:trHeight w:val="240"/>
        </w:trPr>
        <w:tc>
          <w:tcPr>
            <w:tcW w:w="3540" w:type="dxa"/>
            <w:tcBorders>
              <w:top w:val="nil"/>
              <w:left w:val="nil"/>
              <w:bottom w:val="nil"/>
              <w:right w:val="nil"/>
            </w:tcBorders>
            <w:shd w:val="clear" w:color="auto" w:fill="auto"/>
            <w:noWrap/>
            <w:vAlign w:val="bottom"/>
            <w:hideMark/>
          </w:tcPr>
          <w:p w14:paraId="70B4687C" w14:textId="77777777" w:rsidR="0097090C" w:rsidRPr="00636CC2" w:rsidRDefault="0097090C" w:rsidP="0097090C">
            <w:pPr>
              <w:rPr>
                <w:rFonts w:cs="Arial"/>
                <w:sz w:val="18"/>
                <w:szCs w:val="18"/>
              </w:rPr>
            </w:pPr>
            <w:r w:rsidRPr="00636CC2">
              <w:rPr>
                <w:rFonts w:cs="Arial"/>
                <w:sz w:val="18"/>
                <w:szCs w:val="18"/>
              </w:rPr>
              <w:t>Interest bearing liabilities:</w:t>
            </w:r>
          </w:p>
        </w:tc>
        <w:tc>
          <w:tcPr>
            <w:tcW w:w="1340" w:type="dxa"/>
            <w:tcBorders>
              <w:top w:val="nil"/>
              <w:left w:val="nil"/>
              <w:bottom w:val="nil"/>
              <w:right w:val="nil"/>
            </w:tcBorders>
            <w:shd w:val="clear" w:color="000000" w:fill="D9D9D9"/>
            <w:noWrap/>
            <w:vAlign w:val="bottom"/>
            <w:hideMark/>
          </w:tcPr>
          <w:p w14:paraId="54194F3D"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6A01AA1B"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5CE7AA92"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3E8777EF"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6E10DDF1"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0440EF78"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0828C6B1" w14:textId="77777777" w:rsidR="0097090C" w:rsidRPr="00636CC2" w:rsidRDefault="0097090C" w:rsidP="0097090C">
            <w:pPr>
              <w:rPr>
                <w:rFonts w:cs="Arial"/>
                <w:sz w:val="18"/>
                <w:szCs w:val="18"/>
              </w:rPr>
            </w:pPr>
            <w:r>
              <w:rPr>
                <w:rFonts w:cs="Arial"/>
                <w:sz w:val="18"/>
                <w:szCs w:val="18"/>
              </w:rPr>
              <w:t xml:space="preserve">   </w:t>
            </w:r>
            <w:r w:rsidRPr="00636CC2">
              <w:rPr>
                <w:rFonts w:cs="Arial"/>
                <w:sz w:val="18"/>
                <w:szCs w:val="18"/>
              </w:rPr>
              <w:t>Lease liabilities</w:t>
            </w:r>
          </w:p>
        </w:tc>
        <w:tc>
          <w:tcPr>
            <w:tcW w:w="1340" w:type="dxa"/>
            <w:tcBorders>
              <w:top w:val="nil"/>
              <w:left w:val="nil"/>
              <w:bottom w:val="nil"/>
              <w:right w:val="nil"/>
            </w:tcBorders>
            <w:shd w:val="clear" w:color="000000" w:fill="D9D9D9"/>
            <w:noWrap/>
            <w:vAlign w:val="bottom"/>
            <w:hideMark/>
          </w:tcPr>
          <w:p w14:paraId="1F5B22E9" w14:textId="77777777" w:rsidR="0097090C" w:rsidRPr="00636CC2" w:rsidRDefault="0097090C" w:rsidP="0097090C">
            <w:pPr>
              <w:jc w:val="right"/>
              <w:rPr>
                <w:rFonts w:cs="Arial"/>
                <w:sz w:val="18"/>
                <w:szCs w:val="18"/>
              </w:rPr>
            </w:pPr>
            <w:r w:rsidRPr="00636CC2">
              <w:rPr>
                <w:rFonts w:cs="Arial"/>
                <w:sz w:val="18"/>
                <w:szCs w:val="18"/>
              </w:rPr>
              <w:t>4.75%</w:t>
            </w:r>
          </w:p>
        </w:tc>
        <w:tc>
          <w:tcPr>
            <w:tcW w:w="1160" w:type="dxa"/>
            <w:tcBorders>
              <w:top w:val="nil"/>
              <w:left w:val="nil"/>
              <w:bottom w:val="nil"/>
              <w:right w:val="nil"/>
            </w:tcBorders>
            <w:shd w:val="clear" w:color="auto" w:fill="auto"/>
            <w:noWrap/>
            <w:vAlign w:val="bottom"/>
            <w:hideMark/>
          </w:tcPr>
          <w:p w14:paraId="0656F760" w14:textId="77777777" w:rsidR="0097090C" w:rsidRPr="00636CC2" w:rsidRDefault="0097090C" w:rsidP="0097090C">
            <w:pPr>
              <w:jc w:val="right"/>
              <w:rPr>
                <w:rFonts w:cs="Arial"/>
                <w:sz w:val="18"/>
                <w:szCs w:val="18"/>
              </w:rPr>
            </w:pPr>
            <w:r w:rsidRPr="00636CC2">
              <w:rPr>
                <w:rFonts w:cs="Arial"/>
                <w:sz w:val="18"/>
                <w:szCs w:val="18"/>
              </w:rPr>
              <w:t>457</w:t>
            </w:r>
          </w:p>
        </w:tc>
        <w:tc>
          <w:tcPr>
            <w:tcW w:w="1160" w:type="dxa"/>
            <w:tcBorders>
              <w:top w:val="nil"/>
              <w:left w:val="nil"/>
              <w:bottom w:val="single" w:sz="4" w:space="0" w:color="auto"/>
              <w:right w:val="nil"/>
            </w:tcBorders>
            <w:shd w:val="clear" w:color="000000" w:fill="D9D9D9"/>
            <w:noWrap/>
            <w:vAlign w:val="bottom"/>
            <w:hideMark/>
          </w:tcPr>
          <w:p w14:paraId="515CD03A"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single" w:sz="4" w:space="0" w:color="auto"/>
              <w:right w:val="nil"/>
            </w:tcBorders>
            <w:shd w:val="clear" w:color="auto" w:fill="auto"/>
            <w:noWrap/>
            <w:vAlign w:val="bottom"/>
            <w:hideMark/>
          </w:tcPr>
          <w:p w14:paraId="70AD1D4E" w14:textId="77777777" w:rsidR="0097090C" w:rsidRPr="00636CC2" w:rsidRDefault="0097090C" w:rsidP="0097090C">
            <w:pPr>
              <w:jc w:val="right"/>
              <w:rPr>
                <w:rFonts w:cs="Arial"/>
                <w:sz w:val="18"/>
                <w:szCs w:val="18"/>
              </w:rPr>
            </w:pPr>
            <w:r w:rsidRPr="00636CC2">
              <w:rPr>
                <w:rFonts w:cs="Arial"/>
                <w:sz w:val="18"/>
                <w:szCs w:val="18"/>
              </w:rPr>
              <w:t>457</w:t>
            </w:r>
          </w:p>
        </w:tc>
        <w:tc>
          <w:tcPr>
            <w:tcW w:w="1160" w:type="dxa"/>
            <w:tcBorders>
              <w:top w:val="nil"/>
              <w:left w:val="nil"/>
              <w:bottom w:val="single" w:sz="4" w:space="0" w:color="auto"/>
              <w:right w:val="nil"/>
            </w:tcBorders>
            <w:shd w:val="clear" w:color="000000" w:fill="D9D9D9"/>
            <w:noWrap/>
            <w:vAlign w:val="bottom"/>
            <w:hideMark/>
          </w:tcPr>
          <w:p w14:paraId="3C4A2A2E"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43FAB981"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4A2F9061" w14:textId="77777777" w:rsidR="0097090C" w:rsidRPr="00636CC2" w:rsidRDefault="0097090C" w:rsidP="0097090C">
            <w:pPr>
              <w:rPr>
                <w:rFonts w:cs="Arial"/>
                <w:b/>
                <w:bCs/>
                <w:sz w:val="18"/>
                <w:szCs w:val="18"/>
              </w:rPr>
            </w:pPr>
            <w:r w:rsidRPr="00636CC2">
              <w:rPr>
                <w:rFonts w:cs="Arial"/>
                <w:b/>
                <w:bCs/>
                <w:sz w:val="18"/>
                <w:szCs w:val="18"/>
              </w:rPr>
              <w:t>Total financial liabilities</w:t>
            </w:r>
          </w:p>
        </w:tc>
        <w:tc>
          <w:tcPr>
            <w:tcW w:w="1340" w:type="dxa"/>
            <w:tcBorders>
              <w:top w:val="single" w:sz="4" w:space="0" w:color="auto"/>
              <w:left w:val="nil"/>
              <w:bottom w:val="single" w:sz="4" w:space="0" w:color="auto"/>
              <w:right w:val="nil"/>
            </w:tcBorders>
            <w:shd w:val="clear" w:color="000000" w:fill="D9D9D9"/>
            <w:noWrap/>
            <w:vAlign w:val="bottom"/>
            <w:hideMark/>
          </w:tcPr>
          <w:p w14:paraId="1DC2C583" w14:textId="77777777" w:rsidR="0097090C" w:rsidRPr="00636CC2" w:rsidRDefault="0097090C" w:rsidP="0097090C">
            <w:pPr>
              <w:rPr>
                <w:rFonts w:cs="Arial"/>
                <w:b/>
                <w:bCs/>
                <w:sz w:val="18"/>
                <w:szCs w:val="18"/>
              </w:rPr>
            </w:pPr>
            <w:r w:rsidRPr="00636CC2">
              <w:rPr>
                <w:rFonts w:cs="Arial"/>
                <w:b/>
                <w:bCs/>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14:paraId="541FF81F" w14:textId="77777777" w:rsidR="0097090C" w:rsidRPr="00636CC2" w:rsidRDefault="0097090C" w:rsidP="0097090C">
            <w:pPr>
              <w:jc w:val="right"/>
              <w:rPr>
                <w:rFonts w:cs="Arial"/>
                <w:b/>
                <w:bCs/>
                <w:sz w:val="18"/>
                <w:szCs w:val="18"/>
              </w:rPr>
            </w:pPr>
            <w:r w:rsidRPr="00636CC2">
              <w:rPr>
                <w:rFonts w:cs="Arial"/>
                <w:b/>
                <w:bCs/>
                <w:sz w:val="18"/>
                <w:szCs w:val="18"/>
              </w:rPr>
              <w:t>14,316</w:t>
            </w:r>
          </w:p>
        </w:tc>
        <w:tc>
          <w:tcPr>
            <w:tcW w:w="1160" w:type="dxa"/>
            <w:tcBorders>
              <w:top w:val="nil"/>
              <w:left w:val="nil"/>
              <w:bottom w:val="single" w:sz="4" w:space="0" w:color="auto"/>
              <w:right w:val="nil"/>
            </w:tcBorders>
            <w:shd w:val="clear" w:color="000000" w:fill="D9D9D9"/>
            <w:noWrap/>
            <w:vAlign w:val="bottom"/>
            <w:hideMark/>
          </w:tcPr>
          <w:p w14:paraId="697EACAE" w14:textId="77777777" w:rsidR="0097090C" w:rsidRPr="00636CC2" w:rsidRDefault="0097090C" w:rsidP="0097090C">
            <w:pPr>
              <w:jc w:val="right"/>
              <w:rPr>
                <w:rFonts w:cs="Arial"/>
                <w:b/>
                <w:bCs/>
                <w:sz w:val="18"/>
                <w:szCs w:val="18"/>
              </w:rPr>
            </w:pPr>
            <w:r w:rsidRPr="00636CC2">
              <w:rPr>
                <w:rFonts w:cs="Arial"/>
                <w:b/>
                <w:bCs/>
                <w:sz w:val="18"/>
                <w:szCs w:val="18"/>
              </w:rPr>
              <w:t>0</w:t>
            </w:r>
          </w:p>
        </w:tc>
        <w:tc>
          <w:tcPr>
            <w:tcW w:w="1160" w:type="dxa"/>
            <w:tcBorders>
              <w:top w:val="nil"/>
              <w:left w:val="nil"/>
              <w:bottom w:val="single" w:sz="4" w:space="0" w:color="auto"/>
              <w:right w:val="nil"/>
            </w:tcBorders>
            <w:shd w:val="clear" w:color="auto" w:fill="auto"/>
            <w:noWrap/>
            <w:vAlign w:val="bottom"/>
            <w:hideMark/>
          </w:tcPr>
          <w:p w14:paraId="3BB36CDF" w14:textId="77777777" w:rsidR="0097090C" w:rsidRPr="00636CC2" w:rsidRDefault="0097090C" w:rsidP="0097090C">
            <w:pPr>
              <w:jc w:val="right"/>
              <w:rPr>
                <w:rFonts w:cs="Arial"/>
                <w:b/>
                <w:bCs/>
                <w:sz w:val="18"/>
                <w:szCs w:val="18"/>
              </w:rPr>
            </w:pPr>
            <w:r w:rsidRPr="00636CC2">
              <w:rPr>
                <w:rFonts w:cs="Arial"/>
                <w:b/>
                <w:bCs/>
                <w:sz w:val="18"/>
                <w:szCs w:val="18"/>
              </w:rPr>
              <w:t>457</w:t>
            </w:r>
          </w:p>
        </w:tc>
        <w:tc>
          <w:tcPr>
            <w:tcW w:w="1160" w:type="dxa"/>
            <w:tcBorders>
              <w:top w:val="nil"/>
              <w:left w:val="nil"/>
              <w:bottom w:val="single" w:sz="4" w:space="0" w:color="auto"/>
              <w:right w:val="nil"/>
            </w:tcBorders>
            <w:shd w:val="clear" w:color="000000" w:fill="D9D9D9"/>
            <w:noWrap/>
            <w:vAlign w:val="bottom"/>
            <w:hideMark/>
          </w:tcPr>
          <w:p w14:paraId="6D6482CC" w14:textId="77777777" w:rsidR="0097090C" w:rsidRPr="00636CC2" w:rsidRDefault="0097090C" w:rsidP="0097090C">
            <w:pPr>
              <w:jc w:val="right"/>
              <w:rPr>
                <w:rFonts w:cs="Arial"/>
                <w:b/>
                <w:bCs/>
                <w:sz w:val="18"/>
                <w:szCs w:val="18"/>
              </w:rPr>
            </w:pPr>
            <w:r w:rsidRPr="00636CC2">
              <w:rPr>
                <w:rFonts w:cs="Arial"/>
                <w:b/>
                <w:bCs/>
                <w:sz w:val="18"/>
                <w:szCs w:val="18"/>
              </w:rPr>
              <w:t>13,859</w:t>
            </w:r>
          </w:p>
        </w:tc>
      </w:tr>
      <w:tr w:rsidR="0097090C" w:rsidRPr="00636CC2" w14:paraId="32311445" w14:textId="77777777" w:rsidTr="0097090C">
        <w:trPr>
          <w:trHeight w:val="240"/>
        </w:trPr>
        <w:tc>
          <w:tcPr>
            <w:tcW w:w="3540" w:type="dxa"/>
            <w:tcBorders>
              <w:top w:val="nil"/>
              <w:left w:val="nil"/>
              <w:bottom w:val="nil"/>
              <w:right w:val="nil"/>
            </w:tcBorders>
            <w:shd w:val="clear" w:color="auto" w:fill="auto"/>
            <w:noWrap/>
            <w:vAlign w:val="bottom"/>
            <w:hideMark/>
          </w:tcPr>
          <w:p w14:paraId="04AB6B33" w14:textId="77777777" w:rsidR="0097090C" w:rsidRPr="00636CC2" w:rsidRDefault="0097090C" w:rsidP="0097090C">
            <w:pPr>
              <w:rPr>
                <w:rFonts w:cs="Arial"/>
                <w:sz w:val="18"/>
                <w:szCs w:val="18"/>
              </w:rPr>
            </w:pPr>
          </w:p>
        </w:tc>
        <w:tc>
          <w:tcPr>
            <w:tcW w:w="1340" w:type="dxa"/>
            <w:tcBorders>
              <w:top w:val="nil"/>
              <w:left w:val="nil"/>
              <w:bottom w:val="nil"/>
              <w:right w:val="nil"/>
            </w:tcBorders>
            <w:shd w:val="clear" w:color="auto" w:fill="auto"/>
            <w:noWrap/>
            <w:vAlign w:val="bottom"/>
            <w:hideMark/>
          </w:tcPr>
          <w:p w14:paraId="3F3C3521"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auto" w:fill="auto"/>
            <w:noWrap/>
            <w:vAlign w:val="bottom"/>
            <w:hideMark/>
          </w:tcPr>
          <w:p w14:paraId="03CF1646"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auto" w:fill="auto"/>
            <w:noWrap/>
            <w:vAlign w:val="bottom"/>
            <w:hideMark/>
          </w:tcPr>
          <w:p w14:paraId="3A962265"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auto" w:fill="auto"/>
            <w:noWrap/>
            <w:vAlign w:val="bottom"/>
            <w:hideMark/>
          </w:tcPr>
          <w:p w14:paraId="2CB2418D"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auto" w:fill="auto"/>
            <w:noWrap/>
            <w:vAlign w:val="bottom"/>
            <w:hideMark/>
          </w:tcPr>
          <w:p w14:paraId="4D89954A" w14:textId="77777777" w:rsidR="0097090C" w:rsidRPr="00636CC2" w:rsidRDefault="0097090C" w:rsidP="0097090C">
            <w:pPr>
              <w:rPr>
                <w:rFonts w:cs="Arial"/>
                <w:sz w:val="18"/>
                <w:szCs w:val="18"/>
              </w:rPr>
            </w:pPr>
          </w:p>
        </w:tc>
      </w:tr>
      <w:tr w:rsidR="0097090C" w:rsidRPr="00636CC2" w14:paraId="0025DBD7" w14:textId="77777777" w:rsidTr="0097090C">
        <w:trPr>
          <w:trHeight w:val="960"/>
        </w:trPr>
        <w:tc>
          <w:tcPr>
            <w:tcW w:w="3540" w:type="dxa"/>
            <w:tcBorders>
              <w:top w:val="single" w:sz="4" w:space="0" w:color="auto"/>
              <w:left w:val="nil"/>
              <w:bottom w:val="single" w:sz="4" w:space="0" w:color="auto"/>
              <w:right w:val="nil"/>
            </w:tcBorders>
            <w:shd w:val="clear" w:color="auto" w:fill="auto"/>
            <w:noWrap/>
            <w:vAlign w:val="bottom"/>
            <w:hideMark/>
          </w:tcPr>
          <w:p w14:paraId="1FE3737C" w14:textId="77777777" w:rsidR="0097090C" w:rsidRPr="00636CC2" w:rsidRDefault="0097090C" w:rsidP="0097090C">
            <w:pPr>
              <w:rPr>
                <w:rFonts w:cs="Arial"/>
                <w:b/>
                <w:bCs/>
                <w:sz w:val="18"/>
                <w:szCs w:val="18"/>
              </w:rPr>
            </w:pPr>
            <w:r w:rsidRPr="00636CC2">
              <w:rPr>
                <w:rFonts w:cs="Arial"/>
                <w:b/>
                <w:bCs/>
                <w:sz w:val="18"/>
                <w:szCs w:val="18"/>
              </w:rPr>
              <w:t>2015</w:t>
            </w:r>
          </w:p>
        </w:tc>
        <w:tc>
          <w:tcPr>
            <w:tcW w:w="1340" w:type="dxa"/>
            <w:tcBorders>
              <w:top w:val="single" w:sz="4" w:space="0" w:color="auto"/>
              <w:left w:val="nil"/>
              <w:bottom w:val="single" w:sz="4" w:space="0" w:color="auto"/>
              <w:right w:val="nil"/>
            </w:tcBorders>
            <w:shd w:val="clear" w:color="000000" w:fill="D9D9D9"/>
            <w:hideMark/>
          </w:tcPr>
          <w:p w14:paraId="73D21C68" w14:textId="77777777" w:rsidR="0097090C" w:rsidRPr="00636CC2" w:rsidRDefault="0097090C" w:rsidP="0097090C">
            <w:pPr>
              <w:jc w:val="center"/>
              <w:rPr>
                <w:rFonts w:cs="Arial"/>
                <w:sz w:val="18"/>
                <w:szCs w:val="18"/>
              </w:rPr>
            </w:pPr>
            <w:r w:rsidRPr="00636CC2">
              <w:rPr>
                <w:rFonts w:cs="Arial"/>
                <w:sz w:val="18"/>
                <w:szCs w:val="18"/>
              </w:rPr>
              <w:t>Weighted average effective interest rate %</w:t>
            </w:r>
          </w:p>
        </w:tc>
        <w:tc>
          <w:tcPr>
            <w:tcW w:w="1160" w:type="dxa"/>
            <w:tcBorders>
              <w:top w:val="single" w:sz="4" w:space="0" w:color="auto"/>
              <w:left w:val="nil"/>
              <w:bottom w:val="single" w:sz="4" w:space="0" w:color="auto"/>
              <w:right w:val="nil"/>
            </w:tcBorders>
            <w:shd w:val="clear" w:color="auto" w:fill="auto"/>
            <w:hideMark/>
          </w:tcPr>
          <w:p w14:paraId="5E98C31B" w14:textId="77777777" w:rsidR="0097090C" w:rsidRPr="00636CC2" w:rsidRDefault="0097090C" w:rsidP="0097090C">
            <w:pPr>
              <w:jc w:val="center"/>
              <w:rPr>
                <w:rFonts w:cs="Arial"/>
                <w:sz w:val="18"/>
                <w:szCs w:val="18"/>
              </w:rPr>
            </w:pPr>
            <w:r w:rsidRPr="00636CC2">
              <w:rPr>
                <w:rFonts w:cs="Arial"/>
                <w:sz w:val="18"/>
                <w:szCs w:val="18"/>
              </w:rPr>
              <w:t>Carrying amount</w:t>
            </w:r>
          </w:p>
        </w:tc>
        <w:tc>
          <w:tcPr>
            <w:tcW w:w="3480" w:type="dxa"/>
            <w:gridSpan w:val="3"/>
            <w:tcBorders>
              <w:top w:val="single" w:sz="4" w:space="0" w:color="auto"/>
              <w:left w:val="nil"/>
              <w:bottom w:val="single" w:sz="4" w:space="0" w:color="auto"/>
              <w:right w:val="nil"/>
            </w:tcBorders>
            <w:shd w:val="clear" w:color="auto" w:fill="auto"/>
            <w:hideMark/>
          </w:tcPr>
          <w:p w14:paraId="2581D06E" w14:textId="77777777" w:rsidR="0097090C" w:rsidRPr="00636CC2" w:rsidRDefault="0097090C" w:rsidP="0097090C">
            <w:pPr>
              <w:jc w:val="center"/>
              <w:rPr>
                <w:rFonts w:cs="Arial"/>
                <w:sz w:val="18"/>
                <w:szCs w:val="18"/>
              </w:rPr>
            </w:pPr>
            <w:r w:rsidRPr="00636CC2">
              <w:rPr>
                <w:rFonts w:cs="Arial"/>
                <w:sz w:val="18"/>
                <w:szCs w:val="18"/>
              </w:rPr>
              <w:t>Interest rate exposure</w:t>
            </w:r>
          </w:p>
        </w:tc>
      </w:tr>
      <w:tr w:rsidR="0097090C" w:rsidRPr="00636CC2" w14:paraId="43F2FA4C" w14:textId="77777777" w:rsidTr="0097090C">
        <w:trPr>
          <w:trHeight w:val="480"/>
        </w:trPr>
        <w:tc>
          <w:tcPr>
            <w:tcW w:w="3540" w:type="dxa"/>
            <w:tcBorders>
              <w:top w:val="nil"/>
              <w:left w:val="nil"/>
              <w:bottom w:val="single" w:sz="4" w:space="0" w:color="auto"/>
              <w:right w:val="nil"/>
            </w:tcBorders>
            <w:shd w:val="clear" w:color="auto" w:fill="auto"/>
            <w:noWrap/>
            <w:vAlign w:val="bottom"/>
            <w:hideMark/>
          </w:tcPr>
          <w:p w14:paraId="476F6C58" w14:textId="77777777" w:rsidR="0097090C" w:rsidRPr="00636CC2" w:rsidRDefault="0097090C" w:rsidP="0097090C">
            <w:pPr>
              <w:rPr>
                <w:rFonts w:cs="Arial"/>
                <w:sz w:val="18"/>
                <w:szCs w:val="18"/>
              </w:rPr>
            </w:pPr>
            <w:r w:rsidRPr="00636CC2">
              <w:rPr>
                <w:rFonts w:cs="Arial"/>
                <w:sz w:val="18"/>
                <w:szCs w:val="18"/>
              </w:rPr>
              <w:t> </w:t>
            </w:r>
          </w:p>
        </w:tc>
        <w:tc>
          <w:tcPr>
            <w:tcW w:w="1340" w:type="dxa"/>
            <w:tcBorders>
              <w:top w:val="nil"/>
              <w:left w:val="nil"/>
              <w:bottom w:val="single" w:sz="4" w:space="0" w:color="auto"/>
              <w:right w:val="nil"/>
            </w:tcBorders>
            <w:shd w:val="clear" w:color="000000" w:fill="D9D9D9"/>
            <w:hideMark/>
          </w:tcPr>
          <w:p w14:paraId="189C5060" w14:textId="77777777" w:rsidR="0097090C" w:rsidRPr="00636CC2" w:rsidRDefault="0097090C" w:rsidP="0097090C">
            <w:pPr>
              <w:jc w:val="center"/>
              <w:rPr>
                <w:rFonts w:cs="Arial"/>
                <w:sz w:val="18"/>
                <w:szCs w:val="18"/>
              </w:rPr>
            </w:pPr>
            <w:r w:rsidRPr="00636CC2">
              <w:rPr>
                <w:rFonts w:cs="Arial"/>
                <w:sz w:val="18"/>
                <w:szCs w:val="18"/>
              </w:rPr>
              <w:t> </w:t>
            </w:r>
          </w:p>
        </w:tc>
        <w:tc>
          <w:tcPr>
            <w:tcW w:w="1160" w:type="dxa"/>
            <w:tcBorders>
              <w:top w:val="nil"/>
              <w:left w:val="nil"/>
              <w:bottom w:val="single" w:sz="4" w:space="0" w:color="auto"/>
              <w:right w:val="nil"/>
            </w:tcBorders>
            <w:shd w:val="clear" w:color="auto" w:fill="auto"/>
            <w:hideMark/>
          </w:tcPr>
          <w:p w14:paraId="3FC44406" w14:textId="77777777" w:rsidR="0097090C" w:rsidRPr="00636CC2" w:rsidRDefault="0097090C" w:rsidP="0097090C">
            <w:pPr>
              <w:jc w:val="center"/>
              <w:rPr>
                <w:rFonts w:cs="Arial"/>
                <w:sz w:val="18"/>
                <w:szCs w:val="18"/>
              </w:rPr>
            </w:pPr>
            <w:r w:rsidRPr="00636CC2">
              <w:rPr>
                <w:rFonts w:cs="Arial"/>
                <w:sz w:val="18"/>
                <w:szCs w:val="18"/>
              </w:rPr>
              <w:t> </w:t>
            </w:r>
          </w:p>
        </w:tc>
        <w:tc>
          <w:tcPr>
            <w:tcW w:w="1160" w:type="dxa"/>
            <w:tcBorders>
              <w:top w:val="nil"/>
              <w:left w:val="nil"/>
              <w:bottom w:val="single" w:sz="4" w:space="0" w:color="auto"/>
              <w:right w:val="nil"/>
            </w:tcBorders>
            <w:shd w:val="clear" w:color="000000" w:fill="D9D9D9"/>
            <w:vAlign w:val="bottom"/>
            <w:hideMark/>
          </w:tcPr>
          <w:p w14:paraId="67726927" w14:textId="77777777" w:rsidR="0097090C" w:rsidRPr="00636CC2" w:rsidRDefault="0097090C" w:rsidP="0097090C">
            <w:pPr>
              <w:jc w:val="center"/>
              <w:rPr>
                <w:rFonts w:cs="Arial"/>
                <w:sz w:val="18"/>
                <w:szCs w:val="18"/>
              </w:rPr>
            </w:pPr>
            <w:r w:rsidRPr="00636CC2">
              <w:rPr>
                <w:rFonts w:cs="Arial"/>
                <w:sz w:val="18"/>
                <w:szCs w:val="18"/>
              </w:rPr>
              <w:t>Fixed interest rate</w:t>
            </w:r>
          </w:p>
        </w:tc>
        <w:tc>
          <w:tcPr>
            <w:tcW w:w="1160" w:type="dxa"/>
            <w:tcBorders>
              <w:top w:val="nil"/>
              <w:left w:val="nil"/>
              <w:bottom w:val="single" w:sz="4" w:space="0" w:color="auto"/>
              <w:right w:val="nil"/>
            </w:tcBorders>
            <w:shd w:val="clear" w:color="auto" w:fill="auto"/>
            <w:vAlign w:val="bottom"/>
            <w:hideMark/>
          </w:tcPr>
          <w:p w14:paraId="2B38E83E" w14:textId="77777777" w:rsidR="0097090C" w:rsidRPr="00636CC2" w:rsidRDefault="0097090C" w:rsidP="0097090C">
            <w:pPr>
              <w:jc w:val="center"/>
              <w:rPr>
                <w:rFonts w:cs="Arial"/>
                <w:sz w:val="18"/>
                <w:szCs w:val="18"/>
              </w:rPr>
            </w:pPr>
            <w:r w:rsidRPr="00636CC2">
              <w:rPr>
                <w:rFonts w:cs="Arial"/>
                <w:sz w:val="18"/>
                <w:szCs w:val="18"/>
              </w:rPr>
              <w:t>Variable interest rate</w:t>
            </w:r>
          </w:p>
        </w:tc>
        <w:tc>
          <w:tcPr>
            <w:tcW w:w="1160" w:type="dxa"/>
            <w:tcBorders>
              <w:top w:val="nil"/>
              <w:left w:val="nil"/>
              <w:bottom w:val="single" w:sz="4" w:space="0" w:color="auto"/>
              <w:right w:val="nil"/>
            </w:tcBorders>
            <w:shd w:val="clear" w:color="000000" w:fill="D9D9D9"/>
            <w:vAlign w:val="bottom"/>
            <w:hideMark/>
          </w:tcPr>
          <w:p w14:paraId="41325BA7" w14:textId="77777777" w:rsidR="0097090C" w:rsidRPr="00636CC2" w:rsidRDefault="0097090C" w:rsidP="0097090C">
            <w:pPr>
              <w:jc w:val="center"/>
              <w:rPr>
                <w:rFonts w:cs="Arial"/>
                <w:sz w:val="18"/>
                <w:szCs w:val="18"/>
              </w:rPr>
            </w:pPr>
            <w:r w:rsidRPr="00636CC2">
              <w:rPr>
                <w:rFonts w:cs="Arial"/>
                <w:sz w:val="18"/>
                <w:szCs w:val="18"/>
              </w:rPr>
              <w:t>Non-interest bearing</w:t>
            </w:r>
          </w:p>
        </w:tc>
      </w:tr>
      <w:tr w:rsidR="0097090C" w:rsidRPr="00636CC2" w14:paraId="309DF5BD" w14:textId="77777777" w:rsidTr="0097090C">
        <w:trPr>
          <w:trHeight w:val="240"/>
        </w:trPr>
        <w:tc>
          <w:tcPr>
            <w:tcW w:w="3540" w:type="dxa"/>
            <w:tcBorders>
              <w:top w:val="nil"/>
              <w:left w:val="nil"/>
              <w:bottom w:val="nil"/>
              <w:right w:val="nil"/>
            </w:tcBorders>
            <w:shd w:val="clear" w:color="auto" w:fill="auto"/>
            <w:noWrap/>
            <w:vAlign w:val="bottom"/>
            <w:hideMark/>
          </w:tcPr>
          <w:p w14:paraId="5B790D46" w14:textId="77777777" w:rsidR="0097090C" w:rsidRPr="00636CC2" w:rsidRDefault="0097090C" w:rsidP="0097090C">
            <w:pPr>
              <w:rPr>
                <w:rFonts w:cs="Arial"/>
                <w:b/>
                <w:bCs/>
                <w:sz w:val="18"/>
                <w:szCs w:val="18"/>
              </w:rPr>
            </w:pPr>
            <w:r w:rsidRPr="00636CC2">
              <w:rPr>
                <w:rFonts w:cs="Arial"/>
                <w:b/>
                <w:bCs/>
                <w:sz w:val="18"/>
                <w:szCs w:val="18"/>
              </w:rPr>
              <w:t>Financial Assets</w:t>
            </w:r>
          </w:p>
        </w:tc>
        <w:tc>
          <w:tcPr>
            <w:tcW w:w="1340" w:type="dxa"/>
            <w:tcBorders>
              <w:top w:val="nil"/>
              <w:left w:val="nil"/>
              <w:bottom w:val="nil"/>
              <w:right w:val="nil"/>
            </w:tcBorders>
            <w:shd w:val="clear" w:color="000000" w:fill="D9D9D9"/>
            <w:hideMark/>
          </w:tcPr>
          <w:p w14:paraId="4DFF2433" w14:textId="77777777" w:rsidR="0097090C" w:rsidRPr="00636CC2" w:rsidRDefault="0097090C" w:rsidP="0097090C">
            <w:pP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hideMark/>
          </w:tcPr>
          <w:p w14:paraId="501C9656" w14:textId="77777777" w:rsidR="0097090C" w:rsidRPr="00636CC2" w:rsidRDefault="0097090C" w:rsidP="0097090C">
            <w:pPr>
              <w:rPr>
                <w:rFonts w:cs="Arial"/>
                <w:i/>
                <w:iCs/>
                <w:sz w:val="18"/>
                <w:szCs w:val="18"/>
              </w:rPr>
            </w:pPr>
          </w:p>
        </w:tc>
        <w:tc>
          <w:tcPr>
            <w:tcW w:w="1160" w:type="dxa"/>
            <w:tcBorders>
              <w:top w:val="nil"/>
              <w:left w:val="nil"/>
              <w:bottom w:val="nil"/>
              <w:right w:val="nil"/>
            </w:tcBorders>
            <w:shd w:val="clear" w:color="000000" w:fill="D9D9D9"/>
            <w:vAlign w:val="bottom"/>
            <w:hideMark/>
          </w:tcPr>
          <w:p w14:paraId="73C04AF7" w14:textId="77777777" w:rsidR="0097090C" w:rsidRPr="00636CC2" w:rsidRDefault="0097090C" w:rsidP="0097090C">
            <w:pPr>
              <w:jc w:val="cente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vAlign w:val="bottom"/>
            <w:hideMark/>
          </w:tcPr>
          <w:p w14:paraId="3308CAE3" w14:textId="77777777" w:rsidR="0097090C" w:rsidRPr="00636CC2" w:rsidRDefault="0097090C" w:rsidP="0097090C">
            <w:pPr>
              <w:jc w:val="center"/>
              <w:rPr>
                <w:rFonts w:cs="Arial"/>
                <w:i/>
                <w:iCs/>
                <w:sz w:val="18"/>
                <w:szCs w:val="18"/>
              </w:rPr>
            </w:pPr>
          </w:p>
        </w:tc>
        <w:tc>
          <w:tcPr>
            <w:tcW w:w="1160" w:type="dxa"/>
            <w:tcBorders>
              <w:top w:val="nil"/>
              <w:left w:val="nil"/>
              <w:bottom w:val="nil"/>
              <w:right w:val="nil"/>
            </w:tcBorders>
            <w:shd w:val="clear" w:color="000000" w:fill="D9D9D9"/>
            <w:vAlign w:val="bottom"/>
            <w:hideMark/>
          </w:tcPr>
          <w:p w14:paraId="735C2254" w14:textId="77777777" w:rsidR="0097090C" w:rsidRPr="00636CC2" w:rsidRDefault="0097090C" w:rsidP="0097090C">
            <w:pPr>
              <w:rPr>
                <w:rFonts w:cs="Arial"/>
                <w:i/>
                <w:iCs/>
                <w:sz w:val="18"/>
                <w:szCs w:val="18"/>
              </w:rPr>
            </w:pPr>
            <w:r w:rsidRPr="00636CC2">
              <w:rPr>
                <w:rFonts w:cs="Arial"/>
                <w:i/>
                <w:iCs/>
                <w:sz w:val="18"/>
                <w:szCs w:val="18"/>
              </w:rPr>
              <w:t> </w:t>
            </w:r>
          </w:p>
        </w:tc>
      </w:tr>
      <w:tr w:rsidR="0097090C" w:rsidRPr="00636CC2" w14:paraId="037176A9" w14:textId="77777777" w:rsidTr="0097090C">
        <w:trPr>
          <w:trHeight w:val="240"/>
        </w:trPr>
        <w:tc>
          <w:tcPr>
            <w:tcW w:w="3540" w:type="dxa"/>
            <w:tcBorders>
              <w:top w:val="nil"/>
              <w:left w:val="nil"/>
              <w:bottom w:val="nil"/>
              <w:right w:val="nil"/>
            </w:tcBorders>
            <w:shd w:val="clear" w:color="auto" w:fill="auto"/>
            <w:noWrap/>
            <w:vAlign w:val="bottom"/>
            <w:hideMark/>
          </w:tcPr>
          <w:p w14:paraId="36E92C00" w14:textId="77777777" w:rsidR="0097090C" w:rsidRPr="00636CC2" w:rsidRDefault="0097090C" w:rsidP="0097090C">
            <w:pPr>
              <w:rPr>
                <w:rFonts w:cs="Arial"/>
                <w:sz w:val="18"/>
                <w:szCs w:val="18"/>
              </w:rPr>
            </w:pPr>
            <w:r w:rsidRPr="00636CC2">
              <w:rPr>
                <w:rFonts w:cs="Arial"/>
                <w:sz w:val="18"/>
                <w:szCs w:val="18"/>
              </w:rPr>
              <w:t>Cash and deposits</w:t>
            </w:r>
          </w:p>
        </w:tc>
        <w:tc>
          <w:tcPr>
            <w:tcW w:w="1340" w:type="dxa"/>
            <w:tcBorders>
              <w:top w:val="nil"/>
              <w:left w:val="nil"/>
              <w:bottom w:val="nil"/>
              <w:right w:val="nil"/>
            </w:tcBorders>
            <w:shd w:val="clear" w:color="000000" w:fill="D9D9D9"/>
            <w:noWrap/>
            <w:vAlign w:val="bottom"/>
            <w:hideMark/>
          </w:tcPr>
          <w:p w14:paraId="2A49DBC3" w14:textId="77777777" w:rsidR="0097090C" w:rsidRPr="00636CC2" w:rsidRDefault="0097090C" w:rsidP="0097090C">
            <w:pPr>
              <w:jc w:val="right"/>
              <w:rPr>
                <w:rFonts w:cs="Arial"/>
                <w:sz w:val="18"/>
                <w:szCs w:val="18"/>
              </w:rPr>
            </w:pPr>
            <w:r w:rsidRPr="00636CC2">
              <w:rPr>
                <w:rFonts w:cs="Arial"/>
                <w:sz w:val="18"/>
                <w:szCs w:val="18"/>
              </w:rPr>
              <w:t>1.70%</w:t>
            </w:r>
          </w:p>
        </w:tc>
        <w:tc>
          <w:tcPr>
            <w:tcW w:w="1160" w:type="dxa"/>
            <w:tcBorders>
              <w:top w:val="nil"/>
              <w:left w:val="nil"/>
              <w:bottom w:val="nil"/>
              <w:right w:val="nil"/>
            </w:tcBorders>
            <w:shd w:val="clear" w:color="auto" w:fill="auto"/>
            <w:noWrap/>
            <w:vAlign w:val="bottom"/>
            <w:hideMark/>
          </w:tcPr>
          <w:p w14:paraId="6E80808F" w14:textId="77777777" w:rsidR="0097090C" w:rsidRPr="00636CC2" w:rsidRDefault="0097090C" w:rsidP="0097090C">
            <w:pPr>
              <w:jc w:val="right"/>
              <w:rPr>
                <w:rFonts w:cs="Arial"/>
                <w:sz w:val="18"/>
                <w:szCs w:val="18"/>
              </w:rPr>
            </w:pPr>
            <w:r w:rsidRPr="00636CC2">
              <w:rPr>
                <w:rFonts w:cs="Arial"/>
                <w:sz w:val="18"/>
                <w:szCs w:val="18"/>
              </w:rPr>
              <w:t>836</w:t>
            </w:r>
          </w:p>
        </w:tc>
        <w:tc>
          <w:tcPr>
            <w:tcW w:w="1160" w:type="dxa"/>
            <w:tcBorders>
              <w:top w:val="nil"/>
              <w:left w:val="nil"/>
              <w:bottom w:val="nil"/>
              <w:right w:val="nil"/>
            </w:tcBorders>
            <w:shd w:val="clear" w:color="000000" w:fill="D9D9D9"/>
            <w:noWrap/>
            <w:vAlign w:val="bottom"/>
            <w:hideMark/>
          </w:tcPr>
          <w:p w14:paraId="52D0DB0B"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auto" w:fill="auto"/>
            <w:noWrap/>
            <w:vAlign w:val="bottom"/>
            <w:hideMark/>
          </w:tcPr>
          <w:p w14:paraId="317020D2" w14:textId="77777777" w:rsidR="0097090C" w:rsidRPr="00636CC2" w:rsidRDefault="0097090C" w:rsidP="0097090C">
            <w:pPr>
              <w:jc w:val="right"/>
              <w:rPr>
                <w:rFonts w:cs="Arial"/>
                <w:sz w:val="18"/>
                <w:szCs w:val="18"/>
              </w:rPr>
            </w:pPr>
            <w:r w:rsidRPr="00636CC2">
              <w:rPr>
                <w:rFonts w:cs="Arial"/>
                <w:sz w:val="18"/>
                <w:szCs w:val="18"/>
              </w:rPr>
              <w:t>748</w:t>
            </w:r>
          </w:p>
        </w:tc>
        <w:tc>
          <w:tcPr>
            <w:tcW w:w="1160" w:type="dxa"/>
            <w:tcBorders>
              <w:top w:val="nil"/>
              <w:left w:val="nil"/>
              <w:bottom w:val="nil"/>
              <w:right w:val="nil"/>
            </w:tcBorders>
            <w:shd w:val="clear" w:color="000000" w:fill="D9D9D9"/>
            <w:noWrap/>
            <w:vAlign w:val="bottom"/>
            <w:hideMark/>
          </w:tcPr>
          <w:p w14:paraId="35A7DA60" w14:textId="77777777" w:rsidR="0097090C" w:rsidRPr="00636CC2" w:rsidRDefault="0097090C" w:rsidP="0097090C">
            <w:pPr>
              <w:jc w:val="right"/>
              <w:rPr>
                <w:rFonts w:cs="Arial"/>
                <w:sz w:val="18"/>
                <w:szCs w:val="18"/>
              </w:rPr>
            </w:pPr>
            <w:r w:rsidRPr="00636CC2">
              <w:rPr>
                <w:rFonts w:cs="Arial"/>
                <w:sz w:val="18"/>
                <w:szCs w:val="18"/>
              </w:rPr>
              <w:t>88</w:t>
            </w:r>
          </w:p>
        </w:tc>
      </w:tr>
      <w:tr w:rsidR="0097090C" w:rsidRPr="00636CC2" w14:paraId="62665544" w14:textId="77777777" w:rsidTr="0097090C">
        <w:trPr>
          <w:trHeight w:val="240"/>
        </w:trPr>
        <w:tc>
          <w:tcPr>
            <w:tcW w:w="3540" w:type="dxa"/>
            <w:tcBorders>
              <w:top w:val="nil"/>
              <w:left w:val="nil"/>
              <w:bottom w:val="nil"/>
              <w:right w:val="nil"/>
            </w:tcBorders>
            <w:shd w:val="clear" w:color="auto" w:fill="auto"/>
            <w:noWrap/>
            <w:vAlign w:val="bottom"/>
            <w:hideMark/>
          </w:tcPr>
          <w:p w14:paraId="32E1E672" w14:textId="77777777" w:rsidR="0097090C" w:rsidRPr="00636CC2" w:rsidRDefault="0097090C" w:rsidP="0097090C">
            <w:pPr>
              <w:rPr>
                <w:rFonts w:cs="Arial"/>
                <w:sz w:val="18"/>
                <w:szCs w:val="18"/>
              </w:rPr>
            </w:pPr>
            <w:r w:rsidRPr="00636CC2">
              <w:rPr>
                <w:rFonts w:cs="Arial"/>
                <w:sz w:val="18"/>
                <w:szCs w:val="18"/>
              </w:rPr>
              <w:t xml:space="preserve">Receivables: </w:t>
            </w:r>
          </w:p>
        </w:tc>
        <w:tc>
          <w:tcPr>
            <w:tcW w:w="1340" w:type="dxa"/>
            <w:tcBorders>
              <w:top w:val="nil"/>
              <w:left w:val="nil"/>
              <w:bottom w:val="nil"/>
              <w:right w:val="nil"/>
            </w:tcBorders>
            <w:shd w:val="clear" w:color="000000" w:fill="D9D9D9"/>
            <w:noWrap/>
            <w:vAlign w:val="bottom"/>
            <w:hideMark/>
          </w:tcPr>
          <w:p w14:paraId="1F526DF8"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385192AB"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2C748037"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0C678C82"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7B86187C"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33E20ABD" w14:textId="77777777" w:rsidTr="0097090C">
        <w:trPr>
          <w:trHeight w:val="240"/>
        </w:trPr>
        <w:tc>
          <w:tcPr>
            <w:tcW w:w="3540" w:type="dxa"/>
            <w:tcBorders>
              <w:top w:val="nil"/>
              <w:left w:val="nil"/>
              <w:bottom w:val="nil"/>
              <w:right w:val="nil"/>
            </w:tcBorders>
            <w:shd w:val="clear" w:color="auto" w:fill="auto"/>
            <w:noWrap/>
            <w:vAlign w:val="bottom"/>
            <w:hideMark/>
          </w:tcPr>
          <w:p w14:paraId="0AE1F43D" w14:textId="77777777" w:rsidR="0097090C" w:rsidRPr="00636CC2" w:rsidRDefault="0097090C" w:rsidP="0097090C">
            <w:pPr>
              <w:ind w:firstLineChars="100" w:firstLine="180"/>
              <w:rPr>
                <w:rFonts w:cs="Arial"/>
                <w:sz w:val="18"/>
                <w:szCs w:val="18"/>
              </w:rPr>
            </w:pPr>
            <w:r w:rsidRPr="00636CC2">
              <w:rPr>
                <w:rFonts w:cs="Arial"/>
                <w:sz w:val="18"/>
                <w:szCs w:val="18"/>
              </w:rPr>
              <w:t>Sale of goods and services</w:t>
            </w:r>
          </w:p>
        </w:tc>
        <w:tc>
          <w:tcPr>
            <w:tcW w:w="1340" w:type="dxa"/>
            <w:tcBorders>
              <w:top w:val="nil"/>
              <w:left w:val="nil"/>
              <w:bottom w:val="nil"/>
              <w:right w:val="nil"/>
            </w:tcBorders>
            <w:shd w:val="clear" w:color="000000" w:fill="D9D9D9"/>
            <w:noWrap/>
            <w:vAlign w:val="bottom"/>
            <w:hideMark/>
          </w:tcPr>
          <w:p w14:paraId="1963762B"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17B91755" w14:textId="77777777" w:rsidR="0097090C" w:rsidRPr="00636CC2" w:rsidRDefault="0097090C" w:rsidP="0097090C">
            <w:pPr>
              <w:jc w:val="right"/>
              <w:rPr>
                <w:rFonts w:cs="Arial"/>
                <w:sz w:val="18"/>
                <w:szCs w:val="18"/>
              </w:rPr>
            </w:pPr>
            <w:r w:rsidRPr="00636CC2">
              <w:rPr>
                <w:rFonts w:cs="Arial"/>
                <w:sz w:val="18"/>
                <w:szCs w:val="18"/>
              </w:rPr>
              <w:t>1,414</w:t>
            </w:r>
          </w:p>
        </w:tc>
        <w:tc>
          <w:tcPr>
            <w:tcW w:w="1160" w:type="dxa"/>
            <w:tcBorders>
              <w:top w:val="nil"/>
              <w:left w:val="nil"/>
              <w:bottom w:val="nil"/>
              <w:right w:val="nil"/>
            </w:tcBorders>
            <w:shd w:val="clear" w:color="000000" w:fill="D9D9D9"/>
            <w:noWrap/>
            <w:vAlign w:val="bottom"/>
            <w:hideMark/>
          </w:tcPr>
          <w:p w14:paraId="32C0C4D6"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auto" w:fill="auto"/>
            <w:noWrap/>
            <w:vAlign w:val="bottom"/>
            <w:hideMark/>
          </w:tcPr>
          <w:p w14:paraId="284C1EFC"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000000" w:fill="D9D9D9"/>
            <w:noWrap/>
            <w:vAlign w:val="bottom"/>
            <w:hideMark/>
          </w:tcPr>
          <w:p w14:paraId="0B4D69D7" w14:textId="77777777" w:rsidR="0097090C" w:rsidRPr="00636CC2" w:rsidRDefault="0097090C" w:rsidP="0097090C">
            <w:pPr>
              <w:jc w:val="right"/>
              <w:rPr>
                <w:rFonts w:cs="Arial"/>
                <w:sz w:val="18"/>
                <w:szCs w:val="18"/>
              </w:rPr>
            </w:pPr>
            <w:r w:rsidRPr="00636CC2">
              <w:rPr>
                <w:rFonts w:cs="Arial"/>
                <w:sz w:val="18"/>
                <w:szCs w:val="18"/>
              </w:rPr>
              <w:t>1,414</w:t>
            </w:r>
          </w:p>
        </w:tc>
      </w:tr>
      <w:tr w:rsidR="0097090C" w:rsidRPr="00636CC2" w14:paraId="1BD70307" w14:textId="77777777" w:rsidTr="0097090C">
        <w:trPr>
          <w:trHeight w:val="240"/>
        </w:trPr>
        <w:tc>
          <w:tcPr>
            <w:tcW w:w="3540" w:type="dxa"/>
            <w:tcBorders>
              <w:top w:val="nil"/>
              <w:left w:val="nil"/>
              <w:bottom w:val="nil"/>
              <w:right w:val="nil"/>
            </w:tcBorders>
            <w:shd w:val="clear" w:color="auto" w:fill="auto"/>
            <w:vAlign w:val="bottom"/>
            <w:hideMark/>
          </w:tcPr>
          <w:p w14:paraId="01C2BFE4" w14:textId="77777777" w:rsidR="0097090C" w:rsidRPr="00636CC2" w:rsidRDefault="0097090C" w:rsidP="0097090C">
            <w:pPr>
              <w:rPr>
                <w:rFonts w:cs="Arial"/>
                <w:sz w:val="18"/>
                <w:szCs w:val="18"/>
              </w:rPr>
            </w:pPr>
            <w:r w:rsidRPr="00636CC2">
              <w:rPr>
                <w:rFonts w:cs="Arial"/>
                <w:sz w:val="18"/>
                <w:szCs w:val="18"/>
              </w:rPr>
              <w:t>Investments and other financial assets:</w:t>
            </w:r>
          </w:p>
        </w:tc>
        <w:tc>
          <w:tcPr>
            <w:tcW w:w="1340" w:type="dxa"/>
            <w:tcBorders>
              <w:top w:val="nil"/>
              <w:left w:val="nil"/>
              <w:bottom w:val="nil"/>
              <w:right w:val="nil"/>
            </w:tcBorders>
            <w:shd w:val="clear" w:color="000000" w:fill="D9D9D9"/>
            <w:noWrap/>
            <w:vAlign w:val="bottom"/>
            <w:hideMark/>
          </w:tcPr>
          <w:p w14:paraId="27484F64"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1C1A86B3"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40AE4390"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7862D08A"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01E72730"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5397BF1B"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229BEBEE" w14:textId="77777777" w:rsidR="0097090C" w:rsidRPr="00636CC2" w:rsidRDefault="0097090C" w:rsidP="0097090C">
            <w:pPr>
              <w:rPr>
                <w:rFonts w:cs="Arial"/>
                <w:sz w:val="18"/>
                <w:szCs w:val="18"/>
              </w:rPr>
            </w:pPr>
            <w:r w:rsidRPr="00636CC2">
              <w:rPr>
                <w:rFonts w:cs="Arial"/>
                <w:sz w:val="18"/>
                <w:szCs w:val="18"/>
              </w:rPr>
              <w:t xml:space="preserve">   Short-term cash investments</w:t>
            </w:r>
          </w:p>
        </w:tc>
        <w:tc>
          <w:tcPr>
            <w:tcW w:w="1340" w:type="dxa"/>
            <w:tcBorders>
              <w:top w:val="nil"/>
              <w:left w:val="nil"/>
              <w:bottom w:val="nil"/>
              <w:right w:val="nil"/>
            </w:tcBorders>
            <w:shd w:val="clear" w:color="000000" w:fill="D9D9D9"/>
            <w:noWrap/>
            <w:vAlign w:val="bottom"/>
            <w:hideMark/>
          </w:tcPr>
          <w:p w14:paraId="52B6BF69" w14:textId="77777777" w:rsidR="0097090C" w:rsidRPr="00636CC2" w:rsidRDefault="0097090C" w:rsidP="0097090C">
            <w:pPr>
              <w:jc w:val="right"/>
              <w:rPr>
                <w:rFonts w:cs="Arial"/>
                <w:sz w:val="18"/>
                <w:szCs w:val="18"/>
              </w:rPr>
            </w:pPr>
            <w:r w:rsidRPr="00636CC2">
              <w:rPr>
                <w:rFonts w:cs="Arial"/>
                <w:sz w:val="18"/>
                <w:szCs w:val="18"/>
              </w:rPr>
              <w:t>2.60%</w:t>
            </w:r>
          </w:p>
        </w:tc>
        <w:tc>
          <w:tcPr>
            <w:tcW w:w="1160" w:type="dxa"/>
            <w:tcBorders>
              <w:top w:val="nil"/>
              <w:left w:val="nil"/>
              <w:bottom w:val="nil"/>
              <w:right w:val="nil"/>
            </w:tcBorders>
            <w:shd w:val="clear" w:color="auto" w:fill="auto"/>
            <w:noWrap/>
            <w:vAlign w:val="bottom"/>
            <w:hideMark/>
          </w:tcPr>
          <w:p w14:paraId="47D9F097" w14:textId="77777777" w:rsidR="0097090C" w:rsidRPr="00636CC2" w:rsidRDefault="0097090C" w:rsidP="0097090C">
            <w:pPr>
              <w:jc w:val="right"/>
              <w:rPr>
                <w:rFonts w:cs="Arial"/>
                <w:sz w:val="18"/>
                <w:szCs w:val="18"/>
              </w:rPr>
            </w:pPr>
            <w:r w:rsidRPr="00636CC2">
              <w:rPr>
                <w:rFonts w:cs="Arial"/>
                <w:sz w:val="18"/>
                <w:szCs w:val="18"/>
              </w:rPr>
              <w:t>29,400</w:t>
            </w:r>
          </w:p>
        </w:tc>
        <w:tc>
          <w:tcPr>
            <w:tcW w:w="1160" w:type="dxa"/>
            <w:tcBorders>
              <w:top w:val="nil"/>
              <w:left w:val="nil"/>
              <w:bottom w:val="nil"/>
              <w:right w:val="nil"/>
            </w:tcBorders>
            <w:shd w:val="clear" w:color="000000" w:fill="D9D9D9"/>
            <w:noWrap/>
            <w:vAlign w:val="bottom"/>
            <w:hideMark/>
          </w:tcPr>
          <w:p w14:paraId="0EEFBBB5" w14:textId="77777777" w:rsidR="0097090C" w:rsidRPr="00636CC2" w:rsidRDefault="0097090C" w:rsidP="0097090C">
            <w:pPr>
              <w:jc w:val="right"/>
              <w:rPr>
                <w:rFonts w:cs="Arial"/>
                <w:sz w:val="18"/>
                <w:szCs w:val="18"/>
              </w:rPr>
            </w:pPr>
            <w:r w:rsidRPr="00636CC2">
              <w:rPr>
                <w:rFonts w:cs="Arial"/>
                <w:sz w:val="18"/>
                <w:szCs w:val="18"/>
              </w:rPr>
              <w:t>29,400</w:t>
            </w:r>
          </w:p>
        </w:tc>
        <w:tc>
          <w:tcPr>
            <w:tcW w:w="1160" w:type="dxa"/>
            <w:tcBorders>
              <w:top w:val="nil"/>
              <w:left w:val="nil"/>
              <w:bottom w:val="nil"/>
              <w:right w:val="nil"/>
            </w:tcBorders>
            <w:shd w:val="clear" w:color="auto" w:fill="auto"/>
            <w:noWrap/>
            <w:vAlign w:val="bottom"/>
            <w:hideMark/>
          </w:tcPr>
          <w:p w14:paraId="1E00C2FB"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000000" w:fill="D9D9D9"/>
            <w:noWrap/>
            <w:vAlign w:val="bottom"/>
            <w:hideMark/>
          </w:tcPr>
          <w:p w14:paraId="1E44E1D1"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5CD2E78D"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7F8B40C7" w14:textId="77777777" w:rsidR="0097090C" w:rsidRPr="00636CC2" w:rsidRDefault="0097090C" w:rsidP="0097090C">
            <w:pPr>
              <w:rPr>
                <w:rFonts w:cs="Arial"/>
                <w:b/>
                <w:bCs/>
                <w:sz w:val="18"/>
                <w:szCs w:val="18"/>
              </w:rPr>
            </w:pPr>
            <w:r w:rsidRPr="00636CC2">
              <w:rPr>
                <w:rFonts w:cs="Arial"/>
                <w:b/>
                <w:bCs/>
                <w:sz w:val="18"/>
                <w:szCs w:val="18"/>
              </w:rPr>
              <w:t>Total financial assets</w:t>
            </w:r>
          </w:p>
        </w:tc>
        <w:tc>
          <w:tcPr>
            <w:tcW w:w="1340" w:type="dxa"/>
            <w:tcBorders>
              <w:top w:val="single" w:sz="4" w:space="0" w:color="auto"/>
              <w:left w:val="nil"/>
              <w:bottom w:val="single" w:sz="4" w:space="0" w:color="auto"/>
              <w:right w:val="nil"/>
            </w:tcBorders>
            <w:shd w:val="clear" w:color="000000" w:fill="D9D9D9"/>
            <w:noWrap/>
            <w:vAlign w:val="bottom"/>
            <w:hideMark/>
          </w:tcPr>
          <w:p w14:paraId="1C41078F" w14:textId="77777777" w:rsidR="0097090C" w:rsidRPr="00636CC2" w:rsidRDefault="0097090C" w:rsidP="0097090C">
            <w:pPr>
              <w:rPr>
                <w:rFonts w:cs="Arial"/>
                <w:b/>
                <w:bCs/>
                <w:sz w:val="18"/>
                <w:szCs w:val="18"/>
              </w:rPr>
            </w:pPr>
            <w:r w:rsidRPr="00636CC2">
              <w:rPr>
                <w:rFonts w:cs="Arial"/>
                <w:b/>
                <w:bCs/>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14:paraId="05CBB6C5" w14:textId="77777777" w:rsidR="0097090C" w:rsidRPr="00636CC2" w:rsidRDefault="0097090C" w:rsidP="0097090C">
            <w:pPr>
              <w:jc w:val="right"/>
              <w:rPr>
                <w:rFonts w:cs="Arial"/>
                <w:b/>
                <w:bCs/>
                <w:sz w:val="18"/>
                <w:szCs w:val="18"/>
              </w:rPr>
            </w:pPr>
            <w:r w:rsidRPr="00636CC2">
              <w:rPr>
                <w:rFonts w:cs="Arial"/>
                <w:b/>
                <w:bCs/>
                <w:sz w:val="18"/>
                <w:szCs w:val="18"/>
              </w:rPr>
              <w:t>31,650</w:t>
            </w:r>
          </w:p>
        </w:tc>
        <w:tc>
          <w:tcPr>
            <w:tcW w:w="1160" w:type="dxa"/>
            <w:tcBorders>
              <w:top w:val="single" w:sz="4" w:space="0" w:color="auto"/>
              <w:left w:val="nil"/>
              <w:bottom w:val="single" w:sz="4" w:space="0" w:color="auto"/>
              <w:right w:val="nil"/>
            </w:tcBorders>
            <w:shd w:val="clear" w:color="000000" w:fill="D9D9D9"/>
            <w:noWrap/>
            <w:vAlign w:val="bottom"/>
            <w:hideMark/>
          </w:tcPr>
          <w:p w14:paraId="732F516B" w14:textId="77777777" w:rsidR="0097090C" w:rsidRPr="00636CC2" w:rsidRDefault="0097090C" w:rsidP="0097090C">
            <w:pPr>
              <w:jc w:val="right"/>
              <w:rPr>
                <w:rFonts w:cs="Arial"/>
                <w:b/>
                <w:bCs/>
                <w:sz w:val="18"/>
                <w:szCs w:val="18"/>
              </w:rPr>
            </w:pPr>
            <w:r w:rsidRPr="00636CC2">
              <w:rPr>
                <w:rFonts w:cs="Arial"/>
                <w:b/>
                <w:bCs/>
                <w:sz w:val="18"/>
                <w:szCs w:val="18"/>
              </w:rPr>
              <w:t>29,400</w:t>
            </w:r>
          </w:p>
        </w:tc>
        <w:tc>
          <w:tcPr>
            <w:tcW w:w="1160" w:type="dxa"/>
            <w:tcBorders>
              <w:top w:val="single" w:sz="4" w:space="0" w:color="auto"/>
              <w:left w:val="nil"/>
              <w:bottom w:val="single" w:sz="4" w:space="0" w:color="auto"/>
              <w:right w:val="nil"/>
            </w:tcBorders>
            <w:shd w:val="clear" w:color="auto" w:fill="auto"/>
            <w:noWrap/>
            <w:vAlign w:val="bottom"/>
            <w:hideMark/>
          </w:tcPr>
          <w:p w14:paraId="79537C5D" w14:textId="77777777" w:rsidR="0097090C" w:rsidRPr="00636CC2" w:rsidRDefault="0097090C" w:rsidP="0097090C">
            <w:pPr>
              <w:jc w:val="right"/>
              <w:rPr>
                <w:rFonts w:cs="Arial"/>
                <w:b/>
                <w:bCs/>
                <w:sz w:val="18"/>
                <w:szCs w:val="18"/>
              </w:rPr>
            </w:pPr>
            <w:r w:rsidRPr="00636CC2">
              <w:rPr>
                <w:rFonts w:cs="Arial"/>
                <w:b/>
                <w:bCs/>
                <w:sz w:val="18"/>
                <w:szCs w:val="18"/>
              </w:rPr>
              <w:t>748</w:t>
            </w:r>
          </w:p>
        </w:tc>
        <w:tc>
          <w:tcPr>
            <w:tcW w:w="1160" w:type="dxa"/>
            <w:tcBorders>
              <w:top w:val="single" w:sz="4" w:space="0" w:color="auto"/>
              <w:left w:val="nil"/>
              <w:bottom w:val="single" w:sz="4" w:space="0" w:color="auto"/>
              <w:right w:val="nil"/>
            </w:tcBorders>
            <w:shd w:val="clear" w:color="000000" w:fill="D9D9D9"/>
            <w:noWrap/>
            <w:vAlign w:val="bottom"/>
            <w:hideMark/>
          </w:tcPr>
          <w:p w14:paraId="12D6FDCA" w14:textId="77777777" w:rsidR="0097090C" w:rsidRPr="00636CC2" w:rsidRDefault="0097090C" w:rsidP="0097090C">
            <w:pPr>
              <w:jc w:val="right"/>
              <w:rPr>
                <w:rFonts w:cs="Arial"/>
                <w:b/>
                <w:bCs/>
                <w:sz w:val="18"/>
                <w:szCs w:val="18"/>
              </w:rPr>
            </w:pPr>
            <w:r w:rsidRPr="00636CC2">
              <w:rPr>
                <w:rFonts w:cs="Arial"/>
                <w:b/>
                <w:bCs/>
                <w:sz w:val="18"/>
                <w:szCs w:val="18"/>
              </w:rPr>
              <w:t>1,502</w:t>
            </w:r>
          </w:p>
        </w:tc>
      </w:tr>
    </w:tbl>
    <w:p w14:paraId="2209FCC4" w14:textId="77777777" w:rsidR="0097090C" w:rsidRDefault="0097090C">
      <w:r>
        <w:br w:type="page"/>
      </w:r>
    </w:p>
    <w:p w14:paraId="7432BE4C" w14:textId="77777777" w:rsidR="0097090C" w:rsidRDefault="0097090C" w:rsidP="0097090C">
      <w:pPr>
        <w:pStyle w:val="Heading4"/>
      </w:pPr>
      <w:r>
        <w:t>Note 19</w:t>
      </w:r>
      <w:r w:rsidRPr="001F751F">
        <w:t xml:space="preserve">.  </w:t>
      </w:r>
      <w:r>
        <w:t>Financial Instruments</w:t>
      </w:r>
      <w:r w:rsidRPr="001F751F">
        <w:t xml:space="preserve"> (continued)</w:t>
      </w:r>
    </w:p>
    <w:p w14:paraId="59BB544E" w14:textId="77777777" w:rsidR="0097090C" w:rsidRDefault="0097090C"/>
    <w:tbl>
      <w:tblPr>
        <w:tblW w:w="9520" w:type="dxa"/>
        <w:tblInd w:w="93" w:type="dxa"/>
        <w:tblLook w:val="04A0" w:firstRow="1" w:lastRow="0" w:firstColumn="1" w:lastColumn="0" w:noHBand="0" w:noVBand="1"/>
      </w:tblPr>
      <w:tblGrid>
        <w:gridCol w:w="3540"/>
        <w:gridCol w:w="1340"/>
        <w:gridCol w:w="1160"/>
        <w:gridCol w:w="1160"/>
        <w:gridCol w:w="1160"/>
        <w:gridCol w:w="1160"/>
      </w:tblGrid>
      <w:tr w:rsidR="0097090C" w:rsidRPr="00636CC2" w14:paraId="182A2ACC" w14:textId="77777777" w:rsidTr="0097090C">
        <w:trPr>
          <w:trHeight w:val="240"/>
        </w:trPr>
        <w:tc>
          <w:tcPr>
            <w:tcW w:w="3540" w:type="dxa"/>
            <w:tcBorders>
              <w:top w:val="nil"/>
              <w:left w:val="nil"/>
              <w:bottom w:val="single" w:sz="4" w:space="0" w:color="auto"/>
              <w:right w:val="nil"/>
            </w:tcBorders>
            <w:shd w:val="clear" w:color="auto" w:fill="auto"/>
            <w:noWrap/>
            <w:vAlign w:val="bottom"/>
          </w:tcPr>
          <w:p w14:paraId="029E275B" w14:textId="77777777" w:rsidR="0097090C" w:rsidRPr="00636CC2" w:rsidRDefault="0097090C" w:rsidP="0097090C">
            <w:pPr>
              <w:rPr>
                <w:rFonts w:cs="Arial"/>
                <w:b/>
                <w:bCs/>
                <w:sz w:val="18"/>
                <w:szCs w:val="18"/>
              </w:rPr>
            </w:pPr>
          </w:p>
        </w:tc>
        <w:tc>
          <w:tcPr>
            <w:tcW w:w="1340" w:type="dxa"/>
            <w:tcBorders>
              <w:top w:val="single" w:sz="4" w:space="0" w:color="auto"/>
              <w:left w:val="nil"/>
              <w:bottom w:val="single" w:sz="4" w:space="0" w:color="auto"/>
              <w:right w:val="nil"/>
            </w:tcBorders>
            <w:shd w:val="clear" w:color="000000" w:fill="D9D9D9"/>
            <w:noWrap/>
            <w:vAlign w:val="bottom"/>
          </w:tcPr>
          <w:p w14:paraId="08587A92" w14:textId="77777777" w:rsidR="0097090C" w:rsidRPr="00636CC2" w:rsidRDefault="0097090C" w:rsidP="0097090C">
            <w:pPr>
              <w:rPr>
                <w:rFonts w:cs="Arial"/>
                <w:b/>
                <w:bCs/>
                <w:sz w:val="18"/>
                <w:szCs w:val="18"/>
              </w:rPr>
            </w:pPr>
          </w:p>
        </w:tc>
        <w:tc>
          <w:tcPr>
            <w:tcW w:w="1160" w:type="dxa"/>
            <w:tcBorders>
              <w:top w:val="single" w:sz="4" w:space="0" w:color="auto"/>
              <w:left w:val="nil"/>
              <w:bottom w:val="single" w:sz="4" w:space="0" w:color="auto"/>
              <w:right w:val="nil"/>
            </w:tcBorders>
            <w:shd w:val="clear" w:color="auto" w:fill="auto"/>
            <w:noWrap/>
            <w:vAlign w:val="bottom"/>
          </w:tcPr>
          <w:p w14:paraId="4562E279" w14:textId="77777777" w:rsidR="0097090C" w:rsidRPr="00636CC2" w:rsidRDefault="0097090C" w:rsidP="0097090C">
            <w:pPr>
              <w:jc w:val="right"/>
              <w:rPr>
                <w:rFonts w:cs="Arial"/>
                <w:b/>
                <w:bCs/>
                <w:sz w:val="18"/>
                <w:szCs w:val="18"/>
              </w:rPr>
            </w:pPr>
          </w:p>
        </w:tc>
        <w:tc>
          <w:tcPr>
            <w:tcW w:w="1160" w:type="dxa"/>
            <w:tcBorders>
              <w:top w:val="single" w:sz="4" w:space="0" w:color="auto"/>
              <w:left w:val="nil"/>
              <w:bottom w:val="single" w:sz="4" w:space="0" w:color="auto"/>
              <w:right w:val="nil"/>
            </w:tcBorders>
            <w:shd w:val="clear" w:color="000000" w:fill="D9D9D9"/>
            <w:noWrap/>
            <w:vAlign w:val="bottom"/>
          </w:tcPr>
          <w:p w14:paraId="7D970599" w14:textId="77777777" w:rsidR="0097090C" w:rsidRPr="00636CC2" w:rsidRDefault="0097090C" w:rsidP="0097090C">
            <w:pPr>
              <w:jc w:val="right"/>
              <w:rPr>
                <w:rFonts w:cs="Arial"/>
                <w:b/>
                <w:bCs/>
                <w:sz w:val="18"/>
                <w:szCs w:val="18"/>
              </w:rPr>
            </w:pPr>
          </w:p>
        </w:tc>
        <w:tc>
          <w:tcPr>
            <w:tcW w:w="1160" w:type="dxa"/>
            <w:tcBorders>
              <w:top w:val="single" w:sz="4" w:space="0" w:color="auto"/>
              <w:left w:val="nil"/>
              <w:bottom w:val="single" w:sz="4" w:space="0" w:color="auto"/>
              <w:right w:val="nil"/>
            </w:tcBorders>
            <w:shd w:val="clear" w:color="auto" w:fill="auto"/>
            <w:noWrap/>
            <w:vAlign w:val="bottom"/>
          </w:tcPr>
          <w:p w14:paraId="25BEC4B5" w14:textId="77777777" w:rsidR="0097090C" w:rsidRPr="00636CC2" w:rsidRDefault="0097090C" w:rsidP="0097090C">
            <w:pPr>
              <w:jc w:val="right"/>
              <w:rPr>
                <w:rFonts w:cs="Arial"/>
                <w:b/>
                <w:bCs/>
                <w:sz w:val="18"/>
                <w:szCs w:val="18"/>
              </w:rPr>
            </w:pPr>
          </w:p>
        </w:tc>
        <w:tc>
          <w:tcPr>
            <w:tcW w:w="1160" w:type="dxa"/>
            <w:tcBorders>
              <w:top w:val="single" w:sz="4" w:space="0" w:color="auto"/>
              <w:left w:val="nil"/>
              <w:bottom w:val="single" w:sz="4" w:space="0" w:color="auto"/>
              <w:right w:val="nil"/>
            </w:tcBorders>
            <w:shd w:val="clear" w:color="000000" w:fill="D9D9D9"/>
            <w:noWrap/>
            <w:vAlign w:val="bottom"/>
          </w:tcPr>
          <w:p w14:paraId="228D0CA0" w14:textId="77777777" w:rsidR="0097090C" w:rsidRPr="00636CC2" w:rsidRDefault="0097090C" w:rsidP="0097090C">
            <w:pPr>
              <w:jc w:val="right"/>
              <w:rPr>
                <w:rFonts w:cs="Arial"/>
                <w:b/>
                <w:bCs/>
                <w:sz w:val="18"/>
                <w:szCs w:val="18"/>
              </w:rPr>
            </w:pPr>
          </w:p>
        </w:tc>
      </w:tr>
      <w:tr w:rsidR="0097090C" w:rsidRPr="00636CC2" w14:paraId="06068DC2" w14:textId="77777777" w:rsidTr="0097090C">
        <w:trPr>
          <w:trHeight w:val="240"/>
        </w:trPr>
        <w:tc>
          <w:tcPr>
            <w:tcW w:w="3540" w:type="dxa"/>
            <w:tcBorders>
              <w:top w:val="nil"/>
              <w:left w:val="nil"/>
              <w:bottom w:val="nil"/>
              <w:right w:val="nil"/>
            </w:tcBorders>
            <w:shd w:val="clear" w:color="auto" w:fill="auto"/>
            <w:noWrap/>
            <w:vAlign w:val="bottom"/>
            <w:hideMark/>
          </w:tcPr>
          <w:p w14:paraId="24B89154" w14:textId="77777777" w:rsidR="0097090C" w:rsidRPr="00636CC2" w:rsidRDefault="0097090C" w:rsidP="0097090C">
            <w:pPr>
              <w:rPr>
                <w:rFonts w:cs="Arial"/>
                <w:b/>
                <w:bCs/>
                <w:sz w:val="18"/>
                <w:szCs w:val="18"/>
              </w:rPr>
            </w:pPr>
            <w:r w:rsidRPr="00636CC2">
              <w:rPr>
                <w:rFonts w:cs="Arial"/>
                <w:b/>
                <w:bCs/>
                <w:sz w:val="18"/>
                <w:szCs w:val="18"/>
              </w:rPr>
              <w:t>Financial Liabilities</w:t>
            </w:r>
          </w:p>
        </w:tc>
        <w:tc>
          <w:tcPr>
            <w:tcW w:w="1340" w:type="dxa"/>
            <w:tcBorders>
              <w:top w:val="nil"/>
              <w:left w:val="nil"/>
              <w:bottom w:val="nil"/>
              <w:right w:val="nil"/>
            </w:tcBorders>
            <w:shd w:val="clear" w:color="000000" w:fill="D9D9D9"/>
            <w:hideMark/>
          </w:tcPr>
          <w:p w14:paraId="57AC065A" w14:textId="77777777" w:rsidR="0097090C" w:rsidRPr="00636CC2" w:rsidRDefault="0097090C" w:rsidP="0097090C">
            <w:pP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hideMark/>
          </w:tcPr>
          <w:p w14:paraId="7D7C856E" w14:textId="77777777" w:rsidR="0097090C" w:rsidRPr="00636CC2" w:rsidRDefault="0097090C" w:rsidP="0097090C">
            <w:pPr>
              <w:rPr>
                <w:rFonts w:cs="Arial"/>
                <w:i/>
                <w:iCs/>
                <w:sz w:val="18"/>
                <w:szCs w:val="18"/>
              </w:rPr>
            </w:pPr>
          </w:p>
        </w:tc>
        <w:tc>
          <w:tcPr>
            <w:tcW w:w="1160" w:type="dxa"/>
            <w:tcBorders>
              <w:top w:val="nil"/>
              <w:left w:val="nil"/>
              <w:bottom w:val="nil"/>
              <w:right w:val="nil"/>
            </w:tcBorders>
            <w:shd w:val="clear" w:color="000000" w:fill="D9D9D9"/>
            <w:vAlign w:val="bottom"/>
            <w:hideMark/>
          </w:tcPr>
          <w:p w14:paraId="2D17CBE4" w14:textId="77777777" w:rsidR="0097090C" w:rsidRPr="00636CC2" w:rsidRDefault="0097090C" w:rsidP="0097090C">
            <w:pPr>
              <w:jc w:val="center"/>
              <w:rPr>
                <w:rFonts w:cs="Arial"/>
                <w:i/>
                <w:iCs/>
                <w:sz w:val="18"/>
                <w:szCs w:val="18"/>
              </w:rPr>
            </w:pPr>
            <w:r w:rsidRPr="00636CC2">
              <w:rPr>
                <w:rFonts w:cs="Arial"/>
                <w:i/>
                <w:iCs/>
                <w:sz w:val="18"/>
                <w:szCs w:val="18"/>
              </w:rPr>
              <w:t> </w:t>
            </w:r>
          </w:p>
        </w:tc>
        <w:tc>
          <w:tcPr>
            <w:tcW w:w="1160" w:type="dxa"/>
            <w:tcBorders>
              <w:top w:val="nil"/>
              <w:left w:val="nil"/>
              <w:bottom w:val="nil"/>
              <w:right w:val="nil"/>
            </w:tcBorders>
            <w:shd w:val="clear" w:color="auto" w:fill="auto"/>
            <w:vAlign w:val="bottom"/>
            <w:hideMark/>
          </w:tcPr>
          <w:p w14:paraId="04F5B848" w14:textId="77777777" w:rsidR="0097090C" w:rsidRPr="00636CC2" w:rsidRDefault="0097090C" w:rsidP="0097090C">
            <w:pPr>
              <w:jc w:val="center"/>
              <w:rPr>
                <w:rFonts w:cs="Arial"/>
                <w:i/>
                <w:iCs/>
                <w:sz w:val="18"/>
                <w:szCs w:val="18"/>
              </w:rPr>
            </w:pPr>
          </w:p>
        </w:tc>
        <w:tc>
          <w:tcPr>
            <w:tcW w:w="1160" w:type="dxa"/>
            <w:tcBorders>
              <w:top w:val="nil"/>
              <w:left w:val="nil"/>
              <w:bottom w:val="nil"/>
              <w:right w:val="nil"/>
            </w:tcBorders>
            <w:shd w:val="clear" w:color="000000" w:fill="D9D9D9"/>
            <w:vAlign w:val="bottom"/>
            <w:hideMark/>
          </w:tcPr>
          <w:p w14:paraId="61AB5C73" w14:textId="77777777" w:rsidR="0097090C" w:rsidRPr="00636CC2" w:rsidRDefault="0097090C" w:rsidP="0097090C">
            <w:pPr>
              <w:rPr>
                <w:rFonts w:cs="Arial"/>
                <w:i/>
                <w:iCs/>
                <w:sz w:val="18"/>
                <w:szCs w:val="18"/>
              </w:rPr>
            </w:pPr>
            <w:r w:rsidRPr="00636CC2">
              <w:rPr>
                <w:rFonts w:cs="Arial"/>
                <w:i/>
                <w:iCs/>
                <w:sz w:val="18"/>
                <w:szCs w:val="18"/>
              </w:rPr>
              <w:t> </w:t>
            </w:r>
          </w:p>
        </w:tc>
      </w:tr>
      <w:tr w:rsidR="0097090C" w:rsidRPr="00636CC2" w14:paraId="7DFC9F50" w14:textId="77777777" w:rsidTr="0097090C">
        <w:trPr>
          <w:trHeight w:val="240"/>
        </w:trPr>
        <w:tc>
          <w:tcPr>
            <w:tcW w:w="3540" w:type="dxa"/>
            <w:tcBorders>
              <w:top w:val="nil"/>
              <w:left w:val="nil"/>
              <w:bottom w:val="nil"/>
              <w:right w:val="nil"/>
            </w:tcBorders>
            <w:shd w:val="clear" w:color="auto" w:fill="auto"/>
            <w:noWrap/>
            <w:vAlign w:val="bottom"/>
            <w:hideMark/>
          </w:tcPr>
          <w:p w14:paraId="4479071F" w14:textId="77777777" w:rsidR="0097090C" w:rsidRPr="00636CC2" w:rsidRDefault="0097090C" w:rsidP="0097090C">
            <w:pPr>
              <w:rPr>
                <w:rFonts w:cs="Arial"/>
                <w:sz w:val="18"/>
                <w:szCs w:val="18"/>
              </w:rPr>
            </w:pPr>
            <w:r w:rsidRPr="00636CC2">
              <w:rPr>
                <w:rFonts w:cs="Arial"/>
                <w:sz w:val="18"/>
                <w:szCs w:val="18"/>
              </w:rPr>
              <w:t>Payables:</w:t>
            </w:r>
          </w:p>
        </w:tc>
        <w:tc>
          <w:tcPr>
            <w:tcW w:w="1340" w:type="dxa"/>
            <w:tcBorders>
              <w:top w:val="nil"/>
              <w:left w:val="nil"/>
              <w:bottom w:val="nil"/>
              <w:right w:val="nil"/>
            </w:tcBorders>
            <w:shd w:val="clear" w:color="000000" w:fill="D9D9D9"/>
            <w:noWrap/>
            <w:vAlign w:val="bottom"/>
            <w:hideMark/>
          </w:tcPr>
          <w:p w14:paraId="7212FA37"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5D15F488"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2E52FC9E"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40B212DD"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0A8A7D7B"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6BF835FD" w14:textId="77777777" w:rsidTr="0097090C">
        <w:trPr>
          <w:trHeight w:val="240"/>
        </w:trPr>
        <w:tc>
          <w:tcPr>
            <w:tcW w:w="3540" w:type="dxa"/>
            <w:tcBorders>
              <w:top w:val="nil"/>
              <w:left w:val="nil"/>
              <w:bottom w:val="nil"/>
              <w:right w:val="nil"/>
            </w:tcBorders>
            <w:shd w:val="clear" w:color="auto" w:fill="auto"/>
            <w:noWrap/>
            <w:vAlign w:val="bottom"/>
            <w:hideMark/>
          </w:tcPr>
          <w:p w14:paraId="5F78B2C7" w14:textId="77777777" w:rsidR="0097090C" w:rsidRPr="00636CC2" w:rsidRDefault="0097090C" w:rsidP="0097090C">
            <w:pPr>
              <w:rPr>
                <w:rFonts w:cs="Arial"/>
                <w:sz w:val="18"/>
                <w:szCs w:val="18"/>
              </w:rPr>
            </w:pPr>
            <w:r w:rsidRPr="00636CC2">
              <w:rPr>
                <w:rFonts w:cs="Arial"/>
                <w:sz w:val="18"/>
                <w:szCs w:val="18"/>
              </w:rPr>
              <w:t xml:space="preserve">   Trade and other creditors</w:t>
            </w:r>
          </w:p>
        </w:tc>
        <w:tc>
          <w:tcPr>
            <w:tcW w:w="1340" w:type="dxa"/>
            <w:tcBorders>
              <w:top w:val="nil"/>
              <w:left w:val="nil"/>
              <w:bottom w:val="nil"/>
              <w:right w:val="nil"/>
            </w:tcBorders>
            <w:shd w:val="clear" w:color="000000" w:fill="D9D9D9"/>
            <w:noWrap/>
            <w:vAlign w:val="bottom"/>
            <w:hideMark/>
          </w:tcPr>
          <w:p w14:paraId="346F59BB"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2ED221D1" w14:textId="77777777" w:rsidR="0097090C" w:rsidRPr="00636CC2" w:rsidRDefault="0097090C" w:rsidP="0097090C">
            <w:pPr>
              <w:jc w:val="right"/>
              <w:rPr>
                <w:rFonts w:cs="Arial"/>
                <w:sz w:val="18"/>
                <w:szCs w:val="18"/>
              </w:rPr>
            </w:pPr>
            <w:r w:rsidRPr="00636CC2">
              <w:rPr>
                <w:rFonts w:cs="Arial"/>
                <w:sz w:val="18"/>
                <w:szCs w:val="18"/>
              </w:rPr>
              <w:t>6,495</w:t>
            </w:r>
          </w:p>
        </w:tc>
        <w:tc>
          <w:tcPr>
            <w:tcW w:w="1160" w:type="dxa"/>
            <w:tcBorders>
              <w:top w:val="nil"/>
              <w:left w:val="nil"/>
              <w:bottom w:val="nil"/>
              <w:right w:val="nil"/>
            </w:tcBorders>
            <w:shd w:val="clear" w:color="000000" w:fill="D9D9D9"/>
            <w:noWrap/>
            <w:vAlign w:val="bottom"/>
            <w:hideMark/>
          </w:tcPr>
          <w:p w14:paraId="4E682252"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auto" w:fill="auto"/>
            <w:noWrap/>
            <w:vAlign w:val="bottom"/>
            <w:hideMark/>
          </w:tcPr>
          <w:p w14:paraId="0BF98400"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nil"/>
              <w:right w:val="nil"/>
            </w:tcBorders>
            <w:shd w:val="clear" w:color="000000" w:fill="D9D9D9"/>
            <w:noWrap/>
            <w:vAlign w:val="bottom"/>
            <w:hideMark/>
          </w:tcPr>
          <w:p w14:paraId="7E49B02A" w14:textId="77777777" w:rsidR="0097090C" w:rsidRPr="00636CC2" w:rsidRDefault="0097090C" w:rsidP="0097090C">
            <w:pPr>
              <w:jc w:val="right"/>
              <w:rPr>
                <w:rFonts w:cs="Arial"/>
                <w:sz w:val="18"/>
                <w:szCs w:val="18"/>
              </w:rPr>
            </w:pPr>
            <w:r w:rsidRPr="00636CC2">
              <w:rPr>
                <w:rFonts w:cs="Arial"/>
                <w:sz w:val="18"/>
                <w:szCs w:val="18"/>
              </w:rPr>
              <w:t>6,495</w:t>
            </w:r>
          </w:p>
        </w:tc>
      </w:tr>
      <w:tr w:rsidR="0097090C" w:rsidRPr="00636CC2" w14:paraId="47BDEBEA" w14:textId="77777777" w:rsidTr="0097090C">
        <w:trPr>
          <w:trHeight w:val="240"/>
        </w:trPr>
        <w:tc>
          <w:tcPr>
            <w:tcW w:w="3540" w:type="dxa"/>
            <w:tcBorders>
              <w:top w:val="nil"/>
              <w:left w:val="nil"/>
              <w:bottom w:val="nil"/>
              <w:right w:val="nil"/>
            </w:tcBorders>
            <w:shd w:val="clear" w:color="auto" w:fill="auto"/>
            <w:noWrap/>
            <w:vAlign w:val="bottom"/>
            <w:hideMark/>
          </w:tcPr>
          <w:p w14:paraId="2C3C1922" w14:textId="77777777" w:rsidR="0097090C" w:rsidRPr="00636CC2" w:rsidRDefault="0097090C" w:rsidP="0097090C">
            <w:pPr>
              <w:rPr>
                <w:rFonts w:cs="Arial"/>
                <w:sz w:val="18"/>
                <w:szCs w:val="18"/>
              </w:rPr>
            </w:pPr>
            <w:r w:rsidRPr="00636CC2">
              <w:rPr>
                <w:rFonts w:cs="Arial"/>
                <w:sz w:val="18"/>
                <w:szCs w:val="18"/>
              </w:rPr>
              <w:t>Interest bearing liabilities:</w:t>
            </w:r>
          </w:p>
        </w:tc>
        <w:tc>
          <w:tcPr>
            <w:tcW w:w="1340" w:type="dxa"/>
            <w:tcBorders>
              <w:top w:val="nil"/>
              <w:left w:val="nil"/>
              <w:bottom w:val="nil"/>
              <w:right w:val="nil"/>
            </w:tcBorders>
            <w:shd w:val="clear" w:color="000000" w:fill="D9D9D9"/>
            <w:noWrap/>
            <w:vAlign w:val="bottom"/>
            <w:hideMark/>
          </w:tcPr>
          <w:p w14:paraId="189CE853"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568969C1"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70AAF464" w14:textId="77777777" w:rsidR="0097090C" w:rsidRPr="00636CC2" w:rsidRDefault="0097090C" w:rsidP="0097090C">
            <w:pPr>
              <w:rPr>
                <w:rFonts w:cs="Arial"/>
                <w:sz w:val="18"/>
                <w:szCs w:val="18"/>
              </w:rPr>
            </w:pPr>
            <w:r w:rsidRPr="00636CC2">
              <w:rPr>
                <w:rFonts w:cs="Arial"/>
                <w:sz w:val="18"/>
                <w:szCs w:val="18"/>
              </w:rPr>
              <w:t> </w:t>
            </w:r>
          </w:p>
        </w:tc>
        <w:tc>
          <w:tcPr>
            <w:tcW w:w="1160" w:type="dxa"/>
            <w:tcBorders>
              <w:top w:val="nil"/>
              <w:left w:val="nil"/>
              <w:bottom w:val="nil"/>
              <w:right w:val="nil"/>
            </w:tcBorders>
            <w:shd w:val="clear" w:color="auto" w:fill="auto"/>
            <w:noWrap/>
            <w:vAlign w:val="bottom"/>
            <w:hideMark/>
          </w:tcPr>
          <w:p w14:paraId="696E9404" w14:textId="77777777" w:rsidR="0097090C" w:rsidRPr="00636CC2" w:rsidRDefault="0097090C" w:rsidP="0097090C">
            <w:pPr>
              <w:rPr>
                <w:rFonts w:cs="Arial"/>
                <w:sz w:val="18"/>
                <w:szCs w:val="18"/>
              </w:rPr>
            </w:pPr>
          </w:p>
        </w:tc>
        <w:tc>
          <w:tcPr>
            <w:tcW w:w="1160" w:type="dxa"/>
            <w:tcBorders>
              <w:top w:val="nil"/>
              <w:left w:val="nil"/>
              <w:bottom w:val="nil"/>
              <w:right w:val="nil"/>
            </w:tcBorders>
            <w:shd w:val="clear" w:color="000000" w:fill="D9D9D9"/>
            <w:noWrap/>
            <w:vAlign w:val="bottom"/>
            <w:hideMark/>
          </w:tcPr>
          <w:p w14:paraId="523148AD" w14:textId="77777777" w:rsidR="0097090C" w:rsidRPr="00636CC2" w:rsidRDefault="0097090C" w:rsidP="0097090C">
            <w:pPr>
              <w:rPr>
                <w:rFonts w:cs="Arial"/>
                <w:sz w:val="18"/>
                <w:szCs w:val="18"/>
              </w:rPr>
            </w:pPr>
            <w:r w:rsidRPr="00636CC2">
              <w:rPr>
                <w:rFonts w:cs="Arial"/>
                <w:sz w:val="18"/>
                <w:szCs w:val="18"/>
              </w:rPr>
              <w:t> </w:t>
            </w:r>
          </w:p>
        </w:tc>
      </w:tr>
      <w:tr w:rsidR="0097090C" w:rsidRPr="00636CC2" w14:paraId="0B3563E5"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5C104C65" w14:textId="77777777" w:rsidR="0097090C" w:rsidRPr="00636CC2" w:rsidRDefault="0097090C" w:rsidP="0097090C">
            <w:pPr>
              <w:rPr>
                <w:rFonts w:cs="Arial"/>
                <w:sz w:val="18"/>
                <w:szCs w:val="18"/>
              </w:rPr>
            </w:pPr>
            <w:r>
              <w:rPr>
                <w:rFonts w:cs="Arial"/>
                <w:sz w:val="18"/>
                <w:szCs w:val="18"/>
              </w:rPr>
              <w:t xml:space="preserve">   </w:t>
            </w:r>
            <w:r w:rsidRPr="00636CC2">
              <w:rPr>
                <w:rFonts w:cs="Arial"/>
                <w:sz w:val="18"/>
                <w:szCs w:val="18"/>
              </w:rPr>
              <w:t>Lease liabilities</w:t>
            </w:r>
          </w:p>
        </w:tc>
        <w:tc>
          <w:tcPr>
            <w:tcW w:w="1340" w:type="dxa"/>
            <w:tcBorders>
              <w:top w:val="nil"/>
              <w:left w:val="nil"/>
              <w:bottom w:val="nil"/>
              <w:right w:val="nil"/>
            </w:tcBorders>
            <w:shd w:val="clear" w:color="000000" w:fill="D9D9D9"/>
            <w:noWrap/>
            <w:vAlign w:val="bottom"/>
            <w:hideMark/>
          </w:tcPr>
          <w:p w14:paraId="784F971B" w14:textId="77777777" w:rsidR="0097090C" w:rsidRPr="00636CC2" w:rsidRDefault="0097090C" w:rsidP="0097090C">
            <w:pPr>
              <w:jc w:val="right"/>
              <w:rPr>
                <w:rFonts w:cs="Arial"/>
                <w:sz w:val="18"/>
                <w:szCs w:val="18"/>
              </w:rPr>
            </w:pPr>
            <w:r w:rsidRPr="00636CC2">
              <w:rPr>
                <w:rFonts w:cs="Arial"/>
                <w:sz w:val="18"/>
                <w:szCs w:val="18"/>
              </w:rPr>
              <w:t>5.86%</w:t>
            </w:r>
          </w:p>
        </w:tc>
        <w:tc>
          <w:tcPr>
            <w:tcW w:w="1160" w:type="dxa"/>
            <w:tcBorders>
              <w:top w:val="nil"/>
              <w:left w:val="nil"/>
              <w:bottom w:val="nil"/>
              <w:right w:val="nil"/>
            </w:tcBorders>
            <w:shd w:val="clear" w:color="auto" w:fill="auto"/>
            <w:noWrap/>
            <w:vAlign w:val="bottom"/>
            <w:hideMark/>
          </w:tcPr>
          <w:p w14:paraId="2064CD8A" w14:textId="77777777" w:rsidR="0097090C" w:rsidRPr="00636CC2" w:rsidRDefault="0097090C" w:rsidP="0097090C">
            <w:pPr>
              <w:jc w:val="right"/>
              <w:rPr>
                <w:rFonts w:cs="Arial"/>
                <w:sz w:val="18"/>
                <w:szCs w:val="18"/>
              </w:rPr>
            </w:pPr>
            <w:r w:rsidRPr="00636CC2">
              <w:rPr>
                <w:rFonts w:cs="Arial"/>
                <w:sz w:val="18"/>
                <w:szCs w:val="18"/>
              </w:rPr>
              <w:t>274</w:t>
            </w:r>
          </w:p>
        </w:tc>
        <w:tc>
          <w:tcPr>
            <w:tcW w:w="1160" w:type="dxa"/>
            <w:tcBorders>
              <w:top w:val="nil"/>
              <w:left w:val="nil"/>
              <w:bottom w:val="single" w:sz="4" w:space="0" w:color="auto"/>
              <w:right w:val="nil"/>
            </w:tcBorders>
            <w:shd w:val="clear" w:color="000000" w:fill="D9D9D9"/>
            <w:noWrap/>
            <w:vAlign w:val="bottom"/>
            <w:hideMark/>
          </w:tcPr>
          <w:p w14:paraId="562DDBCE" w14:textId="77777777" w:rsidR="0097090C" w:rsidRPr="00636CC2" w:rsidRDefault="0097090C" w:rsidP="0097090C">
            <w:pPr>
              <w:jc w:val="right"/>
              <w:rPr>
                <w:rFonts w:cs="Arial"/>
                <w:sz w:val="18"/>
                <w:szCs w:val="18"/>
              </w:rPr>
            </w:pPr>
            <w:r w:rsidRPr="00636CC2">
              <w:rPr>
                <w:rFonts w:cs="Arial"/>
                <w:sz w:val="18"/>
                <w:szCs w:val="18"/>
              </w:rPr>
              <w:t>0</w:t>
            </w:r>
          </w:p>
        </w:tc>
        <w:tc>
          <w:tcPr>
            <w:tcW w:w="1160" w:type="dxa"/>
            <w:tcBorders>
              <w:top w:val="nil"/>
              <w:left w:val="nil"/>
              <w:bottom w:val="single" w:sz="4" w:space="0" w:color="auto"/>
              <w:right w:val="nil"/>
            </w:tcBorders>
            <w:shd w:val="clear" w:color="auto" w:fill="auto"/>
            <w:noWrap/>
            <w:vAlign w:val="bottom"/>
            <w:hideMark/>
          </w:tcPr>
          <w:p w14:paraId="38566246" w14:textId="77777777" w:rsidR="0097090C" w:rsidRPr="00636CC2" w:rsidRDefault="0097090C" w:rsidP="0097090C">
            <w:pPr>
              <w:jc w:val="right"/>
              <w:rPr>
                <w:rFonts w:cs="Arial"/>
                <w:sz w:val="18"/>
                <w:szCs w:val="18"/>
              </w:rPr>
            </w:pPr>
            <w:r w:rsidRPr="00636CC2">
              <w:rPr>
                <w:rFonts w:cs="Arial"/>
                <w:sz w:val="18"/>
                <w:szCs w:val="18"/>
              </w:rPr>
              <w:t>274</w:t>
            </w:r>
          </w:p>
        </w:tc>
        <w:tc>
          <w:tcPr>
            <w:tcW w:w="1160" w:type="dxa"/>
            <w:tcBorders>
              <w:top w:val="nil"/>
              <w:left w:val="nil"/>
              <w:bottom w:val="single" w:sz="4" w:space="0" w:color="auto"/>
              <w:right w:val="nil"/>
            </w:tcBorders>
            <w:shd w:val="clear" w:color="000000" w:fill="D9D9D9"/>
            <w:noWrap/>
            <w:vAlign w:val="bottom"/>
            <w:hideMark/>
          </w:tcPr>
          <w:p w14:paraId="6504FB9B" w14:textId="77777777" w:rsidR="0097090C" w:rsidRPr="00636CC2" w:rsidRDefault="0097090C" w:rsidP="0097090C">
            <w:pPr>
              <w:jc w:val="right"/>
              <w:rPr>
                <w:rFonts w:cs="Arial"/>
                <w:sz w:val="18"/>
                <w:szCs w:val="18"/>
              </w:rPr>
            </w:pPr>
            <w:r w:rsidRPr="00636CC2">
              <w:rPr>
                <w:rFonts w:cs="Arial"/>
                <w:sz w:val="18"/>
                <w:szCs w:val="18"/>
              </w:rPr>
              <w:t>0</w:t>
            </w:r>
          </w:p>
        </w:tc>
      </w:tr>
      <w:tr w:rsidR="0097090C" w:rsidRPr="00636CC2" w14:paraId="7FC998EA" w14:textId="77777777" w:rsidTr="0097090C">
        <w:trPr>
          <w:trHeight w:val="240"/>
        </w:trPr>
        <w:tc>
          <w:tcPr>
            <w:tcW w:w="3540" w:type="dxa"/>
            <w:tcBorders>
              <w:top w:val="nil"/>
              <w:left w:val="nil"/>
              <w:bottom w:val="single" w:sz="4" w:space="0" w:color="auto"/>
              <w:right w:val="nil"/>
            </w:tcBorders>
            <w:shd w:val="clear" w:color="auto" w:fill="auto"/>
            <w:noWrap/>
            <w:vAlign w:val="bottom"/>
            <w:hideMark/>
          </w:tcPr>
          <w:p w14:paraId="1A4601F7" w14:textId="77777777" w:rsidR="0097090C" w:rsidRPr="00636CC2" w:rsidRDefault="0097090C" w:rsidP="0097090C">
            <w:pPr>
              <w:rPr>
                <w:rFonts w:cs="Arial"/>
                <w:b/>
                <w:bCs/>
                <w:sz w:val="18"/>
                <w:szCs w:val="18"/>
              </w:rPr>
            </w:pPr>
            <w:r w:rsidRPr="00636CC2">
              <w:rPr>
                <w:rFonts w:cs="Arial"/>
                <w:b/>
                <w:bCs/>
                <w:sz w:val="18"/>
                <w:szCs w:val="18"/>
              </w:rPr>
              <w:t>Total financial liabilities</w:t>
            </w:r>
          </w:p>
        </w:tc>
        <w:tc>
          <w:tcPr>
            <w:tcW w:w="1340" w:type="dxa"/>
            <w:tcBorders>
              <w:top w:val="single" w:sz="4" w:space="0" w:color="auto"/>
              <w:left w:val="nil"/>
              <w:bottom w:val="single" w:sz="4" w:space="0" w:color="auto"/>
              <w:right w:val="nil"/>
            </w:tcBorders>
            <w:shd w:val="clear" w:color="000000" w:fill="D9D9D9"/>
            <w:noWrap/>
            <w:vAlign w:val="bottom"/>
            <w:hideMark/>
          </w:tcPr>
          <w:p w14:paraId="0AC615EF" w14:textId="77777777" w:rsidR="0097090C" w:rsidRPr="00636CC2" w:rsidRDefault="0097090C" w:rsidP="0097090C">
            <w:pPr>
              <w:rPr>
                <w:rFonts w:cs="Arial"/>
                <w:b/>
                <w:bCs/>
                <w:sz w:val="18"/>
                <w:szCs w:val="18"/>
              </w:rPr>
            </w:pPr>
            <w:r w:rsidRPr="00636CC2">
              <w:rPr>
                <w:rFonts w:cs="Arial"/>
                <w:b/>
                <w:bCs/>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14:paraId="6C4423F3" w14:textId="77777777" w:rsidR="0097090C" w:rsidRPr="00636CC2" w:rsidRDefault="0097090C" w:rsidP="0097090C">
            <w:pPr>
              <w:jc w:val="right"/>
              <w:rPr>
                <w:rFonts w:cs="Arial"/>
                <w:b/>
                <w:bCs/>
                <w:sz w:val="18"/>
                <w:szCs w:val="18"/>
              </w:rPr>
            </w:pPr>
            <w:r w:rsidRPr="00636CC2">
              <w:rPr>
                <w:rFonts w:cs="Arial"/>
                <w:b/>
                <w:bCs/>
                <w:sz w:val="18"/>
                <w:szCs w:val="18"/>
              </w:rPr>
              <w:t>6,769</w:t>
            </w:r>
          </w:p>
        </w:tc>
        <w:tc>
          <w:tcPr>
            <w:tcW w:w="1160" w:type="dxa"/>
            <w:tcBorders>
              <w:top w:val="nil"/>
              <w:left w:val="nil"/>
              <w:bottom w:val="single" w:sz="4" w:space="0" w:color="auto"/>
              <w:right w:val="nil"/>
            </w:tcBorders>
            <w:shd w:val="clear" w:color="000000" w:fill="D9D9D9"/>
            <w:noWrap/>
            <w:vAlign w:val="bottom"/>
            <w:hideMark/>
          </w:tcPr>
          <w:p w14:paraId="0D240EFA" w14:textId="77777777" w:rsidR="0097090C" w:rsidRPr="00636CC2" w:rsidRDefault="0097090C" w:rsidP="0097090C">
            <w:pPr>
              <w:jc w:val="right"/>
              <w:rPr>
                <w:rFonts w:cs="Arial"/>
                <w:b/>
                <w:bCs/>
                <w:sz w:val="18"/>
                <w:szCs w:val="18"/>
              </w:rPr>
            </w:pPr>
            <w:r w:rsidRPr="00636CC2">
              <w:rPr>
                <w:rFonts w:cs="Arial"/>
                <w:b/>
                <w:bCs/>
                <w:sz w:val="18"/>
                <w:szCs w:val="18"/>
              </w:rPr>
              <w:t>0</w:t>
            </w:r>
          </w:p>
        </w:tc>
        <w:tc>
          <w:tcPr>
            <w:tcW w:w="1160" w:type="dxa"/>
            <w:tcBorders>
              <w:top w:val="nil"/>
              <w:left w:val="nil"/>
              <w:bottom w:val="single" w:sz="4" w:space="0" w:color="auto"/>
              <w:right w:val="nil"/>
            </w:tcBorders>
            <w:shd w:val="clear" w:color="auto" w:fill="auto"/>
            <w:noWrap/>
            <w:vAlign w:val="bottom"/>
            <w:hideMark/>
          </w:tcPr>
          <w:p w14:paraId="3B5F3D4D" w14:textId="77777777" w:rsidR="0097090C" w:rsidRPr="00636CC2" w:rsidRDefault="0097090C" w:rsidP="0097090C">
            <w:pPr>
              <w:jc w:val="right"/>
              <w:rPr>
                <w:rFonts w:cs="Arial"/>
                <w:b/>
                <w:bCs/>
                <w:sz w:val="18"/>
                <w:szCs w:val="18"/>
              </w:rPr>
            </w:pPr>
            <w:r w:rsidRPr="00636CC2">
              <w:rPr>
                <w:rFonts w:cs="Arial"/>
                <w:b/>
                <w:bCs/>
                <w:sz w:val="18"/>
                <w:szCs w:val="18"/>
              </w:rPr>
              <w:t>274</w:t>
            </w:r>
          </w:p>
        </w:tc>
        <w:tc>
          <w:tcPr>
            <w:tcW w:w="1160" w:type="dxa"/>
            <w:tcBorders>
              <w:top w:val="nil"/>
              <w:left w:val="nil"/>
              <w:bottom w:val="single" w:sz="4" w:space="0" w:color="auto"/>
              <w:right w:val="nil"/>
            </w:tcBorders>
            <w:shd w:val="clear" w:color="000000" w:fill="D9D9D9"/>
            <w:noWrap/>
            <w:vAlign w:val="bottom"/>
            <w:hideMark/>
          </w:tcPr>
          <w:p w14:paraId="4FBF7A74" w14:textId="77777777" w:rsidR="0097090C" w:rsidRPr="00636CC2" w:rsidRDefault="0097090C" w:rsidP="0097090C">
            <w:pPr>
              <w:jc w:val="right"/>
              <w:rPr>
                <w:rFonts w:cs="Arial"/>
                <w:b/>
                <w:bCs/>
                <w:sz w:val="18"/>
                <w:szCs w:val="18"/>
              </w:rPr>
            </w:pPr>
            <w:r w:rsidRPr="00636CC2">
              <w:rPr>
                <w:rFonts w:cs="Arial"/>
                <w:b/>
                <w:bCs/>
                <w:sz w:val="18"/>
                <w:szCs w:val="18"/>
              </w:rPr>
              <w:t>6,495</w:t>
            </w:r>
          </w:p>
        </w:tc>
      </w:tr>
    </w:tbl>
    <w:p w14:paraId="3254B9FC" w14:textId="45C5ABD2" w:rsidR="0097090C" w:rsidRDefault="0097090C">
      <w:pPr>
        <w:spacing w:after="200" w:line="276" w:lineRule="auto"/>
        <w:rPr>
          <w:b/>
        </w:rPr>
      </w:pPr>
    </w:p>
    <w:p w14:paraId="189EE95D" w14:textId="4B5D7FD0" w:rsidR="0097090C" w:rsidRPr="00E82E37" w:rsidRDefault="0097090C" w:rsidP="0097090C">
      <w:pPr>
        <w:pStyle w:val="Heading5"/>
      </w:pPr>
      <w:r>
        <w:t xml:space="preserve">(f)  </w:t>
      </w:r>
      <w:r w:rsidRPr="00E82E37">
        <w:t>Fair value</w:t>
      </w:r>
    </w:p>
    <w:p w14:paraId="236B4CC2" w14:textId="77777777" w:rsidR="0097090C" w:rsidRDefault="0097090C" w:rsidP="0097090C">
      <w:pPr>
        <w:rPr>
          <w:rFonts w:cs="Arial"/>
        </w:rPr>
      </w:pPr>
      <w:r w:rsidRPr="006722DD">
        <w:rPr>
          <w:rFonts w:cs="Arial"/>
        </w:rPr>
        <w:t>The fair values and net fair values of financial instrument assets and liabilities are d</w:t>
      </w:r>
      <w:r>
        <w:rPr>
          <w:rFonts w:cs="Arial"/>
        </w:rPr>
        <w:t>etermined as follows:</w:t>
      </w:r>
    </w:p>
    <w:p w14:paraId="666C7C40" w14:textId="77777777" w:rsidR="0097090C" w:rsidRPr="00036323" w:rsidRDefault="0097090C" w:rsidP="0097090C">
      <w:pPr>
        <w:pStyle w:val="ListParagraph"/>
        <w:numPr>
          <w:ilvl w:val="0"/>
          <w:numId w:val="23"/>
        </w:numPr>
        <w:rPr>
          <w:rFonts w:cs="Arial"/>
        </w:rPr>
      </w:pPr>
      <w:r w:rsidRPr="00036323">
        <w:rPr>
          <w:rFonts w:cs="Arial"/>
        </w:rPr>
        <w:t>Level 1 – the fair value of financial instrument with standard terms and conditions and traded in active liquid markets are determined with reference to quoted market prices;</w:t>
      </w:r>
    </w:p>
    <w:p w14:paraId="6AE791EB" w14:textId="77777777" w:rsidR="0097090C" w:rsidRPr="00036323" w:rsidRDefault="0097090C" w:rsidP="0097090C">
      <w:pPr>
        <w:pStyle w:val="ListParagraph"/>
        <w:numPr>
          <w:ilvl w:val="0"/>
          <w:numId w:val="23"/>
        </w:numPr>
        <w:rPr>
          <w:rFonts w:cs="Arial"/>
        </w:rPr>
      </w:pPr>
      <w:r w:rsidRPr="00036323">
        <w:rPr>
          <w:rFonts w:cs="Arial"/>
        </w:rPr>
        <w:t>Level 2 – the fair value is determined using inputs other than quoted prices that are observable for the financial asset or liability, either directly or indirectly; and</w:t>
      </w:r>
    </w:p>
    <w:p w14:paraId="50D5C913" w14:textId="77777777" w:rsidR="0097090C" w:rsidRPr="00036323" w:rsidRDefault="0097090C" w:rsidP="0097090C">
      <w:pPr>
        <w:pStyle w:val="ListParagraph"/>
        <w:numPr>
          <w:ilvl w:val="0"/>
          <w:numId w:val="23"/>
        </w:numPr>
        <w:rPr>
          <w:rFonts w:cs="Arial"/>
        </w:rPr>
      </w:pPr>
      <w:r w:rsidRPr="00036323">
        <w:rPr>
          <w:rFonts w:cs="Arial"/>
        </w:rPr>
        <w:t>Level 3 – the fair value is determined in accordance with generally accepted pricing models based on discounted cash flow analysis using unobservable market inputs.</w:t>
      </w:r>
    </w:p>
    <w:p w14:paraId="348FBC8A" w14:textId="77777777" w:rsidR="0097090C" w:rsidRPr="00E82E37" w:rsidRDefault="0097090C" w:rsidP="0097090C"/>
    <w:p w14:paraId="0940BD6C" w14:textId="77777777" w:rsidR="0097090C" w:rsidRPr="00E82E37" w:rsidRDefault="0097090C" w:rsidP="0097090C">
      <w:r w:rsidRPr="00E82E37">
        <w:t>The entity considers that the carrying amount of financial instrument assets and liabilities recorded in the financial statements to be a fair approximation of their fair values, because of the short term nature of the financial instruments and the expectation that they will be paid in full.</w:t>
      </w:r>
    </w:p>
    <w:p w14:paraId="13AF900F" w14:textId="77777777" w:rsidR="0097090C" w:rsidRDefault="0097090C" w:rsidP="0097090C">
      <w:pPr>
        <w:rPr>
          <w:rFonts w:cs="Arial"/>
        </w:rPr>
      </w:pPr>
    </w:p>
    <w:p w14:paraId="51364F4A" w14:textId="77777777" w:rsidR="0097090C" w:rsidRDefault="0097090C" w:rsidP="0097090C">
      <w:pPr>
        <w:rPr>
          <w:rFonts w:cs="Arial"/>
        </w:rPr>
      </w:pPr>
      <w:r w:rsidRPr="006722DD">
        <w:rPr>
          <w:rFonts w:cs="Arial"/>
        </w:rPr>
        <w:t>There have been no transfers between levels during the period.</w:t>
      </w:r>
    </w:p>
    <w:p w14:paraId="2B8C9A6F" w14:textId="77777777" w:rsidR="0097090C" w:rsidRDefault="0097090C" w:rsidP="0097090C">
      <w:pPr>
        <w:rPr>
          <w:rFonts w:cs="Arial"/>
        </w:rPr>
      </w:pPr>
    </w:p>
    <w:tbl>
      <w:tblPr>
        <w:tblW w:w="9240" w:type="dxa"/>
        <w:tblInd w:w="93" w:type="dxa"/>
        <w:tblLook w:val="04A0" w:firstRow="1" w:lastRow="0" w:firstColumn="1" w:lastColumn="0" w:noHBand="0" w:noVBand="1"/>
      </w:tblPr>
      <w:tblGrid>
        <w:gridCol w:w="3320"/>
        <w:gridCol w:w="2080"/>
        <w:gridCol w:w="1280"/>
        <w:gridCol w:w="1280"/>
        <w:gridCol w:w="1280"/>
      </w:tblGrid>
      <w:tr w:rsidR="0097090C" w:rsidRPr="00551BE7" w14:paraId="2600FAE1" w14:textId="77777777" w:rsidTr="0097090C">
        <w:trPr>
          <w:trHeight w:val="285"/>
        </w:trPr>
        <w:tc>
          <w:tcPr>
            <w:tcW w:w="5400" w:type="dxa"/>
            <w:gridSpan w:val="2"/>
            <w:tcBorders>
              <w:top w:val="nil"/>
              <w:left w:val="nil"/>
              <w:bottom w:val="nil"/>
              <w:right w:val="nil"/>
            </w:tcBorders>
            <w:shd w:val="clear" w:color="auto" w:fill="auto"/>
            <w:noWrap/>
            <w:vAlign w:val="center"/>
            <w:hideMark/>
          </w:tcPr>
          <w:p w14:paraId="4C0D51EA" w14:textId="77777777" w:rsidR="0097090C" w:rsidRPr="00551BE7" w:rsidRDefault="0097090C" w:rsidP="0097090C">
            <w:pPr>
              <w:rPr>
                <w:rFonts w:cs="Arial"/>
                <w:b/>
                <w:bCs/>
                <w:color w:val="000000"/>
                <w:sz w:val="18"/>
                <w:szCs w:val="18"/>
              </w:rPr>
            </w:pPr>
            <w:r w:rsidRPr="00551BE7">
              <w:rPr>
                <w:rFonts w:cs="Arial"/>
                <w:b/>
                <w:bCs/>
                <w:color w:val="000000"/>
                <w:sz w:val="18"/>
                <w:szCs w:val="18"/>
              </w:rPr>
              <w:t>Financial assets measured at fair value</w:t>
            </w:r>
          </w:p>
        </w:tc>
        <w:tc>
          <w:tcPr>
            <w:tcW w:w="1280" w:type="dxa"/>
            <w:tcBorders>
              <w:top w:val="nil"/>
              <w:left w:val="nil"/>
              <w:bottom w:val="nil"/>
              <w:right w:val="nil"/>
            </w:tcBorders>
            <w:shd w:val="clear" w:color="auto" w:fill="auto"/>
            <w:noWrap/>
            <w:vAlign w:val="center"/>
            <w:hideMark/>
          </w:tcPr>
          <w:p w14:paraId="360C63B0" w14:textId="77777777" w:rsidR="0097090C" w:rsidRPr="00551BE7" w:rsidRDefault="0097090C" w:rsidP="0097090C">
            <w:pPr>
              <w:rPr>
                <w:rFonts w:cs="Arial"/>
                <w:color w:val="000000"/>
                <w:szCs w:val="22"/>
              </w:rPr>
            </w:pPr>
          </w:p>
        </w:tc>
        <w:tc>
          <w:tcPr>
            <w:tcW w:w="1280" w:type="dxa"/>
            <w:tcBorders>
              <w:top w:val="nil"/>
              <w:left w:val="nil"/>
              <w:bottom w:val="nil"/>
              <w:right w:val="nil"/>
            </w:tcBorders>
            <w:shd w:val="clear" w:color="auto" w:fill="auto"/>
            <w:noWrap/>
            <w:vAlign w:val="center"/>
            <w:hideMark/>
          </w:tcPr>
          <w:p w14:paraId="14591D13" w14:textId="77777777" w:rsidR="0097090C" w:rsidRPr="00551BE7" w:rsidRDefault="0097090C" w:rsidP="0097090C">
            <w:pPr>
              <w:rPr>
                <w:rFonts w:cs="Arial"/>
                <w:color w:val="000000"/>
                <w:szCs w:val="22"/>
              </w:rPr>
            </w:pPr>
          </w:p>
        </w:tc>
        <w:tc>
          <w:tcPr>
            <w:tcW w:w="1280" w:type="dxa"/>
            <w:tcBorders>
              <w:top w:val="nil"/>
              <w:left w:val="nil"/>
              <w:bottom w:val="nil"/>
              <w:right w:val="nil"/>
            </w:tcBorders>
            <w:shd w:val="clear" w:color="auto" w:fill="auto"/>
            <w:noWrap/>
            <w:vAlign w:val="center"/>
            <w:hideMark/>
          </w:tcPr>
          <w:p w14:paraId="39BD15FA" w14:textId="77777777" w:rsidR="0097090C" w:rsidRPr="00551BE7" w:rsidRDefault="0097090C" w:rsidP="0097090C">
            <w:pPr>
              <w:rPr>
                <w:rFonts w:cs="Arial"/>
                <w:color w:val="000000"/>
                <w:szCs w:val="22"/>
              </w:rPr>
            </w:pPr>
          </w:p>
        </w:tc>
      </w:tr>
      <w:tr w:rsidR="0097090C" w:rsidRPr="00551BE7" w14:paraId="193C1322" w14:textId="77777777" w:rsidTr="0097090C">
        <w:trPr>
          <w:trHeight w:val="495"/>
        </w:trPr>
        <w:tc>
          <w:tcPr>
            <w:tcW w:w="3320" w:type="dxa"/>
            <w:tcBorders>
              <w:top w:val="single" w:sz="4" w:space="0" w:color="auto"/>
              <w:left w:val="nil"/>
              <w:bottom w:val="nil"/>
              <w:right w:val="nil"/>
            </w:tcBorders>
            <w:shd w:val="clear" w:color="auto" w:fill="auto"/>
            <w:vAlign w:val="bottom"/>
            <w:hideMark/>
          </w:tcPr>
          <w:p w14:paraId="0EA5422A" w14:textId="77777777" w:rsidR="0097090C" w:rsidRPr="00551BE7" w:rsidRDefault="0097090C" w:rsidP="0097090C">
            <w:pPr>
              <w:rPr>
                <w:rFonts w:cs="Arial"/>
                <w:b/>
                <w:bCs/>
                <w:color w:val="000000"/>
                <w:sz w:val="18"/>
                <w:szCs w:val="18"/>
              </w:rPr>
            </w:pPr>
            <w:r w:rsidRPr="00551BE7">
              <w:rPr>
                <w:rFonts w:cs="Arial"/>
                <w:b/>
                <w:bCs/>
                <w:color w:val="000000"/>
                <w:sz w:val="18"/>
                <w:szCs w:val="18"/>
              </w:rPr>
              <w:t>2016</w:t>
            </w:r>
          </w:p>
        </w:tc>
        <w:tc>
          <w:tcPr>
            <w:tcW w:w="2080" w:type="dxa"/>
            <w:tcBorders>
              <w:top w:val="single" w:sz="4" w:space="0" w:color="auto"/>
              <w:left w:val="nil"/>
              <w:bottom w:val="nil"/>
              <w:right w:val="nil"/>
            </w:tcBorders>
            <w:shd w:val="clear" w:color="000000" w:fill="D9D9D9"/>
            <w:noWrap/>
            <w:vAlign w:val="center"/>
            <w:hideMark/>
          </w:tcPr>
          <w:p w14:paraId="74E7F01D"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Carrying amount as at</w:t>
            </w:r>
          </w:p>
        </w:tc>
        <w:tc>
          <w:tcPr>
            <w:tcW w:w="3840" w:type="dxa"/>
            <w:gridSpan w:val="3"/>
            <w:tcBorders>
              <w:top w:val="single" w:sz="4" w:space="0" w:color="auto"/>
              <w:left w:val="nil"/>
              <w:bottom w:val="single" w:sz="4" w:space="0" w:color="auto"/>
              <w:right w:val="nil"/>
            </w:tcBorders>
            <w:shd w:val="clear" w:color="auto" w:fill="auto"/>
            <w:vAlign w:val="center"/>
            <w:hideMark/>
          </w:tcPr>
          <w:p w14:paraId="00F384D8"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Fair value measurement at end of reporting period using:</w:t>
            </w:r>
          </w:p>
        </w:tc>
      </w:tr>
      <w:tr w:rsidR="0097090C" w:rsidRPr="00551BE7" w14:paraId="2516B027" w14:textId="77777777" w:rsidTr="0097090C">
        <w:trPr>
          <w:trHeight w:val="270"/>
        </w:trPr>
        <w:tc>
          <w:tcPr>
            <w:tcW w:w="3320" w:type="dxa"/>
            <w:tcBorders>
              <w:top w:val="nil"/>
              <w:left w:val="nil"/>
              <w:bottom w:val="single" w:sz="4" w:space="0" w:color="auto"/>
              <w:right w:val="nil"/>
            </w:tcBorders>
            <w:shd w:val="clear" w:color="auto" w:fill="auto"/>
            <w:hideMark/>
          </w:tcPr>
          <w:p w14:paraId="30B6CFD4" w14:textId="77777777" w:rsidR="0097090C" w:rsidRPr="00551BE7" w:rsidRDefault="0097090C" w:rsidP="0097090C">
            <w:pPr>
              <w:rPr>
                <w:rFonts w:cs="Arial"/>
                <w:color w:val="000000"/>
                <w:sz w:val="18"/>
                <w:szCs w:val="18"/>
              </w:rPr>
            </w:pPr>
            <w:r w:rsidRPr="00551BE7">
              <w:rPr>
                <w:rFonts w:cs="Arial"/>
                <w:color w:val="000000"/>
                <w:sz w:val="18"/>
                <w:szCs w:val="18"/>
              </w:rPr>
              <w:t> </w:t>
            </w:r>
          </w:p>
        </w:tc>
        <w:tc>
          <w:tcPr>
            <w:tcW w:w="2080" w:type="dxa"/>
            <w:tcBorders>
              <w:top w:val="nil"/>
              <w:left w:val="nil"/>
              <w:bottom w:val="single" w:sz="4" w:space="0" w:color="auto"/>
              <w:right w:val="nil"/>
            </w:tcBorders>
            <w:shd w:val="clear" w:color="000000" w:fill="D9D9D9"/>
            <w:noWrap/>
            <w:vAlign w:val="center"/>
            <w:hideMark/>
          </w:tcPr>
          <w:p w14:paraId="704FBA23"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30-Jun-16</w:t>
            </w:r>
          </w:p>
        </w:tc>
        <w:tc>
          <w:tcPr>
            <w:tcW w:w="1280" w:type="dxa"/>
            <w:tcBorders>
              <w:top w:val="nil"/>
              <w:left w:val="nil"/>
              <w:bottom w:val="single" w:sz="4" w:space="0" w:color="auto"/>
              <w:right w:val="nil"/>
            </w:tcBorders>
            <w:shd w:val="clear" w:color="auto" w:fill="auto"/>
            <w:noWrap/>
            <w:vAlign w:val="center"/>
            <w:hideMark/>
          </w:tcPr>
          <w:p w14:paraId="3DA4C92A"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Level 1</w:t>
            </w:r>
            <w:r w:rsidRPr="00551BE7">
              <w:rPr>
                <w:rFonts w:cs="Arial"/>
                <w:color w:val="000000"/>
                <w:sz w:val="18"/>
                <w:szCs w:val="18"/>
                <w:vertAlign w:val="superscript"/>
              </w:rPr>
              <w:t>(i)</w:t>
            </w:r>
          </w:p>
        </w:tc>
        <w:tc>
          <w:tcPr>
            <w:tcW w:w="1280" w:type="dxa"/>
            <w:tcBorders>
              <w:top w:val="nil"/>
              <w:left w:val="nil"/>
              <w:bottom w:val="single" w:sz="4" w:space="0" w:color="auto"/>
              <w:right w:val="nil"/>
            </w:tcBorders>
            <w:shd w:val="clear" w:color="000000" w:fill="D9D9D9"/>
            <w:noWrap/>
            <w:vAlign w:val="center"/>
            <w:hideMark/>
          </w:tcPr>
          <w:p w14:paraId="75C61676"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Level 2</w:t>
            </w:r>
            <w:r w:rsidRPr="00551BE7">
              <w:rPr>
                <w:rFonts w:cs="Arial"/>
                <w:color w:val="000000"/>
                <w:sz w:val="18"/>
                <w:szCs w:val="18"/>
                <w:vertAlign w:val="superscript"/>
              </w:rPr>
              <w:t>(i)</w:t>
            </w:r>
          </w:p>
        </w:tc>
        <w:tc>
          <w:tcPr>
            <w:tcW w:w="1280" w:type="dxa"/>
            <w:tcBorders>
              <w:top w:val="nil"/>
              <w:left w:val="nil"/>
              <w:bottom w:val="single" w:sz="4" w:space="0" w:color="auto"/>
              <w:right w:val="nil"/>
            </w:tcBorders>
            <w:shd w:val="clear" w:color="auto" w:fill="auto"/>
            <w:noWrap/>
            <w:vAlign w:val="center"/>
            <w:hideMark/>
          </w:tcPr>
          <w:p w14:paraId="4B58B4A3"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Level 3</w:t>
            </w:r>
            <w:r w:rsidRPr="00551BE7">
              <w:rPr>
                <w:rFonts w:cs="Arial"/>
                <w:color w:val="000000"/>
                <w:sz w:val="18"/>
                <w:szCs w:val="18"/>
                <w:vertAlign w:val="superscript"/>
              </w:rPr>
              <w:t>(i)</w:t>
            </w:r>
          </w:p>
        </w:tc>
      </w:tr>
      <w:tr w:rsidR="0097090C" w:rsidRPr="00551BE7" w14:paraId="711A7751" w14:textId="77777777" w:rsidTr="0097090C">
        <w:trPr>
          <w:trHeight w:val="416"/>
        </w:trPr>
        <w:tc>
          <w:tcPr>
            <w:tcW w:w="3320" w:type="dxa"/>
            <w:tcBorders>
              <w:top w:val="nil"/>
              <w:left w:val="nil"/>
              <w:bottom w:val="nil"/>
              <w:right w:val="nil"/>
            </w:tcBorders>
            <w:shd w:val="clear" w:color="auto" w:fill="auto"/>
            <w:hideMark/>
          </w:tcPr>
          <w:p w14:paraId="727080F6" w14:textId="77777777" w:rsidR="0097090C" w:rsidRPr="00551BE7" w:rsidRDefault="0097090C" w:rsidP="0097090C">
            <w:pPr>
              <w:rPr>
                <w:rFonts w:cs="Arial"/>
                <w:color w:val="000000"/>
                <w:sz w:val="18"/>
                <w:szCs w:val="18"/>
              </w:rPr>
            </w:pPr>
          </w:p>
        </w:tc>
        <w:tc>
          <w:tcPr>
            <w:tcW w:w="2080" w:type="dxa"/>
            <w:tcBorders>
              <w:top w:val="nil"/>
              <w:left w:val="nil"/>
              <w:bottom w:val="nil"/>
              <w:right w:val="nil"/>
            </w:tcBorders>
            <w:shd w:val="clear" w:color="000000" w:fill="D9D9D9"/>
            <w:noWrap/>
            <w:vAlign w:val="center"/>
            <w:hideMark/>
          </w:tcPr>
          <w:p w14:paraId="6110516E"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 </w:t>
            </w:r>
          </w:p>
        </w:tc>
        <w:tc>
          <w:tcPr>
            <w:tcW w:w="1280" w:type="dxa"/>
            <w:tcBorders>
              <w:top w:val="nil"/>
              <w:left w:val="nil"/>
              <w:bottom w:val="nil"/>
              <w:right w:val="nil"/>
            </w:tcBorders>
            <w:shd w:val="clear" w:color="auto" w:fill="auto"/>
            <w:noWrap/>
            <w:vAlign w:val="center"/>
            <w:hideMark/>
          </w:tcPr>
          <w:p w14:paraId="4A10D0BD" w14:textId="77777777" w:rsidR="0097090C" w:rsidRPr="00551BE7" w:rsidRDefault="0097090C" w:rsidP="0097090C">
            <w:pPr>
              <w:jc w:val="center"/>
              <w:rPr>
                <w:rFonts w:cs="Arial"/>
                <w:i/>
                <w:iCs/>
                <w:color w:val="000000"/>
                <w:sz w:val="18"/>
                <w:szCs w:val="18"/>
              </w:rPr>
            </w:pPr>
          </w:p>
        </w:tc>
        <w:tc>
          <w:tcPr>
            <w:tcW w:w="1280" w:type="dxa"/>
            <w:tcBorders>
              <w:top w:val="nil"/>
              <w:left w:val="nil"/>
              <w:bottom w:val="nil"/>
              <w:right w:val="nil"/>
            </w:tcBorders>
            <w:shd w:val="clear" w:color="000000" w:fill="D9D9D9"/>
            <w:noWrap/>
            <w:vAlign w:val="center"/>
            <w:hideMark/>
          </w:tcPr>
          <w:p w14:paraId="0224AC18"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 </w:t>
            </w:r>
          </w:p>
        </w:tc>
        <w:tc>
          <w:tcPr>
            <w:tcW w:w="1280" w:type="dxa"/>
            <w:tcBorders>
              <w:top w:val="nil"/>
              <w:left w:val="nil"/>
              <w:bottom w:val="nil"/>
              <w:right w:val="nil"/>
            </w:tcBorders>
            <w:shd w:val="clear" w:color="auto" w:fill="auto"/>
            <w:noWrap/>
            <w:vAlign w:val="center"/>
            <w:hideMark/>
          </w:tcPr>
          <w:p w14:paraId="53EAC87E" w14:textId="77777777" w:rsidR="0097090C" w:rsidRPr="00551BE7" w:rsidRDefault="0097090C" w:rsidP="0097090C">
            <w:pPr>
              <w:jc w:val="center"/>
              <w:rPr>
                <w:rFonts w:cs="Arial"/>
                <w:i/>
                <w:iCs/>
                <w:color w:val="000000"/>
                <w:sz w:val="18"/>
                <w:szCs w:val="18"/>
              </w:rPr>
            </w:pPr>
          </w:p>
        </w:tc>
      </w:tr>
      <w:tr w:rsidR="0097090C" w:rsidRPr="00551BE7" w14:paraId="49DAF77A" w14:textId="77777777" w:rsidTr="0097090C">
        <w:trPr>
          <w:trHeight w:val="480"/>
        </w:trPr>
        <w:tc>
          <w:tcPr>
            <w:tcW w:w="3320" w:type="dxa"/>
            <w:tcBorders>
              <w:top w:val="nil"/>
              <w:left w:val="nil"/>
              <w:bottom w:val="nil"/>
              <w:right w:val="nil"/>
            </w:tcBorders>
            <w:shd w:val="clear" w:color="auto" w:fill="auto"/>
            <w:vAlign w:val="center"/>
            <w:hideMark/>
          </w:tcPr>
          <w:p w14:paraId="1F6064B3" w14:textId="77777777" w:rsidR="0097090C" w:rsidRPr="00551BE7" w:rsidRDefault="0097090C" w:rsidP="0097090C">
            <w:pPr>
              <w:rPr>
                <w:rFonts w:cs="Arial"/>
                <w:color w:val="000000"/>
                <w:sz w:val="18"/>
                <w:szCs w:val="18"/>
              </w:rPr>
            </w:pPr>
            <w:r w:rsidRPr="00551BE7">
              <w:rPr>
                <w:rFonts w:cs="Arial"/>
                <w:color w:val="000000"/>
                <w:sz w:val="18"/>
                <w:szCs w:val="18"/>
              </w:rPr>
              <w:t>Financial assets at fair value through profit/loss:</w:t>
            </w:r>
          </w:p>
        </w:tc>
        <w:tc>
          <w:tcPr>
            <w:tcW w:w="2080" w:type="dxa"/>
            <w:tcBorders>
              <w:top w:val="nil"/>
              <w:left w:val="nil"/>
              <w:bottom w:val="nil"/>
              <w:right w:val="nil"/>
            </w:tcBorders>
            <w:shd w:val="clear" w:color="000000" w:fill="D9D9D9"/>
            <w:noWrap/>
            <w:vAlign w:val="center"/>
            <w:hideMark/>
          </w:tcPr>
          <w:p w14:paraId="5003EDAF" w14:textId="77777777" w:rsidR="0097090C" w:rsidRPr="00551BE7" w:rsidRDefault="0097090C" w:rsidP="0097090C">
            <w:pPr>
              <w:jc w:val="right"/>
              <w:rPr>
                <w:rFonts w:cs="Arial"/>
                <w:color w:val="000000"/>
                <w:sz w:val="18"/>
                <w:szCs w:val="18"/>
              </w:rPr>
            </w:pPr>
            <w:r w:rsidRPr="00551BE7">
              <w:rPr>
                <w:rFonts w:cs="Arial"/>
                <w:color w:val="000000"/>
                <w:sz w:val="18"/>
                <w:szCs w:val="18"/>
              </w:rPr>
              <w:t> </w:t>
            </w:r>
          </w:p>
        </w:tc>
        <w:tc>
          <w:tcPr>
            <w:tcW w:w="1280" w:type="dxa"/>
            <w:tcBorders>
              <w:top w:val="nil"/>
              <w:left w:val="nil"/>
              <w:bottom w:val="nil"/>
              <w:right w:val="nil"/>
            </w:tcBorders>
            <w:shd w:val="clear" w:color="auto" w:fill="auto"/>
            <w:noWrap/>
            <w:vAlign w:val="center"/>
            <w:hideMark/>
          </w:tcPr>
          <w:p w14:paraId="41C2376E" w14:textId="77777777" w:rsidR="0097090C" w:rsidRPr="00551BE7" w:rsidRDefault="0097090C" w:rsidP="0097090C">
            <w:pPr>
              <w:jc w:val="right"/>
              <w:rPr>
                <w:rFonts w:cs="Arial"/>
                <w:color w:val="000000"/>
                <w:sz w:val="18"/>
                <w:szCs w:val="18"/>
              </w:rPr>
            </w:pPr>
          </w:p>
        </w:tc>
        <w:tc>
          <w:tcPr>
            <w:tcW w:w="1280" w:type="dxa"/>
            <w:tcBorders>
              <w:top w:val="nil"/>
              <w:left w:val="nil"/>
              <w:bottom w:val="nil"/>
              <w:right w:val="nil"/>
            </w:tcBorders>
            <w:shd w:val="clear" w:color="000000" w:fill="D9D9D9"/>
            <w:noWrap/>
            <w:vAlign w:val="center"/>
            <w:hideMark/>
          </w:tcPr>
          <w:p w14:paraId="52D53D2B" w14:textId="77777777" w:rsidR="0097090C" w:rsidRPr="00551BE7" w:rsidRDefault="0097090C" w:rsidP="0097090C">
            <w:pPr>
              <w:jc w:val="right"/>
              <w:rPr>
                <w:rFonts w:cs="Arial"/>
                <w:color w:val="000000"/>
                <w:sz w:val="18"/>
                <w:szCs w:val="18"/>
              </w:rPr>
            </w:pPr>
            <w:r w:rsidRPr="00551BE7">
              <w:rPr>
                <w:rFonts w:cs="Arial"/>
                <w:color w:val="000000"/>
                <w:sz w:val="18"/>
                <w:szCs w:val="18"/>
              </w:rPr>
              <w:t> </w:t>
            </w:r>
          </w:p>
        </w:tc>
        <w:tc>
          <w:tcPr>
            <w:tcW w:w="1280" w:type="dxa"/>
            <w:tcBorders>
              <w:top w:val="nil"/>
              <w:left w:val="nil"/>
              <w:bottom w:val="nil"/>
              <w:right w:val="nil"/>
            </w:tcBorders>
            <w:shd w:val="clear" w:color="auto" w:fill="auto"/>
            <w:noWrap/>
            <w:vAlign w:val="center"/>
            <w:hideMark/>
          </w:tcPr>
          <w:p w14:paraId="59987C07" w14:textId="77777777" w:rsidR="0097090C" w:rsidRPr="00551BE7" w:rsidRDefault="0097090C" w:rsidP="0097090C">
            <w:pPr>
              <w:jc w:val="right"/>
              <w:rPr>
                <w:rFonts w:cs="Arial"/>
                <w:color w:val="000000"/>
                <w:sz w:val="18"/>
                <w:szCs w:val="18"/>
              </w:rPr>
            </w:pPr>
          </w:p>
        </w:tc>
      </w:tr>
      <w:tr w:rsidR="0097090C" w:rsidRPr="00551BE7" w14:paraId="00DDAE9A" w14:textId="77777777" w:rsidTr="0097090C">
        <w:trPr>
          <w:trHeight w:val="255"/>
        </w:trPr>
        <w:tc>
          <w:tcPr>
            <w:tcW w:w="3320" w:type="dxa"/>
            <w:tcBorders>
              <w:top w:val="nil"/>
              <w:left w:val="nil"/>
              <w:bottom w:val="nil"/>
              <w:right w:val="nil"/>
            </w:tcBorders>
            <w:shd w:val="clear" w:color="auto" w:fill="auto"/>
            <w:vAlign w:val="center"/>
            <w:hideMark/>
          </w:tcPr>
          <w:p w14:paraId="7054E27A" w14:textId="77777777" w:rsidR="0097090C" w:rsidRPr="00551BE7" w:rsidRDefault="0097090C" w:rsidP="0097090C">
            <w:pPr>
              <w:ind w:firstLineChars="100" w:firstLine="180"/>
              <w:rPr>
                <w:rFonts w:cs="Arial"/>
                <w:color w:val="000000"/>
                <w:sz w:val="18"/>
                <w:szCs w:val="18"/>
              </w:rPr>
            </w:pPr>
            <w:r w:rsidRPr="00551BE7">
              <w:rPr>
                <w:rFonts w:cs="Arial"/>
                <w:color w:val="000000"/>
                <w:sz w:val="18"/>
                <w:szCs w:val="18"/>
              </w:rPr>
              <w:t>Foreign exchange forward contract</w:t>
            </w:r>
          </w:p>
        </w:tc>
        <w:tc>
          <w:tcPr>
            <w:tcW w:w="2080" w:type="dxa"/>
            <w:tcBorders>
              <w:top w:val="nil"/>
              <w:left w:val="nil"/>
              <w:bottom w:val="nil"/>
              <w:right w:val="nil"/>
            </w:tcBorders>
            <w:shd w:val="clear" w:color="000000" w:fill="D9D9D9"/>
            <w:noWrap/>
            <w:vAlign w:val="center"/>
            <w:hideMark/>
          </w:tcPr>
          <w:p w14:paraId="03815663"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nil"/>
              <w:left w:val="nil"/>
              <w:bottom w:val="nil"/>
              <w:right w:val="nil"/>
            </w:tcBorders>
            <w:shd w:val="clear" w:color="auto" w:fill="auto"/>
            <w:noWrap/>
            <w:vAlign w:val="center"/>
            <w:hideMark/>
          </w:tcPr>
          <w:p w14:paraId="13DBD561"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nil"/>
              <w:left w:val="nil"/>
              <w:bottom w:val="nil"/>
              <w:right w:val="nil"/>
            </w:tcBorders>
            <w:shd w:val="clear" w:color="000000" w:fill="D9D9D9"/>
            <w:noWrap/>
            <w:vAlign w:val="center"/>
            <w:hideMark/>
          </w:tcPr>
          <w:p w14:paraId="7395B3AA"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nil"/>
              <w:left w:val="nil"/>
              <w:bottom w:val="nil"/>
              <w:right w:val="nil"/>
            </w:tcBorders>
            <w:shd w:val="clear" w:color="auto" w:fill="auto"/>
            <w:noWrap/>
            <w:vAlign w:val="center"/>
            <w:hideMark/>
          </w:tcPr>
          <w:p w14:paraId="511A8142"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r>
      <w:tr w:rsidR="0097090C" w:rsidRPr="00551BE7" w14:paraId="1E1E7859" w14:textId="77777777" w:rsidTr="0097090C">
        <w:trPr>
          <w:trHeight w:val="255"/>
        </w:trPr>
        <w:tc>
          <w:tcPr>
            <w:tcW w:w="3320" w:type="dxa"/>
            <w:tcBorders>
              <w:top w:val="single" w:sz="4" w:space="0" w:color="auto"/>
              <w:left w:val="nil"/>
              <w:bottom w:val="single" w:sz="4" w:space="0" w:color="auto"/>
              <w:right w:val="nil"/>
            </w:tcBorders>
            <w:shd w:val="clear" w:color="auto" w:fill="auto"/>
            <w:vAlign w:val="center"/>
            <w:hideMark/>
          </w:tcPr>
          <w:p w14:paraId="537FF374" w14:textId="77777777" w:rsidR="0097090C" w:rsidRPr="00551BE7" w:rsidRDefault="0097090C" w:rsidP="0097090C">
            <w:pPr>
              <w:ind w:firstLineChars="100" w:firstLine="180"/>
              <w:rPr>
                <w:rFonts w:cs="Arial"/>
                <w:color w:val="000000"/>
                <w:sz w:val="18"/>
                <w:szCs w:val="18"/>
              </w:rPr>
            </w:pPr>
            <w:r w:rsidRPr="00551BE7">
              <w:rPr>
                <w:rFonts w:cs="Arial"/>
                <w:color w:val="000000"/>
                <w:sz w:val="18"/>
                <w:szCs w:val="18"/>
              </w:rPr>
              <w:t>Total</w:t>
            </w:r>
          </w:p>
        </w:tc>
        <w:tc>
          <w:tcPr>
            <w:tcW w:w="2080" w:type="dxa"/>
            <w:tcBorders>
              <w:top w:val="single" w:sz="4" w:space="0" w:color="auto"/>
              <w:left w:val="nil"/>
              <w:bottom w:val="single" w:sz="4" w:space="0" w:color="auto"/>
              <w:right w:val="nil"/>
            </w:tcBorders>
            <w:shd w:val="clear" w:color="000000" w:fill="D9D9D9"/>
            <w:noWrap/>
            <w:vAlign w:val="center"/>
            <w:hideMark/>
          </w:tcPr>
          <w:p w14:paraId="6EAB9B1B"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single" w:sz="4" w:space="0" w:color="auto"/>
              <w:left w:val="nil"/>
              <w:bottom w:val="single" w:sz="4" w:space="0" w:color="auto"/>
              <w:right w:val="nil"/>
            </w:tcBorders>
            <w:shd w:val="clear" w:color="auto" w:fill="auto"/>
            <w:noWrap/>
            <w:vAlign w:val="center"/>
            <w:hideMark/>
          </w:tcPr>
          <w:p w14:paraId="486A4AAD"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single" w:sz="4" w:space="0" w:color="auto"/>
              <w:left w:val="nil"/>
              <w:bottom w:val="single" w:sz="4" w:space="0" w:color="auto"/>
              <w:right w:val="nil"/>
            </w:tcBorders>
            <w:shd w:val="clear" w:color="000000" w:fill="D9D9D9"/>
            <w:noWrap/>
            <w:vAlign w:val="center"/>
            <w:hideMark/>
          </w:tcPr>
          <w:p w14:paraId="30BFB008"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single" w:sz="4" w:space="0" w:color="auto"/>
              <w:left w:val="nil"/>
              <w:bottom w:val="single" w:sz="4" w:space="0" w:color="auto"/>
              <w:right w:val="nil"/>
            </w:tcBorders>
            <w:shd w:val="clear" w:color="auto" w:fill="auto"/>
            <w:noWrap/>
            <w:vAlign w:val="center"/>
            <w:hideMark/>
          </w:tcPr>
          <w:p w14:paraId="44D0ECEF"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r>
      <w:tr w:rsidR="0097090C" w:rsidRPr="00551BE7" w14:paraId="17601F84" w14:textId="77777777" w:rsidTr="0097090C">
        <w:trPr>
          <w:trHeight w:val="255"/>
        </w:trPr>
        <w:tc>
          <w:tcPr>
            <w:tcW w:w="3320" w:type="dxa"/>
            <w:tcBorders>
              <w:top w:val="nil"/>
              <w:left w:val="nil"/>
              <w:bottom w:val="nil"/>
              <w:right w:val="nil"/>
            </w:tcBorders>
            <w:shd w:val="clear" w:color="auto" w:fill="auto"/>
            <w:vAlign w:val="center"/>
            <w:hideMark/>
          </w:tcPr>
          <w:p w14:paraId="11FBBAE9" w14:textId="77777777" w:rsidR="0097090C" w:rsidRPr="00551BE7" w:rsidRDefault="0097090C" w:rsidP="0097090C">
            <w:pPr>
              <w:ind w:firstLineChars="100" w:firstLine="180"/>
              <w:rPr>
                <w:rFonts w:cs="Arial"/>
                <w:color w:val="000000"/>
                <w:sz w:val="18"/>
                <w:szCs w:val="18"/>
              </w:rPr>
            </w:pPr>
          </w:p>
        </w:tc>
        <w:tc>
          <w:tcPr>
            <w:tcW w:w="2080" w:type="dxa"/>
            <w:tcBorders>
              <w:top w:val="nil"/>
              <w:left w:val="nil"/>
              <w:bottom w:val="nil"/>
              <w:right w:val="nil"/>
            </w:tcBorders>
            <w:shd w:val="clear" w:color="auto" w:fill="auto"/>
            <w:noWrap/>
            <w:vAlign w:val="center"/>
            <w:hideMark/>
          </w:tcPr>
          <w:p w14:paraId="013E488D" w14:textId="77777777" w:rsidR="0097090C" w:rsidRPr="00551BE7" w:rsidRDefault="0097090C" w:rsidP="0097090C">
            <w:pPr>
              <w:jc w:val="right"/>
              <w:rPr>
                <w:rFonts w:cs="Arial"/>
                <w:color w:val="000000"/>
                <w:sz w:val="18"/>
                <w:szCs w:val="18"/>
              </w:rPr>
            </w:pPr>
          </w:p>
        </w:tc>
        <w:tc>
          <w:tcPr>
            <w:tcW w:w="1280" w:type="dxa"/>
            <w:tcBorders>
              <w:top w:val="nil"/>
              <w:left w:val="nil"/>
              <w:bottom w:val="nil"/>
              <w:right w:val="nil"/>
            </w:tcBorders>
            <w:shd w:val="clear" w:color="auto" w:fill="auto"/>
            <w:noWrap/>
            <w:vAlign w:val="center"/>
            <w:hideMark/>
          </w:tcPr>
          <w:p w14:paraId="4D71FCC6" w14:textId="77777777" w:rsidR="0097090C" w:rsidRPr="00551BE7" w:rsidRDefault="0097090C" w:rsidP="0097090C">
            <w:pPr>
              <w:jc w:val="right"/>
              <w:rPr>
                <w:rFonts w:cs="Arial"/>
                <w:color w:val="000000"/>
                <w:sz w:val="18"/>
                <w:szCs w:val="18"/>
              </w:rPr>
            </w:pPr>
          </w:p>
        </w:tc>
        <w:tc>
          <w:tcPr>
            <w:tcW w:w="1280" w:type="dxa"/>
            <w:tcBorders>
              <w:top w:val="nil"/>
              <w:left w:val="nil"/>
              <w:bottom w:val="nil"/>
              <w:right w:val="nil"/>
            </w:tcBorders>
            <w:shd w:val="clear" w:color="auto" w:fill="auto"/>
            <w:noWrap/>
            <w:vAlign w:val="center"/>
            <w:hideMark/>
          </w:tcPr>
          <w:p w14:paraId="28FB1093" w14:textId="77777777" w:rsidR="0097090C" w:rsidRPr="00551BE7" w:rsidRDefault="0097090C" w:rsidP="0097090C">
            <w:pPr>
              <w:jc w:val="right"/>
              <w:rPr>
                <w:rFonts w:cs="Arial"/>
                <w:color w:val="000000"/>
                <w:sz w:val="18"/>
                <w:szCs w:val="18"/>
              </w:rPr>
            </w:pPr>
          </w:p>
        </w:tc>
        <w:tc>
          <w:tcPr>
            <w:tcW w:w="1280" w:type="dxa"/>
            <w:tcBorders>
              <w:top w:val="nil"/>
              <w:left w:val="nil"/>
              <w:bottom w:val="nil"/>
              <w:right w:val="nil"/>
            </w:tcBorders>
            <w:shd w:val="clear" w:color="auto" w:fill="auto"/>
            <w:noWrap/>
            <w:vAlign w:val="center"/>
            <w:hideMark/>
          </w:tcPr>
          <w:p w14:paraId="42B791C6" w14:textId="77777777" w:rsidR="0097090C" w:rsidRPr="00551BE7" w:rsidRDefault="0097090C" w:rsidP="0097090C">
            <w:pPr>
              <w:jc w:val="right"/>
              <w:rPr>
                <w:rFonts w:cs="Arial"/>
                <w:color w:val="000000"/>
                <w:sz w:val="18"/>
                <w:szCs w:val="18"/>
              </w:rPr>
            </w:pPr>
          </w:p>
        </w:tc>
      </w:tr>
      <w:tr w:rsidR="0097090C" w:rsidRPr="00551BE7" w14:paraId="75F2CEB2" w14:textId="77777777" w:rsidTr="0097090C">
        <w:trPr>
          <w:trHeight w:val="540"/>
        </w:trPr>
        <w:tc>
          <w:tcPr>
            <w:tcW w:w="3320" w:type="dxa"/>
            <w:tcBorders>
              <w:top w:val="single" w:sz="4" w:space="0" w:color="auto"/>
              <w:left w:val="nil"/>
              <w:bottom w:val="nil"/>
              <w:right w:val="nil"/>
            </w:tcBorders>
            <w:shd w:val="clear" w:color="auto" w:fill="auto"/>
            <w:vAlign w:val="bottom"/>
            <w:hideMark/>
          </w:tcPr>
          <w:p w14:paraId="5DA5C279" w14:textId="77777777" w:rsidR="0097090C" w:rsidRPr="00551BE7" w:rsidRDefault="0097090C" w:rsidP="0097090C">
            <w:pPr>
              <w:rPr>
                <w:rFonts w:cs="Arial"/>
                <w:b/>
                <w:bCs/>
                <w:color w:val="000000"/>
                <w:sz w:val="18"/>
                <w:szCs w:val="18"/>
              </w:rPr>
            </w:pPr>
            <w:r w:rsidRPr="00551BE7">
              <w:rPr>
                <w:rFonts w:cs="Arial"/>
                <w:b/>
                <w:bCs/>
                <w:color w:val="000000"/>
                <w:sz w:val="18"/>
                <w:szCs w:val="18"/>
              </w:rPr>
              <w:t>2015</w:t>
            </w:r>
          </w:p>
        </w:tc>
        <w:tc>
          <w:tcPr>
            <w:tcW w:w="2080" w:type="dxa"/>
            <w:tcBorders>
              <w:top w:val="single" w:sz="4" w:space="0" w:color="auto"/>
              <w:left w:val="nil"/>
              <w:bottom w:val="nil"/>
              <w:right w:val="nil"/>
            </w:tcBorders>
            <w:shd w:val="clear" w:color="000000" w:fill="D9D9D9"/>
            <w:noWrap/>
            <w:vAlign w:val="center"/>
            <w:hideMark/>
          </w:tcPr>
          <w:p w14:paraId="3B228CA6"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Carrying amount as at</w:t>
            </w:r>
          </w:p>
        </w:tc>
        <w:tc>
          <w:tcPr>
            <w:tcW w:w="3840" w:type="dxa"/>
            <w:gridSpan w:val="3"/>
            <w:tcBorders>
              <w:top w:val="single" w:sz="4" w:space="0" w:color="auto"/>
              <w:left w:val="nil"/>
              <w:bottom w:val="single" w:sz="4" w:space="0" w:color="auto"/>
              <w:right w:val="nil"/>
            </w:tcBorders>
            <w:shd w:val="clear" w:color="auto" w:fill="auto"/>
            <w:vAlign w:val="center"/>
            <w:hideMark/>
          </w:tcPr>
          <w:p w14:paraId="377A9D56"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Fair value measurement at end of reporting period using:</w:t>
            </w:r>
          </w:p>
        </w:tc>
      </w:tr>
      <w:tr w:rsidR="0097090C" w:rsidRPr="00551BE7" w14:paraId="6AA1E9A1" w14:textId="77777777" w:rsidTr="0097090C">
        <w:trPr>
          <w:trHeight w:val="270"/>
        </w:trPr>
        <w:tc>
          <w:tcPr>
            <w:tcW w:w="3320" w:type="dxa"/>
            <w:tcBorders>
              <w:top w:val="nil"/>
              <w:left w:val="nil"/>
              <w:bottom w:val="single" w:sz="4" w:space="0" w:color="auto"/>
              <w:right w:val="nil"/>
            </w:tcBorders>
            <w:shd w:val="clear" w:color="auto" w:fill="auto"/>
            <w:hideMark/>
          </w:tcPr>
          <w:p w14:paraId="7EF0766D" w14:textId="77777777" w:rsidR="0097090C" w:rsidRPr="00551BE7" w:rsidRDefault="0097090C" w:rsidP="0097090C">
            <w:pPr>
              <w:rPr>
                <w:rFonts w:cs="Arial"/>
                <w:color w:val="000000"/>
                <w:sz w:val="18"/>
                <w:szCs w:val="18"/>
              </w:rPr>
            </w:pPr>
            <w:r w:rsidRPr="00551BE7">
              <w:rPr>
                <w:rFonts w:cs="Arial"/>
                <w:color w:val="000000"/>
                <w:sz w:val="18"/>
                <w:szCs w:val="18"/>
              </w:rPr>
              <w:t> </w:t>
            </w:r>
          </w:p>
        </w:tc>
        <w:tc>
          <w:tcPr>
            <w:tcW w:w="2080" w:type="dxa"/>
            <w:tcBorders>
              <w:top w:val="nil"/>
              <w:left w:val="nil"/>
              <w:bottom w:val="single" w:sz="4" w:space="0" w:color="auto"/>
              <w:right w:val="nil"/>
            </w:tcBorders>
            <w:shd w:val="clear" w:color="000000" w:fill="D9D9D9"/>
            <w:noWrap/>
            <w:vAlign w:val="center"/>
            <w:hideMark/>
          </w:tcPr>
          <w:p w14:paraId="69FC25DC"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30-Jun-15</w:t>
            </w:r>
          </w:p>
        </w:tc>
        <w:tc>
          <w:tcPr>
            <w:tcW w:w="1280" w:type="dxa"/>
            <w:tcBorders>
              <w:top w:val="nil"/>
              <w:left w:val="nil"/>
              <w:bottom w:val="single" w:sz="4" w:space="0" w:color="auto"/>
              <w:right w:val="nil"/>
            </w:tcBorders>
            <w:shd w:val="clear" w:color="auto" w:fill="auto"/>
            <w:noWrap/>
            <w:vAlign w:val="center"/>
            <w:hideMark/>
          </w:tcPr>
          <w:p w14:paraId="09456947"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Level 1</w:t>
            </w:r>
            <w:r w:rsidRPr="00551BE7">
              <w:rPr>
                <w:rFonts w:cs="Arial"/>
                <w:color w:val="000000"/>
                <w:sz w:val="18"/>
                <w:szCs w:val="18"/>
                <w:vertAlign w:val="superscript"/>
              </w:rPr>
              <w:t>(i)</w:t>
            </w:r>
          </w:p>
        </w:tc>
        <w:tc>
          <w:tcPr>
            <w:tcW w:w="1280" w:type="dxa"/>
            <w:tcBorders>
              <w:top w:val="nil"/>
              <w:left w:val="nil"/>
              <w:bottom w:val="single" w:sz="4" w:space="0" w:color="auto"/>
              <w:right w:val="nil"/>
            </w:tcBorders>
            <w:shd w:val="clear" w:color="000000" w:fill="D9D9D9"/>
            <w:noWrap/>
            <w:vAlign w:val="center"/>
            <w:hideMark/>
          </w:tcPr>
          <w:p w14:paraId="46E4820A"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Level 2</w:t>
            </w:r>
            <w:r w:rsidRPr="00551BE7">
              <w:rPr>
                <w:rFonts w:cs="Arial"/>
                <w:color w:val="000000"/>
                <w:sz w:val="18"/>
                <w:szCs w:val="18"/>
                <w:vertAlign w:val="superscript"/>
              </w:rPr>
              <w:t>(i)</w:t>
            </w:r>
          </w:p>
        </w:tc>
        <w:tc>
          <w:tcPr>
            <w:tcW w:w="1280" w:type="dxa"/>
            <w:tcBorders>
              <w:top w:val="nil"/>
              <w:left w:val="nil"/>
              <w:bottom w:val="single" w:sz="4" w:space="0" w:color="auto"/>
              <w:right w:val="nil"/>
            </w:tcBorders>
            <w:shd w:val="clear" w:color="auto" w:fill="auto"/>
            <w:noWrap/>
            <w:vAlign w:val="center"/>
            <w:hideMark/>
          </w:tcPr>
          <w:p w14:paraId="475D8AC8"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Level 3</w:t>
            </w:r>
            <w:r w:rsidRPr="00551BE7">
              <w:rPr>
                <w:rFonts w:cs="Arial"/>
                <w:color w:val="000000"/>
                <w:sz w:val="18"/>
                <w:szCs w:val="18"/>
                <w:vertAlign w:val="superscript"/>
              </w:rPr>
              <w:t>(i)</w:t>
            </w:r>
          </w:p>
        </w:tc>
      </w:tr>
      <w:tr w:rsidR="0097090C" w:rsidRPr="00551BE7" w14:paraId="2F854241" w14:textId="77777777" w:rsidTr="0097090C">
        <w:trPr>
          <w:trHeight w:val="255"/>
        </w:trPr>
        <w:tc>
          <w:tcPr>
            <w:tcW w:w="3320" w:type="dxa"/>
            <w:tcBorders>
              <w:top w:val="nil"/>
              <w:left w:val="nil"/>
              <w:bottom w:val="nil"/>
              <w:right w:val="nil"/>
            </w:tcBorders>
            <w:shd w:val="clear" w:color="auto" w:fill="auto"/>
            <w:hideMark/>
          </w:tcPr>
          <w:p w14:paraId="608CB08F" w14:textId="77777777" w:rsidR="0097090C" w:rsidRPr="00551BE7" w:rsidRDefault="0097090C" w:rsidP="0097090C">
            <w:pPr>
              <w:rPr>
                <w:rFonts w:cs="Arial"/>
                <w:color w:val="000000"/>
                <w:sz w:val="18"/>
                <w:szCs w:val="18"/>
              </w:rPr>
            </w:pPr>
          </w:p>
        </w:tc>
        <w:tc>
          <w:tcPr>
            <w:tcW w:w="2080" w:type="dxa"/>
            <w:tcBorders>
              <w:top w:val="nil"/>
              <w:left w:val="nil"/>
              <w:bottom w:val="nil"/>
              <w:right w:val="nil"/>
            </w:tcBorders>
            <w:shd w:val="clear" w:color="000000" w:fill="D9D9D9"/>
            <w:noWrap/>
            <w:vAlign w:val="center"/>
            <w:hideMark/>
          </w:tcPr>
          <w:p w14:paraId="105E4D72"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 </w:t>
            </w:r>
          </w:p>
        </w:tc>
        <w:tc>
          <w:tcPr>
            <w:tcW w:w="1280" w:type="dxa"/>
            <w:tcBorders>
              <w:top w:val="nil"/>
              <w:left w:val="nil"/>
              <w:bottom w:val="nil"/>
              <w:right w:val="nil"/>
            </w:tcBorders>
            <w:shd w:val="clear" w:color="auto" w:fill="auto"/>
            <w:noWrap/>
            <w:vAlign w:val="center"/>
            <w:hideMark/>
          </w:tcPr>
          <w:p w14:paraId="0CCDCCAF" w14:textId="77777777" w:rsidR="0097090C" w:rsidRPr="00551BE7" w:rsidRDefault="0097090C" w:rsidP="0097090C">
            <w:pPr>
              <w:jc w:val="center"/>
              <w:rPr>
                <w:rFonts w:cs="Arial"/>
                <w:i/>
                <w:iCs/>
                <w:color w:val="000000"/>
                <w:sz w:val="18"/>
                <w:szCs w:val="18"/>
              </w:rPr>
            </w:pPr>
          </w:p>
        </w:tc>
        <w:tc>
          <w:tcPr>
            <w:tcW w:w="1280" w:type="dxa"/>
            <w:tcBorders>
              <w:top w:val="nil"/>
              <w:left w:val="nil"/>
              <w:bottom w:val="nil"/>
              <w:right w:val="nil"/>
            </w:tcBorders>
            <w:shd w:val="clear" w:color="000000" w:fill="D9D9D9"/>
            <w:noWrap/>
            <w:vAlign w:val="center"/>
            <w:hideMark/>
          </w:tcPr>
          <w:p w14:paraId="4E3206E0" w14:textId="77777777" w:rsidR="0097090C" w:rsidRPr="00551BE7" w:rsidRDefault="0097090C" w:rsidP="0097090C">
            <w:pPr>
              <w:jc w:val="center"/>
              <w:rPr>
                <w:rFonts w:cs="Arial"/>
                <w:i/>
                <w:iCs/>
                <w:color w:val="000000"/>
                <w:sz w:val="18"/>
                <w:szCs w:val="18"/>
              </w:rPr>
            </w:pPr>
            <w:r w:rsidRPr="00551BE7">
              <w:rPr>
                <w:rFonts w:cs="Arial"/>
                <w:i/>
                <w:iCs/>
                <w:color w:val="000000"/>
                <w:sz w:val="18"/>
                <w:szCs w:val="18"/>
              </w:rPr>
              <w:t> </w:t>
            </w:r>
          </w:p>
        </w:tc>
        <w:tc>
          <w:tcPr>
            <w:tcW w:w="1280" w:type="dxa"/>
            <w:tcBorders>
              <w:top w:val="nil"/>
              <w:left w:val="nil"/>
              <w:bottom w:val="nil"/>
              <w:right w:val="nil"/>
            </w:tcBorders>
            <w:shd w:val="clear" w:color="auto" w:fill="auto"/>
            <w:noWrap/>
            <w:vAlign w:val="center"/>
            <w:hideMark/>
          </w:tcPr>
          <w:p w14:paraId="703EAD24" w14:textId="77777777" w:rsidR="0097090C" w:rsidRPr="00551BE7" w:rsidRDefault="0097090C" w:rsidP="0097090C">
            <w:pPr>
              <w:jc w:val="center"/>
              <w:rPr>
                <w:rFonts w:cs="Arial"/>
                <w:i/>
                <w:iCs/>
                <w:color w:val="000000"/>
                <w:sz w:val="18"/>
                <w:szCs w:val="18"/>
              </w:rPr>
            </w:pPr>
          </w:p>
        </w:tc>
      </w:tr>
      <w:tr w:rsidR="0097090C" w:rsidRPr="00551BE7" w14:paraId="49246576" w14:textId="77777777" w:rsidTr="0097090C">
        <w:trPr>
          <w:trHeight w:val="480"/>
        </w:trPr>
        <w:tc>
          <w:tcPr>
            <w:tcW w:w="3320" w:type="dxa"/>
            <w:tcBorders>
              <w:top w:val="nil"/>
              <w:left w:val="nil"/>
              <w:bottom w:val="nil"/>
              <w:right w:val="nil"/>
            </w:tcBorders>
            <w:shd w:val="clear" w:color="auto" w:fill="auto"/>
            <w:vAlign w:val="center"/>
            <w:hideMark/>
          </w:tcPr>
          <w:p w14:paraId="264B7AFA" w14:textId="77777777" w:rsidR="0097090C" w:rsidRPr="00551BE7" w:rsidRDefault="0097090C" w:rsidP="0097090C">
            <w:pPr>
              <w:rPr>
                <w:rFonts w:cs="Arial"/>
                <w:color w:val="000000"/>
                <w:sz w:val="18"/>
                <w:szCs w:val="18"/>
              </w:rPr>
            </w:pPr>
            <w:r w:rsidRPr="00551BE7">
              <w:rPr>
                <w:rFonts w:cs="Arial"/>
                <w:color w:val="000000"/>
                <w:sz w:val="18"/>
                <w:szCs w:val="18"/>
              </w:rPr>
              <w:t>Financial assets at fair value through profit/loss:</w:t>
            </w:r>
          </w:p>
        </w:tc>
        <w:tc>
          <w:tcPr>
            <w:tcW w:w="2080" w:type="dxa"/>
            <w:tcBorders>
              <w:top w:val="nil"/>
              <w:left w:val="nil"/>
              <w:bottom w:val="nil"/>
              <w:right w:val="nil"/>
            </w:tcBorders>
            <w:shd w:val="clear" w:color="000000" w:fill="D9D9D9"/>
            <w:noWrap/>
            <w:vAlign w:val="center"/>
            <w:hideMark/>
          </w:tcPr>
          <w:p w14:paraId="38B9879C" w14:textId="77777777" w:rsidR="0097090C" w:rsidRPr="00551BE7" w:rsidRDefault="0097090C" w:rsidP="0097090C">
            <w:pPr>
              <w:jc w:val="right"/>
              <w:rPr>
                <w:rFonts w:cs="Arial"/>
                <w:color w:val="000000"/>
                <w:sz w:val="18"/>
                <w:szCs w:val="18"/>
              </w:rPr>
            </w:pPr>
            <w:r w:rsidRPr="00551BE7">
              <w:rPr>
                <w:rFonts w:cs="Arial"/>
                <w:color w:val="000000"/>
                <w:sz w:val="18"/>
                <w:szCs w:val="18"/>
              </w:rPr>
              <w:t> </w:t>
            </w:r>
          </w:p>
        </w:tc>
        <w:tc>
          <w:tcPr>
            <w:tcW w:w="1280" w:type="dxa"/>
            <w:tcBorders>
              <w:top w:val="nil"/>
              <w:left w:val="nil"/>
              <w:bottom w:val="nil"/>
              <w:right w:val="nil"/>
            </w:tcBorders>
            <w:shd w:val="clear" w:color="auto" w:fill="auto"/>
            <w:noWrap/>
            <w:vAlign w:val="center"/>
            <w:hideMark/>
          </w:tcPr>
          <w:p w14:paraId="40944DC1" w14:textId="77777777" w:rsidR="0097090C" w:rsidRPr="00551BE7" w:rsidRDefault="0097090C" w:rsidP="0097090C">
            <w:pPr>
              <w:jc w:val="right"/>
              <w:rPr>
                <w:rFonts w:cs="Arial"/>
                <w:color w:val="000000"/>
                <w:sz w:val="18"/>
                <w:szCs w:val="18"/>
              </w:rPr>
            </w:pPr>
          </w:p>
        </w:tc>
        <w:tc>
          <w:tcPr>
            <w:tcW w:w="1280" w:type="dxa"/>
            <w:tcBorders>
              <w:top w:val="nil"/>
              <w:left w:val="nil"/>
              <w:bottom w:val="nil"/>
              <w:right w:val="nil"/>
            </w:tcBorders>
            <w:shd w:val="clear" w:color="000000" w:fill="D9D9D9"/>
            <w:noWrap/>
            <w:vAlign w:val="center"/>
            <w:hideMark/>
          </w:tcPr>
          <w:p w14:paraId="1477B60A" w14:textId="77777777" w:rsidR="0097090C" w:rsidRPr="00551BE7" w:rsidRDefault="0097090C" w:rsidP="0097090C">
            <w:pPr>
              <w:jc w:val="right"/>
              <w:rPr>
                <w:rFonts w:cs="Arial"/>
                <w:color w:val="000000"/>
                <w:sz w:val="18"/>
                <w:szCs w:val="18"/>
              </w:rPr>
            </w:pPr>
            <w:r w:rsidRPr="00551BE7">
              <w:rPr>
                <w:rFonts w:cs="Arial"/>
                <w:color w:val="000000"/>
                <w:sz w:val="18"/>
                <w:szCs w:val="18"/>
              </w:rPr>
              <w:t> </w:t>
            </w:r>
          </w:p>
        </w:tc>
        <w:tc>
          <w:tcPr>
            <w:tcW w:w="1280" w:type="dxa"/>
            <w:tcBorders>
              <w:top w:val="nil"/>
              <w:left w:val="nil"/>
              <w:bottom w:val="nil"/>
              <w:right w:val="nil"/>
            </w:tcBorders>
            <w:shd w:val="clear" w:color="auto" w:fill="auto"/>
            <w:noWrap/>
            <w:vAlign w:val="center"/>
            <w:hideMark/>
          </w:tcPr>
          <w:p w14:paraId="4F8F57B4" w14:textId="77777777" w:rsidR="0097090C" w:rsidRPr="00551BE7" w:rsidRDefault="0097090C" w:rsidP="0097090C">
            <w:pPr>
              <w:jc w:val="right"/>
              <w:rPr>
                <w:rFonts w:cs="Arial"/>
                <w:color w:val="000000"/>
                <w:sz w:val="18"/>
                <w:szCs w:val="18"/>
              </w:rPr>
            </w:pPr>
          </w:p>
        </w:tc>
      </w:tr>
      <w:tr w:rsidR="0097090C" w:rsidRPr="00551BE7" w14:paraId="721CE9EF" w14:textId="77777777" w:rsidTr="0097090C">
        <w:trPr>
          <w:trHeight w:val="255"/>
        </w:trPr>
        <w:tc>
          <w:tcPr>
            <w:tcW w:w="3320" w:type="dxa"/>
            <w:tcBorders>
              <w:top w:val="nil"/>
              <w:left w:val="nil"/>
              <w:bottom w:val="nil"/>
              <w:right w:val="nil"/>
            </w:tcBorders>
            <w:shd w:val="clear" w:color="auto" w:fill="auto"/>
            <w:vAlign w:val="center"/>
            <w:hideMark/>
          </w:tcPr>
          <w:p w14:paraId="14554E3D" w14:textId="77777777" w:rsidR="0097090C" w:rsidRPr="00551BE7" w:rsidRDefault="0097090C" w:rsidP="0097090C">
            <w:pPr>
              <w:ind w:firstLineChars="100" w:firstLine="180"/>
              <w:rPr>
                <w:rFonts w:cs="Arial"/>
                <w:color w:val="000000"/>
                <w:sz w:val="18"/>
                <w:szCs w:val="18"/>
              </w:rPr>
            </w:pPr>
            <w:r w:rsidRPr="00551BE7">
              <w:rPr>
                <w:rFonts w:cs="Arial"/>
                <w:color w:val="000000"/>
                <w:sz w:val="18"/>
                <w:szCs w:val="18"/>
              </w:rPr>
              <w:t>Foreign exchange forward contract</w:t>
            </w:r>
          </w:p>
        </w:tc>
        <w:tc>
          <w:tcPr>
            <w:tcW w:w="2080" w:type="dxa"/>
            <w:tcBorders>
              <w:top w:val="nil"/>
              <w:left w:val="nil"/>
              <w:bottom w:val="nil"/>
              <w:right w:val="nil"/>
            </w:tcBorders>
            <w:shd w:val="clear" w:color="000000" w:fill="D9D9D9"/>
            <w:noWrap/>
            <w:vAlign w:val="center"/>
            <w:hideMark/>
          </w:tcPr>
          <w:p w14:paraId="27A742FE" w14:textId="77777777" w:rsidR="0097090C" w:rsidRPr="00551BE7" w:rsidRDefault="0097090C" w:rsidP="0097090C">
            <w:pPr>
              <w:jc w:val="right"/>
              <w:rPr>
                <w:rFonts w:cs="Arial"/>
                <w:color w:val="000000"/>
                <w:sz w:val="18"/>
                <w:szCs w:val="18"/>
              </w:rPr>
            </w:pPr>
            <w:r w:rsidRPr="00551BE7">
              <w:rPr>
                <w:rFonts w:cs="Arial"/>
                <w:color w:val="000000"/>
                <w:sz w:val="18"/>
                <w:szCs w:val="18"/>
              </w:rPr>
              <w:t>947</w:t>
            </w:r>
          </w:p>
        </w:tc>
        <w:tc>
          <w:tcPr>
            <w:tcW w:w="1280" w:type="dxa"/>
            <w:tcBorders>
              <w:top w:val="nil"/>
              <w:left w:val="nil"/>
              <w:bottom w:val="nil"/>
              <w:right w:val="nil"/>
            </w:tcBorders>
            <w:shd w:val="clear" w:color="auto" w:fill="auto"/>
            <w:noWrap/>
            <w:vAlign w:val="center"/>
            <w:hideMark/>
          </w:tcPr>
          <w:p w14:paraId="56C1D307"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nil"/>
              <w:left w:val="nil"/>
              <w:bottom w:val="nil"/>
              <w:right w:val="nil"/>
            </w:tcBorders>
            <w:shd w:val="clear" w:color="000000" w:fill="D9D9D9"/>
            <w:noWrap/>
            <w:vAlign w:val="center"/>
            <w:hideMark/>
          </w:tcPr>
          <w:p w14:paraId="64C99BB1" w14:textId="77777777" w:rsidR="0097090C" w:rsidRPr="00551BE7" w:rsidRDefault="0097090C" w:rsidP="0097090C">
            <w:pPr>
              <w:jc w:val="right"/>
              <w:rPr>
                <w:rFonts w:cs="Arial"/>
                <w:color w:val="000000"/>
                <w:sz w:val="18"/>
                <w:szCs w:val="18"/>
              </w:rPr>
            </w:pPr>
            <w:r w:rsidRPr="00551BE7">
              <w:rPr>
                <w:rFonts w:cs="Arial"/>
                <w:color w:val="000000"/>
                <w:sz w:val="18"/>
                <w:szCs w:val="18"/>
              </w:rPr>
              <w:t>947</w:t>
            </w:r>
          </w:p>
        </w:tc>
        <w:tc>
          <w:tcPr>
            <w:tcW w:w="1280" w:type="dxa"/>
            <w:tcBorders>
              <w:top w:val="nil"/>
              <w:left w:val="nil"/>
              <w:bottom w:val="nil"/>
              <w:right w:val="nil"/>
            </w:tcBorders>
            <w:shd w:val="clear" w:color="auto" w:fill="auto"/>
            <w:noWrap/>
            <w:vAlign w:val="center"/>
            <w:hideMark/>
          </w:tcPr>
          <w:p w14:paraId="2566C193"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r>
      <w:tr w:rsidR="0097090C" w:rsidRPr="00551BE7" w14:paraId="1B2C01F4" w14:textId="77777777" w:rsidTr="0097090C">
        <w:trPr>
          <w:trHeight w:val="255"/>
        </w:trPr>
        <w:tc>
          <w:tcPr>
            <w:tcW w:w="3320" w:type="dxa"/>
            <w:tcBorders>
              <w:top w:val="single" w:sz="4" w:space="0" w:color="auto"/>
              <w:left w:val="nil"/>
              <w:bottom w:val="single" w:sz="4" w:space="0" w:color="auto"/>
              <w:right w:val="nil"/>
            </w:tcBorders>
            <w:shd w:val="clear" w:color="auto" w:fill="auto"/>
            <w:vAlign w:val="center"/>
            <w:hideMark/>
          </w:tcPr>
          <w:p w14:paraId="5A47653E" w14:textId="77777777" w:rsidR="0097090C" w:rsidRPr="00551BE7" w:rsidRDefault="0097090C" w:rsidP="0097090C">
            <w:pPr>
              <w:ind w:firstLineChars="100" w:firstLine="180"/>
              <w:rPr>
                <w:rFonts w:cs="Arial"/>
                <w:color w:val="000000"/>
                <w:sz w:val="18"/>
                <w:szCs w:val="18"/>
              </w:rPr>
            </w:pPr>
            <w:r w:rsidRPr="00551BE7">
              <w:rPr>
                <w:rFonts w:cs="Arial"/>
                <w:color w:val="000000"/>
                <w:sz w:val="18"/>
                <w:szCs w:val="18"/>
              </w:rPr>
              <w:t>Total</w:t>
            </w:r>
          </w:p>
        </w:tc>
        <w:tc>
          <w:tcPr>
            <w:tcW w:w="2080" w:type="dxa"/>
            <w:tcBorders>
              <w:top w:val="single" w:sz="4" w:space="0" w:color="auto"/>
              <w:left w:val="nil"/>
              <w:bottom w:val="single" w:sz="4" w:space="0" w:color="auto"/>
              <w:right w:val="nil"/>
            </w:tcBorders>
            <w:shd w:val="clear" w:color="000000" w:fill="D9D9D9"/>
            <w:noWrap/>
            <w:vAlign w:val="center"/>
            <w:hideMark/>
          </w:tcPr>
          <w:p w14:paraId="0003D943" w14:textId="77777777" w:rsidR="0097090C" w:rsidRPr="00551BE7" w:rsidRDefault="0097090C" w:rsidP="0097090C">
            <w:pPr>
              <w:jc w:val="right"/>
              <w:rPr>
                <w:rFonts w:cs="Arial"/>
                <w:color w:val="000000"/>
                <w:sz w:val="18"/>
                <w:szCs w:val="18"/>
              </w:rPr>
            </w:pPr>
            <w:r w:rsidRPr="00551BE7">
              <w:rPr>
                <w:rFonts w:cs="Arial"/>
                <w:color w:val="000000"/>
                <w:sz w:val="18"/>
                <w:szCs w:val="18"/>
              </w:rPr>
              <w:t>947</w:t>
            </w:r>
          </w:p>
        </w:tc>
        <w:tc>
          <w:tcPr>
            <w:tcW w:w="1280" w:type="dxa"/>
            <w:tcBorders>
              <w:top w:val="single" w:sz="4" w:space="0" w:color="auto"/>
              <w:left w:val="nil"/>
              <w:bottom w:val="single" w:sz="4" w:space="0" w:color="auto"/>
              <w:right w:val="nil"/>
            </w:tcBorders>
            <w:shd w:val="clear" w:color="auto" w:fill="auto"/>
            <w:noWrap/>
            <w:vAlign w:val="center"/>
            <w:hideMark/>
          </w:tcPr>
          <w:p w14:paraId="2EB29BBC"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c>
          <w:tcPr>
            <w:tcW w:w="1280" w:type="dxa"/>
            <w:tcBorders>
              <w:top w:val="single" w:sz="4" w:space="0" w:color="auto"/>
              <w:left w:val="nil"/>
              <w:bottom w:val="single" w:sz="4" w:space="0" w:color="auto"/>
              <w:right w:val="nil"/>
            </w:tcBorders>
            <w:shd w:val="clear" w:color="000000" w:fill="D9D9D9"/>
            <w:noWrap/>
            <w:vAlign w:val="center"/>
            <w:hideMark/>
          </w:tcPr>
          <w:p w14:paraId="150D3E36" w14:textId="77777777" w:rsidR="0097090C" w:rsidRPr="00551BE7" w:rsidRDefault="0097090C" w:rsidP="0097090C">
            <w:pPr>
              <w:jc w:val="right"/>
              <w:rPr>
                <w:rFonts w:cs="Arial"/>
                <w:color w:val="000000"/>
                <w:sz w:val="18"/>
                <w:szCs w:val="18"/>
              </w:rPr>
            </w:pPr>
            <w:r w:rsidRPr="00551BE7">
              <w:rPr>
                <w:rFonts w:cs="Arial"/>
                <w:color w:val="000000"/>
                <w:sz w:val="18"/>
                <w:szCs w:val="18"/>
              </w:rPr>
              <w:t>947</w:t>
            </w:r>
          </w:p>
        </w:tc>
        <w:tc>
          <w:tcPr>
            <w:tcW w:w="1280" w:type="dxa"/>
            <w:tcBorders>
              <w:top w:val="single" w:sz="4" w:space="0" w:color="auto"/>
              <w:left w:val="nil"/>
              <w:bottom w:val="single" w:sz="4" w:space="0" w:color="auto"/>
              <w:right w:val="nil"/>
            </w:tcBorders>
            <w:shd w:val="clear" w:color="auto" w:fill="auto"/>
            <w:noWrap/>
            <w:vAlign w:val="center"/>
            <w:hideMark/>
          </w:tcPr>
          <w:p w14:paraId="381866C9" w14:textId="77777777" w:rsidR="0097090C" w:rsidRPr="00551BE7" w:rsidRDefault="0097090C" w:rsidP="0097090C">
            <w:pPr>
              <w:jc w:val="right"/>
              <w:rPr>
                <w:rFonts w:cs="Arial"/>
                <w:color w:val="000000"/>
                <w:sz w:val="18"/>
                <w:szCs w:val="18"/>
              </w:rPr>
            </w:pPr>
            <w:r w:rsidRPr="00551BE7">
              <w:rPr>
                <w:rFonts w:cs="Arial"/>
                <w:color w:val="000000"/>
                <w:sz w:val="18"/>
                <w:szCs w:val="18"/>
              </w:rPr>
              <w:t>0</w:t>
            </w:r>
          </w:p>
        </w:tc>
      </w:tr>
    </w:tbl>
    <w:p w14:paraId="0253B008" w14:textId="77777777" w:rsidR="0097090C" w:rsidRDefault="0097090C" w:rsidP="0097090C">
      <w:pPr>
        <w:rPr>
          <w:rFonts w:cs="Arial"/>
        </w:rPr>
      </w:pPr>
    </w:p>
    <w:p w14:paraId="5F94D3D5" w14:textId="77777777" w:rsidR="0097090C" w:rsidRPr="00FF60A7" w:rsidRDefault="0097090C" w:rsidP="0097090C">
      <w:pPr>
        <w:spacing w:before="60"/>
        <w:rPr>
          <w:rFonts w:cs="Arial"/>
          <w:i/>
          <w:sz w:val="21"/>
          <w:szCs w:val="21"/>
        </w:rPr>
      </w:pPr>
      <w:r w:rsidRPr="00FF60A7">
        <w:rPr>
          <w:rFonts w:cs="Arial"/>
          <w:i/>
          <w:sz w:val="21"/>
          <w:szCs w:val="21"/>
        </w:rPr>
        <w:t xml:space="preserve"> Note (i) Classified in accordance with the fair value hierarchy, see above.</w:t>
      </w:r>
    </w:p>
    <w:p w14:paraId="6B8F83AC" w14:textId="77777777" w:rsidR="0097090C" w:rsidRDefault="0097090C" w:rsidP="0097090C">
      <w:pPr>
        <w:rPr>
          <w:rFonts w:cs="Arial"/>
        </w:rPr>
      </w:pPr>
    </w:p>
    <w:p w14:paraId="7BBB4089" w14:textId="77777777" w:rsidR="0097090C" w:rsidRPr="000C1433" w:rsidRDefault="0097090C" w:rsidP="0097090C">
      <w:pPr>
        <w:pStyle w:val="Heading4"/>
      </w:pPr>
      <w:r>
        <w:t xml:space="preserve">20. </w:t>
      </w:r>
      <w:r w:rsidRPr="000C1433">
        <w:t>Remuneration of Auditors</w:t>
      </w:r>
    </w:p>
    <w:tbl>
      <w:tblPr>
        <w:tblW w:w="9360" w:type="dxa"/>
        <w:tblInd w:w="93" w:type="dxa"/>
        <w:tblLook w:val="04A0" w:firstRow="1" w:lastRow="0" w:firstColumn="1" w:lastColumn="0" w:noHBand="0" w:noVBand="1"/>
      </w:tblPr>
      <w:tblGrid>
        <w:gridCol w:w="6120"/>
        <w:gridCol w:w="720"/>
        <w:gridCol w:w="1260"/>
        <w:gridCol w:w="1260"/>
      </w:tblGrid>
      <w:tr w:rsidR="0097090C" w:rsidRPr="00E019E6" w14:paraId="6D69455A" w14:textId="77777777" w:rsidTr="0097090C">
        <w:trPr>
          <w:trHeight w:val="255"/>
        </w:trPr>
        <w:tc>
          <w:tcPr>
            <w:tcW w:w="6120" w:type="dxa"/>
            <w:tcBorders>
              <w:top w:val="single" w:sz="4" w:space="0" w:color="auto"/>
              <w:left w:val="nil"/>
              <w:bottom w:val="single" w:sz="4" w:space="0" w:color="auto"/>
              <w:right w:val="nil"/>
            </w:tcBorders>
            <w:shd w:val="clear" w:color="auto" w:fill="auto"/>
            <w:noWrap/>
            <w:vAlign w:val="center"/>
            <w:hideMark/>
          </w:tcPr>
          <w:p w14:paraId="59A7CD11" w14:textId="77777777" w:rsidR="0097090C" w:rsidRPr="00E019E6" w:rsidRDefault="0097090C" w:rsidP="0097090C">
            <w:pPr>
              <w:rPr>
                <w:rFonts w:cs="Arial"/>
                <w:color w:val="000000"/>
              </w:rPr>
            </w:pPr>
            <w:r w:rsidRPr="00E019E6">
              <w:rPr>
                <w:rFonts w:cs="Arial"/>
                <w:color w:val="000000"/>
              </w:rPr>
              <w:t> </w:t>
            </w:r>
          </w:p>
        </w:tc>
        <w:tc>
          <w:tcPr>
            <w:tcW w:w="720" w:type="dxa"/>
            <w:tcBorders>
              <w:top w:val="single" w:sz="4" w:space="0" w:color="auto"/>
              <w:left w:val="nil"/>
              <w:bottom w:val="single" w:sz="4" w:space="0" w:color="auto"/>
              <w:right w:val="nil"/>
            </w:tcBorders>
            <w:shd w:val="clear" w:color="auto" w:fill="auto"/>
            <w:noWrap/>
            <w:vAlign w:val="center"/>
            <w:hideMark/>
          </w:tcPr>
          <w:p w14:paraId="1572E46A" w14:textId="77777777" w:rsidR="0097090C" w:rsidRPr="00E019E6" w:rsidRDefault="0097090C" w:rsidP="0097090C">
            <w:pPr>
              <w:jc w:val="center"/>
              <w:rPr>
                <w:rFonts w:cs="Arial"/>
                <w:color w:val="000000"/>
              </w:rPr>
            </w:pPr>
            <w:r w:rsidRPr="00E019E6">
              <w:rPr>
                <w:rFonts w:cs="Arial"/>
                <w:color w:val="000000"/>
              </w:rPr>
              <w:t> </w:t>
            </w:r>
          </w:p>
        </w:tc>
        <w:tc>
          <w:tcPr>
            <w:tcW w:w="1260" w:type="dxa"/>
            <w:tcBorders>
              <w:top w:val="single" w:sz="4" w:space="0" w:color="auto"/>
              <w:left w:val="nil"/>
              <w:bottom w:val="single" w:sz="4" w:space="0" w:color="auto"/>
              <w:right w:val="nil"/>
            </w:tcBorders>
            <w:shd w:val="clear" w:color="000000" w:fill="D9D9D9"/>
            <w:noWrap/>
            <w:vAlign w:val="center"/>
            <w:hideMark/>
          </w:tcPr>
          <w:p w14:paraId="73B164D0" w14:textId="77777777" w:rsidR="0097090C" w:rsidRPr="00656490" w:rsidRDefault="0097090C" w:rsidP="0097090C">
            <w:pPr>
              <w:jc w:val="right"/>
              <w:rPr>
                <w:rFonts w:cs="Arial"/>
                <w:b/>
                <w:color w:val="000000"/>
              </w:rPr>
            </w:pPr>
            <w:r w:rsidRPr="00656490">
              <w:rPr>
                <w:rFonts w:cs="Arial"/>
                <w:b/>
                <w:color w:val="000000"/>
              </w:rPr>
              <w:t>2016</w:t>
            </w:r>
          </w:p>
        </w:tc>
        <w:tc>
          <w:tcPr>
            <w:tcW w:w="1260" w:type="dxa"/>
            <w:tcBorders>
              <w:top w:val="single" w:sz="4" w:space="0" w:color="auto"/>
              <w:left w:val="nil"/>
              <w:bottom w:val="single" w:sz="4" w:space="0" w:color="auto"/>
              <w:right w:val="nil"/>
            </w:tcBorders>
            <w:shd w:val="clear" w:color="auto" w:fill="auto"/>
            <w:noWrap/>
            <w:vAlign w:val="center"/>
            <w:hideMark/>
          </w:tcPr>
          <w:p w14:paraId="77756324" w14:textId="77777777" w:rsidR="0097090C" w:rsidRPr="00656490" w:rsidRDefault="0097090C" w:rsidP="0097090C">
            <w:pPr>
              <w:jc w:val="right"/>
              <w:rPr>
                <w:rFonts w:cs="Arial"/>
                <w:b/>
                <w:color w:val="000000"/>
              </w:rPr>
            </w:pPr>
            <w:r w:rsidRPr="00656490">
              <w:rPr>
                <w:rFonts w:cs="Arial"/>
                <w:b/>
                <w:color w:val="000000"/>
              </w:rPr>
              <w:t>2015</w:t>
            </w:r>
          </w:p>
        </w:tc>
      </w:tr>
      <w:tr w:rsidR="0097090C" w:rsidRPr="00E019E6" w14:paraId="7695BB9F" w14:textId="77777777" w:rsidTr="0097090C">
        <w:trPr>
          <w:trHeight w:val="255"/>
        </w:trPr>
        <w:tc>
          <w:tcPr>
            <w:tcW w:w="6120" w:type="dxa"/>
            <w:tcBorders>
              <w:top w:val="nil"/>
              <w:left w:val="nil"/>
              <w:bottom w:val="single" w:sz="4" w:space="0" w:color="auto"/>
              <w:right w:val="nil"/>
            </w:tcBorders>
            <w:shd w:val="clear" w:color="auto" w:fill="auto"/>
            <w:noWrap/>
            <w:vAlign w:val="center"/>
            <w:hideMark/>
          </w:tcPr>
          <w:p w14:paraId="7A966F79" w14:textId="77777777" w:rsidR="0097090C" w:rsidRPr="00E019E6" w:rsidRDefault="0097090C" w:rsidP="0097090C">
            <w:pPr>
              <w:rPr>
                <w:rFonts w:cs="Arial"/>
                <w:color w:val="000000"/>
              </w:rPr>
            </w:pPr>
            <w:r w:rsidRPr="00E019E6">
              <w:rPr>
                <w:rFonts w:cs="Arial"/>
                <w:color w:val="000000"/>
              </w:rPr>
              <w:t> </w:t>
            </w:r>
          </w:p>
        </w:tc>
        <w:tc>
          <w:tcPr>
            <w:tcW w:w="720" w:type="dxa"/>
            <w:tcBorders>
              <w:top w:val="nil"/>
              <w:left w:val="nil"/>
              <w:bottom w:val="single" w:sz="4" w:space="0" w:color="auto"/>
              <w:right w:val="nil"/>
            </w:tcBorders>
            <w:shd w:val="clear" w:color="auto" w:fill="auto"/>
            <w:noWrap/>
            <w:vAlign w:val="center"/>
            <w:hideMark/>
          </w:tcPr>
          <w:p w14:paraId="783F76CE" w14:textId="77777777" w:rsidR="0097090C" w:rsidRPr="00E019E6" w:rsidRDefault="0097090C" w:rsidP="0097090C">
            <w:pPr>
              <w:rPr>
                <w:rFonts w:cs="Arial"/>
                <w:color w:val="000000"/>
              </w:rPr>
            </w:pPr>
            <w:r w:rsidRPr="00E019E6">
              <w:rPr>
                <w:rFonts w:cs="Arial"/>
                <w:color w:val="000000"/>
              </w:rPr>
              <w:t> </w:t>
            </w:r>
          </w:p>
        </w:tc>
        <w:tc>
          <w:tcPr>
            <w:tcW w:w="1260" w:type="dxa"/>
            <w:tcBorders>
              <w:top w:val="nil"/>
              <w:left w:val="nil"/>
              <w:bottom w:val="single" w:sz="4" w:space="0" w:color="auto"/>
              <w:right w:val="nil"/>
            </w:tcBorders>
            <w:shd w:val="clear" w:color="000000" w:fill="D9D9D9"/>
            <w:noWrap/>
            <w:vAlign w:val="center"/>
            <w:hideMark/>
          </w:tcPr>
          <w:p w14:paraId="35BDB4CC" w14:textId="77777777" w:rsidR="0097090C" w:rsidRPr="00656490" w:rsidRDefault="0097090C" w:rsidP="0097090C">
            <w:pPr>
              <w:jc w:val="right"/>
              <w:rPr>
                <w:rFonts w:cs="Arial"/>
                <w:b/>
                <w:color w:val="000000"/>
              </w:rPr>
            </w:pPr>
            <w:r w:rsidRPr="00656490">
              <w:rPr>
                <w:rFonts w:cs="Arial"/>
                <w:b/>
                <w:color w:val="000000"/>
              </w:rPr>
              <w:t>$'000</w:t>
            </w:r>
          </w:p>
        </w:tc>
        <w:tc>
          <w:tcPr>
            <w:tcW w:w="1260" w:type="dxa"/>
            <w:tcBorders>
              <w:top w:val="nil"/>
              <w:left w:val="nil"/>
              <w:bottom w:val="single" w:sz="4" w:space="0" w:color="auto"/>
              <w:right w:val="nil"/>
            </w:tcBorders>
            <w:shd w:val="clear" w:color="auto" w:fill="auto"/>
            <w:noWrap/>
            <w:vAlign w:val="center"/>
            <w:hideMark/>
          </w:tcPr>
          <w:p w14:paraId="49CDC89B" w14:textId="77777777" w:rsidR="0097090C" w:rsidRPr="00656490" w:rsidRDefault="0097090C" w:rsidP="0097090C">
            <w:pPr>
              <w:jc w:val="right"/>
              <w:rPr>
                <w:rFonts w:cs="Arial"/>
                <w:b/>
                <w:color w:val="000000"/>
              </w:rPr>
            </w:pPr>
            <w:r w:rsidRPr="00656490">
              <w:rPr>
                <w:rFonts w:cs="Arial"/>
                <w:b/>
                <w:color w:val="000000"/>
              </w:rPr>
              <w:t>$'000</w:t>
            </w:r>
          </w:p>
        </w:tc>
      </w:tr>
      <w:tr w:rsidR="0097090C" w:rsidRPr="00E019E6" w14:paraId="2C7B880B" w14:textId="77777777" w:rsidTr="0097090C">
        <w:trPr>
          <w:trHeight w:val="255"/>
        </w:trPr>
        <w:tc>
          <w:tcPr>
            <w:tcW w:w="6120" w:type="dxa"/>
            <w:tcBorders>
              <w:top w:val="nil"/>
              <w:left w:val="nil"/>
              <w:bottom w:val="nil"/>
              <w:right w:val="nil"/>
            </w:tcBorders>
            <w:shd w:val="clear" w:color="auto" w:fill="auto"/>
            <w:vAlign w:val="center"/>
            <w:hideMark/>
          </w:tcPr>
          <w:p w14:paraId="694BB061" w14:textId="77777777" w:rsidR="0097090C" w:rsidRPr="00E019E6" w:rsidRDefault="0097090C" w:rsidP="0097090C">
            <w:pPr>
              <w:rPr>
                <w:rFonts w:cs="Arial"/>
                <w:color w:val="000000"/>
              </w:rPr>
            </w:pPr>
            <w:r w:rsidRPr="00E019E6">
              <w:rPr>
                <w:rFonts w:cs="Arial"/>
                <w:color w:val="000000"/>
              </w:rPr>
              <w:t>Victorian Auditor-General’s Office:</w:t>
            </w:r>
          </w:p>
        </w:tc>
        <w:tc>
          <w:tcPr>
            <w:tcW w:w="720" w:type="dxa"/>
            <w:tcBorders>
              <w:top w:val="nil"/>
              <w:left w:val="nil"/>
              <w:bottom w:val="nil"/>
              <w:right w:val="nil"/>
            </w:tcBorders>
            <w:shd w:val="clear" w:color="auto" w:fill="auto"/>
            <w:vAlign w:val="center"/>
            <w:hideMark/>
          </w:tcPr>
          <w:p w14:paraId="17BA6F8E" w14:textId="77777777" w:rsidR="0097090C" w:rsidRPr="00E019E6" w:rsidRDefault="0097090C" w:rsidP="0097090C">
            <w:pPr>
              <w:jc w:val="center"/>
              <w:rPr>
                <w:rFonts w:cs="Arial"/>
                <w:color w:val="000000"/>
              </w:rPr>
            </w:pPr>
            <w:r w:rsidRPr="00E019E6">
              <w:rPr>
                <w:rFonts w:cs="Arial"/>
                <w:color w:val="000000"/>
              </w:rPr>
              <w:t> </w:t>
            </w:r>
          </w:p>
        </w:tc>
        <w:tc>
          <w:tcPr>
            <w:tcW w:w="1260" w:type="dxa"/>
            <w:tcBorders>
              <w:top w:val="nil"/>
              <w:left w:val="nil"/>
              <w:bottom w:val="nil"/>
              <w:right w:val="nil"/>
            </w:tcBorders>
            <w:shd w:val="clear" w:color="000000" w:fill="D9D9D9"/>
            <w:vAlign w:val="center"/>
            <w:hideMark/>
          </w:tcPr>
          <w:p w14:paraId="665646CB" w14:textId="77777777" w:rsidR="0097090C" w:rsidRPr="00E019E6" w:rsidRDefault="0097090C" w:rsidP="0097090C">
            <w:pPr>
              <w:jc w:val="right"/>
              <w:rPr>
                <w:rFonts w:cs="Arial"/>
                <w:color w:val="000000"/>
              </w:rPr>
            </w:pPr>
            <w:r w:rsidRPr="00E019E6">
              <w:rPr>
                <w:rFonts w:cs="Arial"/>
                <w:color w:val="000000"/>
              </w:rPr>
              <w:t> </w:t>
            </w:r>
          </w:p>
        </w:tc>
        <w:tc>
          <w:tcPr>
            <w:tcW w:w="1260" w:type="dxa"/>
            <w:tcBorders>
              <w:top w:val="nil"/>
              <w:left w:val="nil"/>
              <w:bottom w:val="nil"/>
              <w:right w:val="nil"/>
            </w:tcBorders>
            <w:shd w:val="clear" w:color="auto" w:fill="auto"/>
            <w:vAlign w:val="center"/>
            <w:hideMark/>
          </w:tcPr>
          <w:p w14:paraId="16E6BA08" w14:textId="77777777" w:rsidR="0097090C" w:rsidRPr="00E019E6" w:rsidRDefault="0097090C" w:rsidP="0097090C">
            <w:pPr>
              <w:jc w:val="right"/>
              <w:rPr>
                <w:rFonts w:cs="Arial"/>
                <w:color w:val="000000"/>
              </w:rPr>
            </w:pPr>
            <w:r w:rsidRPr="00E019E6">
              <w:rPr>
                <w:rFonts w:cs="Arial"/>
                <w:color w:val="000000"/>
              </w:rPr>
              <w:t> </w:t>
            </w:r>
          </w:p>
        </w:tc>
      </w:tr>
      <w:tr w:rsidR="0097090C" w:rsidRPr="00E019E6" w14:paraId="082AFF2E" w14:textId="77777777" w:rsidTr="0097090C">
        <w:trPr>
          <w:trHeight w:val="255"/>
        </w:trPr>
        <w:tc>
          <w:tcPr>
            <w:tcW w:w="6120" w:type="dxa"/>
            <w:tcBorders>
              <w:top w:val="nil"/>
              <w:left w:val="nil"/>
              <w:bottom w:val="single" w:sz="4" w:space="0" w:color="auto"/>
              <w:right w:val="nil"/>
            </w:tcBorders>
            <w:shd w:val="clear" w:color="auto" w:fill="auto"/>
            <w:vAlign w:val="center"/>
            <w:hideMark/>
          </w:tcPr>
          <w:p w14:paraId="1A1EDE3F" w14:textId="77777777" w:rsidR="0097090C" w:rsidRPr="00E019E6" w:rsidRDefault="0097090C" w:rsidP="0097090C">
            <w:pPr>
              <w:rPr>
                <w:rFonts w:cs="Arial"/>
                <w:color w:val="000000"/>
              </w:rPr>
            </w:pPr>
            <w:r w:rsidRPr="00E019E6">
              <w:rPr>
                <w:rFonts w:cs="Arial"/>
                <w:color w:val="000000"/>
              </w:rPr>
              <w:t>Audit of financial report</w:t>
            </w:r>
          </w:p>
        </w:tc>
        <w:tc>
          <w:tcPr>
            <w:tcW w:w="720" w:type="dxa"/>
            <w:tcBorders>
              <w:top w:val="nil"/>
              <w:left w:val="nil"/>
              <w:bottom w:val="single" w:sz="4" w:space="0" w:color="auto"/>
              <w:right w:val="nil"/>
            </w:tcBorders>
            <w:shd w:val="clear" w:color="auto" w:fill="auto"/>
            <w:vAlign w:val="center"/>
            <w:hideMark/>
          </w:tcPr>
          <w:p w14:paraId="2D40DEF8" w14:textId="77777777" w:rsidR="0097090C" w:rsidRPr="00E019E6" w:rsidRDefault="0097090C" w:rsidP="0097090C">
            <w:pPr>
              <w:jc w:val="center"/>
              <w:rPr>
                <w:rFonts w:cs="Arial"/>
                <w:color w:val="000000"/>
              </w:rPr>
            </w:pPr>
            <w:r w:rsidRPr="00E019E6">
              <w:rPr>
                <w:rFonts w:cs="Arial"/>
                <w:color w:val="000000"/>
              </w:rPr>
              <w:t> </w:t>
            </w:r>
          </w:p>
        </w:tc>
        <w:tc>
          <w:tcPr>
            <w:tcW w:w="1260" w:type="dxa"/>
            <w:tcBorders>
              <w:top w:val="nil"/>
              <w:left w:val="nil"/>
              <w:bottom w:val="single" w:sz="4" w:space="0" w:color="auto"/>
              <w:right w:val="nil"/>
            </w:tcBorders>
            <w:shd w:val="clear" w:color="000000" w:fill="D9D9D9"/>
            <w:vAlign w:val="center"/>
            <w:hideMark/>
          </w:tcPr>
          <w:p w14:paraId="2CB69FE5" w14:textId="77777777" w:rsidR="0097090C" w:rsidRPr="00E019E6" w:rsidRDefault="0097090C" w:rsidP="0097090C">
            <w:pPr>
              <w:jc w:val="right"/>
              <w:rPr>
                <w:rFonts w:cs="Arial"/>
                <w:color w:val="000000"/>
              </w:rPr>
            </w:pPr>
            <w:r w:rsidRPr="00E019E6">
              <w:rPr>
                <w:rFonts w:cs="Arial"/>
                <w:color w:val="000000"/>
              </w:rPr>
              <w:t>55</w:t>
            </w:r>
          </w:p>
        </w:tc>
        <w:tc>
          <w:tcPr>
            <w:tcW w:w="1260" w:type="dxa"/>
            <w:tcBorders>
              <w:top w:val="nil"/>
              <w:left w:val="nil"/>
              <w:bottom w:val="single" w:sz="4" w:space="0" w:color="auto"/>
              <w:right w:val="nil"/>
            </w:tcBorders>
            <w:shd w:val="clear" w:color="auto" w:fill="auto"/>
            <w:vAlign w:val="center"/>
            <w:hideMark/>
          </w:tcPr>
          <w:p w14:paraId="7520D8D3" w14:textId="77777777" w:rsidR="0097090C" w:rsidRPr="00E019E6" w:rsidRDefault="0097090C" w:rsidP="0097090C">
            <w:pPr>
              <w:jc w:val="right"/>
              <w:rPr>
                <w:rFonts w:cs="Arial"/>
                <w:color w:val="000000"/>
              </w:rPr>
            </w:pPr>
            <w:r w:rsidRPr="00E019E6">
              <w:rPr>
                <w:rFonts w:cs="Arial"/>
                <w:color w:val="000000"/>
              </w:rPr>
              <w:t>55</w:t>
            </w:r>
          </w:p>
        </w:tc>
      </w:tr>
      <w:tr w:rsidR="0097090C" w:rsidRPr="00E019E6" w14:paraId="3AD60677" w14:textId="77777777" w:rsidTr="0097090C">
        <w:trPr>
          <w:trHeight w:val="285"/>
        </w:trPr>
        <w:tc>
          <w:tcPr>
            <w:tcW w:w="6120" w:type="dxa"/>
            <w:tcBorders>
              <w:top w:val="nil"/>
              <w:left w:val="nil"/>
              <w:bottom w:val="single" w:sz="4" w:space="0" w:color="auto"/>
              <w:right w:val="nil"/>
            </w:tcBorders>
            <w:shd w:val="clear" w:color="auto" w:fill="auto"/>
            <w:vAlign w:val="center"/>
            <w:hideMark/>
          </w:tcPr>
          <w:p w14:paraId="748C4A2B" w14:textId="77777777" w:rsidR="0097090C" w:rsidRPr="00E019E6" w:rsidRDefault="0097090C" w:rsidP="0097090C">
            <w:pPr>
              <w:rPr>
                <w:rFonts w:cs="Arial"/>
                <w:b/>
                <w:bCs/>
                <w:color w:val="000000"/>
              </w:rPr>
            </w:pPr>
            <w:r w:rsidRPr="00E019E6">
              <w:rPr>
                <w:rFonts w:cs="Arial"/>
                <w:b/>
                <w:bCs/>
                <w:color w:val="000000"/>
              </w:rPr>
              <w:t>Total</w:t>
            </w:r>
          </w:p>
        </w:tc>
        <w:tc>
          <w:tcPr>
            <w:tcW w:w="720" w:type="dxa"/>
            <w:tcBorders>
              <w:top w:val="nil"/>
              <w:left w:val="nil"/>
              <w:bottom w:val="single" w:sz="4" w:space="0" w:color="auto"/>
              <w:right w:val="nil"/>
            </w:tcBorders>
            <w:shd w:val="clear" w:color="auto" w:fill="auto"/>
            <w:vAlign w:val="center"/>
            <w:hideMark/>
          </w:tcPr>
          <w:p w14:paraId="4506583F" w14:textId="77777777" w:rsidR="0097090C" w:rsidRPr="00E019E6" w:rsidRDefault="0097090C" w:rsidP="0097090C">
            <w:pPr>
              <w:jc w:val="center"/>
              <w:rPr>
                <w:rFonts w:cs="Arial"/>
                <w:b/>
                <w:bCs/>
                <w:color w:val="000000"/>
              </w:rPr>
            </w:pPr>
            <w:r w:rsidRPr="00E019E6">
              <w:rPr>
                <w:rFonts w:cs="Arial"/>
                <w:b/>
                <w:bCs/>
                <w:color w:val="000000"/>
              </w:rPr>
              <w:t> </w:t>
            </w:r>
          </w:p>
        </w:tc>
        <w:tc>
          <w:tcPr>
            <w:tcW w:w="1260" w:type="dxa"/>
            <w:tcBorders>
              <w:top w:val="nil"/>
              <w:left w:val="nil"/>
              <w:bottom w:val="single" w:sz="4" w:space="0" w:color="auto"/>
              <w:right w:val="nil"/>
            </w:tcBorders>
            <w:shd w:val="clear" w:color="000000" w:fill="D9D9D9"/>
            <w:vAlign w:val="center"/>
            <w:hideMark/>
          </w:tcPr>
          <w:p w14:paraId="1F742FD9" w14:textId="77777777" w:rsidR="0097090C" w:rsidRPr="00E019E6" w:rsidRDefault="0097090C" w:rsidP="0097090C">
            <w:pPr>
              <w:jc w:val="right"/>
              <w:rPr>
                <w:rFonts w:cs="Arial"/>
                <w:b/>
                <w:bCs/>
                <w:color w:val="000000"/>
              </w:rPr>
            </w:pPr>
            <w:r w:rsidRPr="00E019E6">
              <w:rPr>
                <w:rFonts w:cs="Arial"/>
                <w:b/>
                <w:bCs/>
                <w:color w:val="000000"/>
              </w:rPr>
              <w:t>55</w:t>
            </w:r>
          </w:p>
        </w:tc>
        <w:tc>
          <w:tcPr>
            <w:tcW w:w="1260" w:type="dxa"/>
            <w:tcBorders>
              <w:top w:val="nil"/>
              <w:left w:val="nil"/>
              <w:bottom w:val="single" w:sz="4" w:space="0" w:color="auto"/>
              <w:right w:val="nil"/>
            </w:tcBorders>
            <w:shd w:val="clear" w:color="auto" w:fill="auto"/>
            <w:vAlign w:val="center"/>
            <w:hideMark/>
          </w:tcPr>
          <w:p w14:paraId="475C4BD5" w14:textId="77777777" w:rsidR="0097090C" w:rsidRPr="00E019E6" w:rsidRDefault="0097090C" w:rsidP="0097090C">
            <w:pPr>
              <w:jc w:val="right"/>
              <w:rPr>
                <w:rFonts w:cs="Arial"/>
                <w:b/>
                <w:bCs/>
                <w:color w:val="000000"/>
              </w:rPr>
            </w:pPr>
            <w:r w:rsidRPr="00E019E6">
              <w:rPr>
                <w:rFonts w:cs="Arial"/>
                <w:b/>
                <w:bCs/>
                <w:color w:val="000000"/>
              </w:rPr>
              <w:t>55</w:t>
            </w:r>
          </w:p>
        </w:tc>
      </w:tr>
    </w:tbl>
    <w:p w14:paraId="3FC2E623" w14:textId="77777777" w:rsidR="0097090C" w:rsidRDefault="0097090C" w:rsidP="0097090C">
      <w:pPr>
        <w:rPr>
          <w:rFonts w:cs="Arial"/>
        </w:rPr>
      </w:pPr>
    </w:p>
    <w:p w14:paraId="33039D90" w14:textId="77777777" w:rsidR="0097090C" w:rsidRPr="00ED6358" w:rsidRDefault="0097090C" w:rsidP="0097090C">
      <w:pPr>
        <w:pStyle w:val="Heading4"/>
      </w:pPr>
      <w:r>
        <w:t xml:space="preserve">21. </w:t>
      </w:r>
      <w:r w:rsidRPr="00ED6358">
        <w:t>Subsequent Events</w:t>
      </w:r>
    </w:p>
    <w:p w14:paraId="669C62DD" w14:textId="77777777" w:rsidR="00105DED" w:rsidRDefault="0097090C" w:rsidP="00105DED">
      <w:pPr>
        <w:rPr>
          <w:rFonts w:cs="Arial"/>
        </w:rPr>
      </w:pPr>
      <w:r w:rsidRPr="00551BE7">
        <w:rPr>
          <w:rFonts w:cs="Arial"/>
        </w:rPr>
        <w:t>No subsequent events have occurred that require disclosure</w:t>
      </w:r>
      <w:r w:rsidRPr="00ED6358">
        <w:rPr>
          <w:rFonts w:cs="Arial"/>
        </w:rPr>
        <w:t>. (201</w:t>
      </w:r>
      <w:r>
        <w:rPr>
          <w:rFonts w:cs="Arial"/>
        </w:rPr>
        <w:t>4</w:t>
      </w:r>
      <w:r w:rsidRPr="00ED6358">
        <w:rPr>
          <w:rFonts w:cs="Arial"/>
        </w:rPr>
        <w:t>/1</w:t>
      </w:r>
      <w:r w:rsidR="00656490">
        <w:rPr>
          <w:rFonts w:cs="Arial"/>
        </w:rPr>
        <w:t>5:Nil</w:t>
      </w:r>
      <w:r w:rsidR="00105DED">
        <w:rPr>
          <w:rFonts w:cs="Arial"/>
        </w:rPr>
        <w:t>).</w:t>
      </w:r>
    </w:p>
    <w:p w14:paraId="12A2D40B" w14:textId="1889AFF3" w:rsidR="0097090C" w:rsidRDefault="00105DED" w:rsidP="00105DED">
      <w:pPr>
        <w:rPr>
          <w:rFonts w:cs="Arial"/>
        </w:rPr>
        <w:sectPr w:rsidR="0097090C" w:rsidSect="0097090C">
          <w:footerReference w:type="default" r:id="rId18"/>
          <w:pgSz w:w="11906" w:h="16838"/>
          <w:pgMar w:top="1797" w:right="1440" w:bottom="1797" w:left="1440" w:header="708" w:footer="708" w:gutter="0"/>
          <w:cols w:space="708"/>
          <w:docGrid w:linePitch="360"/>
        </w:sectPr>
      </w:pPr>
      <w:r>
        <w:rPr>
          <w:rFonts w:cs="Arial"/>
        </w:rPr>
        <w:t xml:space="preserve"> </w:t>
      </w:r>
    </w:p>
    <w:p w14:paraId="17ADCF74" w14:textId="77777777" w:rsidR="00B30FE4" w:rsidRDefault="00B30FE4" w:rsidP="00D64D54">
      <w:pPr>
        <w:pStyle w:val="Heading2"/>
      </w:pPr>
      <w:r w:rsidRPr="00B30FE4">
        <w:t>Auditor-General’s Report</w:t>
      </w:r>
    </w:p>
    <w:p w14:paraId="1F5E8D34" w14:textId="42CCD702" w:rsidR="00394621" w:rsidRPr="00394621" w:rsidRDefault="00C37F15" w:rsidP="00394621">
      <w:r w:rsidRPr="00C37F15">
        <w:rPr>
          <w:noProof/>
        </w:rPr>
        <w:drawing>
          <wp:inline distT="0" distB="0" distL="0" distR="0" wp14:anchorId="26DF8389" wp14:editId="6AF1E2B0">
            <wp:extent cx="5529206" cy="8239125"/>
            <wp:effectExtent l="0" t="0" r="0" b="0"/>
            <wp:docPr id="3" name="Picture 3" title="Independent Auditor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8348" cy="8252748"/>
                    </a:xfrm>
                    <a:prstGeom prst="rect">
                      <a:avLst/>
                    </a:prstGeom>
                    <a:noFill/>
                    <a:ln>
                      <a:noFill/>
                    </a:ln>
                  </pic:spPr>
                </pic:pic>
              </a:graphicData>
            </a:graphic>
          </wp:inline>
        </w:drawing>
      </w:r>
    </w:p>
    <w:p w14:paraId="22DB979C" w14:textId="77777777" w:rsidR="00346273" w:rsidRDefault="00346273" w:rsidP="00346273"/>
    <w:p w14:paraId="5D540D7E" w14:textId="5737DBDA" w:rsidR="00346273" w:rsidRDefault="00346273" w:rsidP="00346273">
      <w:r w:rsidRPr="00346273">
        <w:rPr>
          <w:noProof/>
        </w:rPr>
        <w:drawing>
          <wp:inline distT="0" distB="0" distL="0" distR="0" wp14:anchorId="4B964D41" wp14:editId="6284455F">
            <wp:extent cx="5604097" cy="7629525"/>
            <wp:effectExtent l="0" t="0" r="0" b="0"/>
            <wp:docPr id="8" name="Picture 8" title="Independent Auditor's repor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0205" cy="7665069"/>
                    </a:xfrm>
                    <a:prstGeom prst="rect">
                      <a:avLst/>
                    </a:prstGeom>
                    <a:noFill/>
                    <a:ln>
                      <a:noFill/>
                    </a:ln>
                  </pic:spPr>
                </pic:pic>
              </a:graphicData>
            </a:graphic>
          </wp:inline>
        </w:drawing>
      </w:r>
    </w:p>
    <w:p w14:paraId="1B4D4EE9" w14:textId="77777777" w:rsidR="00346273" w:rsidRDefault="00346273" w:rsidP="00346273">
      <w:pPr>
        <w:rPr>
          <w:sz w:val="36"/>
        </w:rPr>
        <w:sectPr w:rsidR="00346273" w:rsidSect="00C80CE8">
          <w:pgSz w:w="11906" w:h="16838"/>
          <w:pgMar w:top="1440" w:right="1797" w:bottom="1440" w:left="1797" w:header="708" w:footer="708" w:gutter="0"/>
          <w:cols w:space="708"/>
          <w:docGrid w:linePitch="360"/>
        </w:sectPr>
      </w:pPr>
    </w:p>
    <w:p w14:paraId="64BA7BB6" w14:textId="4381045F" w:rsidR="00B30FE4" w:rsidRPr="000720D0" w:rsidRDefault="00B30FE4" w:rsidP="00D64D54">
      <w:pPr>
        <w:pStyle w:val="Heading2"/>
      </w:pPr>
      <w:r w:rsidRPr="000720D0">
        <w:t>Statutory Reports</w:t>
      </w:r>
    </w:p>
    <w:p w14:paraId="76C35139" w14:textId="77777777" w:rsidR="00B30FE4" w:rsidRPr="00B30FE4" w:rsidRDefault="00B30FE4" w:rsidP="00B30FE4"/>
    <w:p w14:paraId="3E0FF0DE" w14:textId="77777777" w:rsidR="00B30FE4" w:rsidRPr="000720D0" w:rsidRDefault="00B30FE4" w:rsidP="004E7076">
      <w:pPr>
        <w:pStyle w:val="Heading3"/>
      </w:pPr>
      <w:r w:rsidRPr="000720D0">
        <w:t>Freedom of Inf</w:t>
      </w:r>
      <w:r w:rsidRPr="00D64D54">
        <w:rPr>
          <w:rStyle w:val="Heading3Char"/>
        </w:rPr>
        <w:t>o</w:t>
      </w:r>
      <w:r w:rsidRPr="000720D0">
        <w:t>rmation</w:t>
      </w:r>
    </w:p>
    <w:p w14:paraId="6F41B399" w14:textId="3910C45E" w:rsidR="00C87C84" w:rsidRDefault="00B30FE4" w:rsidP="00C87C84">
      <w:pPr>
        <w:rPr>
          <w:rFonts w:ascii="Calibri" w:hAnsi="Calibri"/>
          <w:color w:val="1F497D"/>
          <w:szCs w:val="22"/>
        </w:rPr>
      </w:pPr>
      <w:r w:rsidRPr="00B30FE4">
        <w:t xml:space="preserve">The </w:t>
      </w:r>
      <w:r w:rsidRPr="00B30FE4">
        <w:rPr>
          <w:i/>
        </w:rPr>
        <w:t>Freedom of Information Act 1982</w:t>
      </w:r>
      <w:r w:rsidRPr="00B30FE4">
        <w:t xml:space="preserve"> entitles members of the public to obtain information</w:t>
      </w:r>
      <w:r w:rsidRPr="00771EC9">
        <w:rPr>
          <w:color w:val="000000" w:themeColor="text1"/>
        </w:rPr>
        <w:t xml:space="preserve">, other than information that is exempt under the Act, held by Museum Victoria. </w:t>
      </w:r>
      <w:r w:rsidR="00C87C84" w:rsidRPr="00771EC9">
        <w:rPr>
          <w:color w:val="000000" w:themeColor="text1"/>
        </w:rPr>
        <w:t xml:space="preserve">For the 12 months ending 30 June 2016, Museum Victoria received three Freedom of Information requests. Two requests were from journalists and these were completed. The third request from a representative of an organisation will be completed in </w:t>
      </w:r>
      <w:r w:rsidR="00C87C84">
        <w:rPr>
          <w:rFonts w:cs="Arial"/>
        </w:rPr>
        <w:t>2016–17</w:t>
      </w:r>
      <w:r w:rsidR="00C87C84">
        <w:rPr>
          <w:color w:val="1F497D"/>
        </w:rPr>
        <w:t>.</w:t>
      </w:r>
    </w:p>
    <w:p w14:paraId="0498438D" w14:textId="2721D777" w:rsidR="00B30FE4" w:rsidRPr="00B30FE4" w:rsidRDefault="00B30FE4" w:rsidP="00B30FE4"/>
    <w:p w14:paraId="606435F6" w14:textId="77777777" w:rsidR="00B30FE4" w:rsidRPr="00B30FE4" w:rsidRDefault="00B30FE4" w:rsidP="00B30FE4"/>
    <w:p w14:paraId="7F7711FA" w14:textId="4DCF9735" w:rsidR="00B30FE4" w:rsidRPr="00B30FE4" w:rsidRDefault="00B30FE4" w:rsidP="00B30FE4">
      <w:r w:rsidRPr="00B30FE4">
        <w:t xml:space="preserve">The information below must be published annually under </w:t>
      </w:r>
      <w:r w:rsidR="00DE19CF">
        <w:t>p</w:t>
      </w:r>
      <w:r w:rsidRPr="00B30FE4">
        <w:t xml:space="preserve">art II of the </w:t>
      </w:r>
      <w:r w:rsidRPr="00B30FE4">
        <w:rPr>
          <w:i/>
        </w:rPr>
        <w:t>Freedom of Information Act 1982</w:t>
      </w:r>
      <w:r w:rsidRPr="00B30FE4">
        <w:t>. The information required under section 7(1)(a)(i) is located elsewhere in this annual report.</w:t>
      </w:r>
    </w:p>
    <w:p w14:paraId="15F9AE71" w14:textId="77777777" w:rsidR="00B30FE4" w:rsidRPr="00B30FE4" w:rsidRDefault="00B30FE4" w:rsidP="00B30FE4"/>
    <w:p w14:paraId="26A5DA07" w14:textId="77777777" w:rsidR="00B30FE4" w:rsidRPr="000720D0" w:rsidRDefault="00B30FE4" w:rsidP="00B30FE4">
      <w:pPr>
        <w:rPr>
          <w:b/>
          <w:sz w:val="28"/>
          <w:szCs w:val="28"/>
        </w:rPr>
      </w:pPr>
      <w:r w:rsidRPr="000720D0">
        <w:rPr>
          <w:b/>
          <w:sz w:val="28"/>
          <w:szCs w:val="28"/>
        </w:rPr>
        <w:t>Contacts</w:t>
      </w:r>
    </w:p>
    <w:p w14:paraId="43AA0221" w14:textId="77777777" w:rsidR="00B30FE4" w:rsidRPr="00B30FE4" w:rsidRDefault="00B30FE4" w:rsidP="00B30FE4">
      <w:r w:rsidRPr="00B30FE4">
        <w:t>Principal Officer: Dr J. Patrick Greene OBE (Chief Executive Officer)</w:t>
      </w:r>
    </w:p>
    <w:p w14:paraId="6C207FAE" w14:textId="77777777" w:rsidR="00B30FE4" w:rsidRPr="00B30FE4" w:rsidRDefault="00B30FE4" w:rsidP="00B30FE4">
      <w:r w:rsidRPr="00B30FE4">
        <w:t>Freedom of Information Officer: Manager, Information Services</w:t>
      </w:r>
    </w:p>
    <w:p w14:paraId="35CF324B" w14:textId="77777777" w:rsidR="00B30FE4" w:rsidRPr="00B30FE4" w:rsidRDefault="00B30FE4" w:rsidP="00B30FE4">
      <w:r w:rsidRPr="00B30FE4">
        <w:t xml:space="preserve">Address: GPO Box 666, Melbourne </w:t>
      </w:r>
      <w:r w:rsidRPr="00B30FE4">
        <w:rPr>
          <w:rFonts w:cs="Arial"/>
        </w:rPr>
        <w:t>VIC</w:t>
      </w:r>
      <w:r w:rsidRPr="00B30FE4">
        <w:t xml:space="preserve"> 3001</w:t>
      </w:r>
    </w:p>
    <w:p w14:paraId="68C9394A" w14:textId="77777777" w:rsidR="00B30FE4" w:rsidRPr="00B30FE4" w:rsidRDefault="00B30FE4" w:rsidP="00B30FE4">
      <w:r w:rsidRPr="00B30FE4">
        <w:t>Telephone: (03) 8341 7109</w:t>
      </w:r>
    </w:p>
    <w:p w14:paraId="0AA7C81E" w14:textId="77777777" w:rsidR="00B30FE4" w:rsidRPr="00B30FE4" w:rsidRDefault="00B30FE4" w:rsidP="00B30FE4">
      <w:r w:rsidRPr="00B30FE4">
        <w:t>Fax: (03) 8341 7299</w:t>
      </w:r>
    </w:p>
    <w:p w14:paraId="61B4E084" w14:textId="77777777" w:rsidR="00B30FE4" w:rsidRPr="00B30FE4" w:rsidRDefault="00B30FE4" w:rsidP="00B30FE4">
      <w:r w:rsidRPr="00B30FE4">
        <w:t xml:space="preserve">Email: </w:t>
      </w:r>
      <w:hyperlink r:id="rId21" w:history="1">
        <w:r w:rsidRPr="00B30FE4">
          <w:rPr>
            <w:color w:val="0000FF"/>
            <w:u w:val="single"/>
          </w:rPr>
          <w:t>foi@museum.vic.gov.au</w:t>
        </w:r>
      </w:hyperlink>
    </w:p>
    <w:p w14:paraId="73161BF0" w14:textId="77777777" w:rsidR="00B30FE4" w:rsidRPr="00B30FE4" w:rsidRDefault="00B30FE4" w:rsidP="00B30FE4"/>
    <w:p w14:paraId="323ACD49" w14:textId="77777777" w:rsidR="00B30FE4" w:rsidRPr="000720D0" w:rsidRDefault="00B30FE4" w:rsidP="00D64D54">
      <w:pPr>
        <w:pStyle w:val="Heading3"/>
      </w:pPr>
      <w:r w:rsidRPr="000720D0">
        <w:t>Categories of Documents</w:t>
      </w:r>
    </w:p>
    <w:p w14:paraId="14E2302E" w14:textId="77777777" w:rsidR="00B30FE4" w:rsidRPr="00B30FE4" w:rsidRDefault="00B30FE4" w:rsidP="00B30FE4">
      <w:r w:rsidRPr="00B30FE4">
        <w:t>Documents maintained in the possession of Museum Victoria include:</w:t>
      </w:r>
    </w:p>
    <w:p w14:paraId="445F1334" w14:textId="77777777" w:rsidR="00B30FE4" w:rsidRPr="00B30FE4" w:rsidRDefault="00B30FE4" w:rsidP="00B30FE4">
      <w:pPr>
        <w:numPr>
          <w:ilvl w:val="0"/>
          <w:numId w:val="4"/>
        </w:numPr>
        <w:ind w:left="426" w:hanging="426"/>
      </w:pPr>
      <w:r w:rsidRPr="00B30FE4">
        <w:t>records pertaining to our buildings and other assets</w:t>
      </w:r>
    </w:p>
    <w:p w14:paraId="0E70781A" w14:textId="77777777" w:rsidR="00B30FE4" w:rsidRPr="00B30FE4" w:rsidRDefault="00B30FE4" w:rsidP="00B30FE4">
      <w:pPr>
        <w:numPr>
          <w:ilvl w:val="0"/>
          <w:numId w:val="4"/>
        </w:numPr>
        <w:ind w:left="426" w:hanging="426"/>
      </w:pPr>
      <w:r w:rsidRPr="00B30FE4">
        <w:t>records pertaining to objects in the Museum Victoria collection</w:t>
      </w:r>
    </w:p>
    <w:p w14:paraId="0BBC387E" w14:textId="77777777" w:rsidR="00B30FE4" w:rsidRPr="00B30FE4" w:rsidRDefault="00B30FE4" w:rsidP="00B30FE4">
      <w:pPr>
        <w:numPr>
          <w:ilvl w:val="0"/>
          <w:numId w:val="4"/>
        </w:numPr>
        <w:ind w:left="426" w:hanging="426"/>
      </w:pPr>
      <w:r w:rsidRPr="00B30FE4">
        <w:t>Museum Victoria policies and procedures</w:t>
      </w:r>
    </w:p>
    <w:p w14:paraId="4ECFF258" w14:textId="77777777" w:rsidR="00B30FE4" w:rsidRPr="00B30FE4" w:rsidRDefault="00B30FE4" w:rsidP="00B30FE4">
      <w:pPr>
        <w:numPr>
          <w:ilvl w:val="0"/>
          <w:numId w:val="4"/>
        </w:numPr>
        <w:ind w:left="426" w:hanging="426"/>
      </w:pPr>
      <w:r w:rsidRPr="00B30FE4">
        <w:t>records of divisional operations</w:t>
      </w:r>
    </w:p>
    <w:p w14:paraId="1A90F921" w14:textId="77777777" w:rsidR="00B30FE4" w:rsidRPr="00B30FE4" w:rsidRDefault="00B30FE4" w:rsidP="00B30FE4">
      <w:pPr>
        <w:numPr>
          <w:ilvl w:val="0"/>
          <w:numId w:val="4"/>
        </w:numPr>
        <w:ind w:left="426" w:hanging="426"/>
      </w:pPr>
      <w:r w:rsidRPr="00B30FE4">
        <w:t>records of Museums Board of Victoria meetings</w:t>
      </w:r>
    </w:p>
    <w:p w14:paraId="46B234B0" w14:textId="77777777" w:rsidR="00B30FE4" w:rsidRPr="00B30FE4" w:rsidRDefault="00B30FE4" w:rsidP="00B30FE4">
      <w:pPr>
        <w:numPr>
          <w:ilvl w:val="0"/>
          <w:numId w:val="4"/>
        </w:numPr>
        <w:ind w:left="426" w:hanging="426"/>
      </w:pPr>
      <w:r w:rsidRPr="00B30FE4">
        <w:t>finance and accounting records</w:t>
      </w:r>
    </w:p>
    <w:p w14:paraId="3D9C2BA4" w14:textId="77777777" w:rsidR="00B30FE4" w:rsidRPr="00B30FE4" w:rsidRDefault="00B30FE4" w:rsidP="00B30FE4">
      <w:pPr>
        <w:numPr>
          <w:ilvl w:val="0"/>
          <w:numId w:val="4"/>
        </w:numPr>
        <w:ind w:left="426" w:hanging="426"/>
      </w:pPr>
      <w:r w:rsidRPr="00B30FE4">
        <w:t>volunteer records</w:t>
      </w:r>
    </w:p>
    <w:p w14:paraId="2B42F50B" w14:textId="77777777" w:rsidR="00B30FE4" w:rsidRPr="00B30FE4" w:rsidRDefault="00B30FE4" w:rsidP="00B30FE4">
      <w:pPr>
        <w:numPr>
          <w:ilvl w:val="0"/>
          <w:numId w:val="4"/>
        </w:numPr>
        <w:ind w:left="426" w:hanging="426"/>
      </w:pPr>
      <w:r w:rsidRPr="00B30FE4">
        <w:t>personnel and salary records</w:t>
      </w:r>
    </w:p>
    <w:p w14:paraId="42BF5EE5" w14:textId="055C0BEB" w:rsidR="00B30FE4" w:rsidRPr="00B30FE4" w:rsidRDefault="00B30FE4" w:rsidP="00B30FE4">
      <w:pPr>
        <w:numPr>
          <w:ilvl w:val="0"/>
          <w:numId w:val="4"/>
        </w:numPr>
        <w:ind w:left="426" w:hanging="426"/>
      </w:pPr>
      <w:r w:rsidRPr="00B30FE4">
        <w:t>Board member records</w:t>
      </w:r>
    </w:p>
    <w:p w14:paraId="42A83E00" w14:textId="77777777" w:rsidR="00B30FE4" w:rsidRPr="00B30FE4" w:rsidRDefault="00B30FE4" w:rsidP="00B30FE4">
      <w:pPr>
        <w:numPr>
          <w:ilvl w:val="0"/>
          <w:numId w:val="4"/>
        </w:numPr>
        <w:ind w:left="426" w:hanging="426"/>
      </w:pPr>
      <w:r w:rsidRPr="00B30FE4">
        <w:t>Museum Victoria member records.</w:t>
      </w:r>
    </w:p>
    <w:p w14:paraId="4B5F526D" w14:textId="77777777" w:rsidR="00B30FE4" w:rsidRPr="00B30FE4" w:rsidRDefault="00B30FE4" w:rsidP="00B30FE4">
      <w:pPr>
        <w:rPr>
          <w:szCs w:val="22"/>
        </w:rPr>
      </w:pPr>
    </w:p>
    <w:p w14:paraId="22EA03EE" w14:textId="77777777" w:rsidR="00B30FE4" w:rsidRPr="000720D0" w:rsidRDefault="00B30FE4" w:rsidP="00D64D54">
      <w:pPr>
        <w:pStyle w:val="Heading3"/>
      </w:pPr>
      <w:r w:rsidRPr="000720D0">
        <w:t>Requests for Access to Documents</w:t>
      </w:r>
    </w:p>
    <w:p w14:paraId="06A57D42" w14:textId="2FE8BA53" w:rsidR="00B30FE4" w:rsidRPr="00B30FE4" w:rsidRDefault="00B30FE4" w:rsidP="00B30FE4">
      <w:r w:rsidRPr="00B30FE4">
        <w:t xml:space="preserve">Access to documents (as defined in section 5 of the Act) may only be obtained through a written request to the Freedom of Information Officer; a fax is sufficient. Each request should be accompanied by a </w:t>
      </w:r>
      <w:r w:rsidRPr="00DE1B1B">
        <w:t xml:space="preserve">$27.90 </w:t>
      </w:r>
      <w:r w:rsidRPr="00B30FE4">
        <w:t>application fee. An applicant may request photocopies of documents or inspection of specific documents at Museum Victoria, or other access arrangements as appropriate to the application.</w:t>
      </w:r>
    </w:p>
    <w:p w14:paraId="15C2FE82" w14:textId="77777777" w:rsidR="00B30FE4" w:rsidRPr="00B30FE4" w:rsidRDefault="00B30FE4" w:rsidP="00B30FE4"/>
    <w:p w14:paraId="74AA772C" w14:textId="2123C545" w:rsidR="00B30FE4" w:rsidRPr="00B30FE4" w:rsidRDefault="00B30FE4" w:rsidP="00B30FE4">
      <w:r w:rsidRPr="00B30FE4">
        <w:t>Applications should be as specific as possible to enable Museum Victoria to identify the documents sought. Where a request does not sufficiently identify the documents, the applicant will be advised</w:t>
      </w:r>
      <w:r w:rsidR="00EB3E14">
        <w:t>,</w:t>
      </w:r>
      <w:r w:rsidRPr="00B30FE4">
        <w:t xml:space="preserve"> and </w:t>
      </w:r>
      <w:r w:rsidR="00EB3E14">
        <w:t xml:space="preserve">will be </w:t>
      </w:r>
      <w:r w:rsidRPr="00B30FE4">
        <w:t>provided with an opportunity to consult with Museum Victoria in order to redefine the request.</w:t>
      </w:r>
    </w:p>
    <w:p w14:paraId="4AAACACB" w14:textId="77777777" w:rsidR="00B30FE4" w:rsidRPr="00B30FE4" w:rsidRDefault="00B30FE4" w:rsidP="00B30FE4"/>
    <w:p w14:paraId="0DF42EB9" w14:textId="54AD9559" w:rsidR="00B30FE4" w:rsidRPr="00B30FE4" w:rsidRDefault="00B30FE4" w:rsidP="00B30FE4">
      <w:r w:rsidRPr="00B30FE4">
        <w:t xml:space="preserve">Section 21 of the Act requires that all reasonable steps be taken to notify the applicant of the decision concerning the release of documents as soon as practicable. It must be no later than 45 days after the date on </w:t>
      </w:r>
      <w:r w:rsidR="00B43021">
        <w:t>which the request was received.</w:t>
      </w:r>
    </w:p>
    <w:p w14:paraId="6BB11FC2" w14:textId="77777777" w:rsidR="00B30FE4" w:rsidRPr="000720D0" w:rsidRDefault="00B30FE4" w:rsidP="00D64D54">
      <w:pPr>
        <w:pStyle w:val="Heading3"/>
      </w:pPr>
      <w:r w:rsidRPr="000720D0">
        <w:t>Charges Under the Act</w:t>
      </w:r>
    </w:p>
    <w:p w14:paraId="1FD262C7" w14:textId="5BFEA402" w:rsidR="00AE25A3" w:rsidRDefault="00B30FE4" w:rsidP="00B30FE4">
      <w:r w:rsidRPr="00B30FE4">
        <w:t>Section 22 of the Act outlines the principles for the levy to be paid by an applicant before access to a document is given, and for the waiver of charges. The application fee is</w:t>
      </w:r>
      <w:r w:rsidR="00237D69">
        <w:t xml:space="preserve"> </w:t>
      </w:r>
      <w:r w:rsidRPr="00DE1B1B">
        <w:t>$27.90</w:t>
      </w:r>
      <w:r w:rsidRPr="00B30FE4">
        <w:t>. Further charges may be levied for photocopying and searching for documents, or for supervising access. Some charges may be waived in certain circumstances.</w:t>
      </w:r>
    </w:p>
    <w:p w14:paraId="54EA9236" w14:textId="77777777" w:rsidR="004E7076" w:rsidRPr="00B30FE4" w:rsidRDefault="004E7076" w:rsidP="00B30FE4"/>
    <w:p w14:paraId="45F80293" w14:textId="094108DE" w:rsidR="004E7076" w:rsidRPr="004E7076" w:rsidRDefault="00B30FE4" w:rsidP="0094180C">
      <w:pPr>
        <w:pStyle w:val="Heading3"/>
      </w:pPr>
      <w:r w:rsidRPr="000720D0">
        <w:t>Availability of Additional Information</w:t>
      </w:r>
    </w:p>
    <w:p w14:paraId="1D5B48FC" w14:textId="77777777" w:rsidR="00B30FE4" w:rsidRPr="00B30FE4" w:rsidRDefault="00B30FE4" w:rsidP="00B30FE4">
      <w:pPr>
        <w:rPr>
          <w:snapToGrid w:val="0"/>
          <w:lang w:eastAsia="en-US"/>
        </w:rPr>
      </w:pPr>
      <w:r w:rsidRPr="00B30FE4">
        <w:rPr>
          <w:snapToGrid w:val="0"/>
          <w:lang w:eastAsia="en-US"/>
        </w:rPr>
        <w:t>The following information relating to Museum Victoria and relevant to the financial year is available to the minister, members of parliament and the public on request:</w:t>
      </w:r>
    </w:p>
    <w:p w14:paraId="520BA311" w14:textId="77777777" w:rsidR="00B30FE4" w:rsidRPr="00B30FE4" w:rsidRDefault="00B30FE4" w:rsidP="00B30FE4">
      <w:pPr>
        <w:widowControl w:val="0"/>
        <w:numPr>
          <w:ilvl w:val="0"/>
          <w:numId w:val="10"/>
        </w:numPr>
        <w:autoSpaceDE w:val="0"/>
        <w:autoSpaceDN w:val="0"/>
        <w:adjustRightInd w:val="0"/>
        <w:ind w:left="426" w:hanging="426"/>
      </w:pPr>
      <w:r w:rsidRPr="00B30FE4">
        <w:t>a statement that declarations of pecuniary interests have been duly completed by all relevant officers</w:t>
      </w:r>
    </w:p>
    <w:p w14:paraId="237BB3DF" w14:textId="77777777" w:rsidR="00B30FE4" w:rsidRPr="00B30FE4" w:rsidRDefault="00B30FE4" w:rsidP="00B30FE4">
      <w:pPr>
        <w:widowControl w:val="0"/>
        <w:numPr>
          <w:ilvl w:val="0"/>
          <w:numId w:val="10"/>
        </w:numPr>
        <w:autoSpaceDE w:val="0"/>
        <w:autoSpaceDN w:val="0"/>
        <w:adjustRightInd w:val="0"/>
        <w:ind w:left="426" w:hanging="426"/>
      </w:pPr>
      <w:r w:rsidRPr="00B30FE4">
        <w:t>details of shares held by a senior officer as nominee or held beneficially in a statutory authority or subsidiary</w:t>
      </w:r>
    </w:p>
    <w:p w14:paraId="5BB02CAE" w14:textId="77777777" w:rsidR="00B30FE4" w:rsidRPr="00B30FE4" w:rsidRDefault="00B30FE4" w:rsidP="00B30FE4">
      <w:pPr>
        <w:widowControl w:val="0"/>
        <w:numPr>
          <w:ilvl w:val="0"/>
          <w:numId w:val="10"/>
        </w:numPr>
        <w:autoSpaceDE w:val="0"/>
        <w:autoSpaceDN w:val="0"/>
        <w:adjustRightInd w:val="0"/>
        <w:ind w:left="426" w:hanging="426"/>
      </w:pPr>
      <w:r w:rsidRPr="00B30FE4">
        <w:t>details of publications produced by Museum Victoria about the museum, and the places where publications can be obtained</w:t>
      </w:r>
    </w:p>
    <w:p w14:paraId="10AEF1AC" w14:textId="77777777" w:rsidR="00B30FE4" w:rsidRPr="00B30FE4" w:rsidRDefault="00B30FE4" w:rsidP="00B30FE4">
      <w:pPr>
        <w:widowControl w:val="0"/>
        <w:numPr>
          <w:ilvl w:val="0"/>
          <w:numId w:val="10"/>
        </w:numPr>
        <w:autoSpaceDE w:val="0"/>
        <w:autoSpaceDN w:val="0"/>
        <w:adjustRightInd w:val="0"/>
        <w:ind w:left="426" w:hanging="426"/>
      </w:pPr>
      <w:r w:rsidRPr="00B30FE4">
        <w:t>details of changes in prices, fees, charges, rates and levies charged by Museum Victoria</w:t>
      </w:r>
    </w:p>
    <w:p w14:paraId="2279FA86" w14:textId="77777777" w:rsidR="00B30FE4" w:rsidRPr="00B30FE4" w:rsidRDefault="00B30FE4" w:rsidP="00B30FE4">
      <w:pPr>
        <w:widowControl w:val="0"/>
        <w:numPr>
          <w:ilvl w:val="0"/>
          <w:numId w:val="10"/>
        </w:numPr>
        <w:autoSpaceDE w:val="0"/>
        <w:autoSpaceDN w:val="0"/>
        <w:adjustRightInd w:val="0"/>
        <w:ind w:left="426" w:hanging="426"/>
      </w:pPr>
      <w:r w:rsidRPr="00B30FE4">
        <w:t>details of any major external reviews carried out on Museum Victoria</w:t>
      </w:r>
    </w:p>
    <w:p w14:paraId="3C8CB282" w14:textId="77777777" w:rsidR="00B30FE4" w:rsidRPr="00B30FE4" w:rsidRDefault="00B30FE4" w:rsidP="00B30FE4">
      <w:pPr>
        <w:widowControl w:val="0"/>
        <w:numPr>
          <w:ilvl w:val="0"/>
          <w:numId w:val="10"/>
        </w:numPr>
        <w:autoSpaceDE w:val="0"/>
        <w:autoSpaceDN w:val="0"/>
        <w:adjustRightInd w:val="0"/>
        <w:ind w:left="426" w:hanging="426"/>
      </w:pPr>
      <w:r w:rsidRPr="00B30FE4">
        <w:t>details of major research and development activities undertaken by Museum Victoria</w:t>
      </w:r>
    </w:p>
    <w:p w14:paraId="7CA8F82B" w14:textId="77777777" w:rsidR="00B30FE4" w:rsidRPr="00B30FE4" w:rsidRDefault="00B30FE4" w:rsidP="00B30FE4">
      <w:pPr>
        <w:widowControl w:val="0"/>
        <w:numPr>
          <w:ilvl w:val="0"/>
          <w:numId w:val="10"/>
        </w:numPr>
        <w:autoSpaceDE w:val="0"/>
        <w:autoSpaceDN w:val="0"/>
        <w:adjustRightInd w:val="0"/>
        <w:ind w:left="426" w:hanging="426"/>
      </w:pPr>
      <w:r w:rsidRPr="00B30FE4">
        <w:t>details of overseas visits undertaken, including a summary of the objectives and outcomes of each visit</w:t>
      </w:r>
    </w:p>
    <w:p w14:paraId="79458CBE" w14:textId="77777777" w:rsidR="00B30FE4" w:rsidRPr="00B30FE4" w:rsidRDefault="00B30FE4" w:rsidP="00B30FE4">
      <w:pPr>
        <w:widowControl w:val="0"/>
        <w:numPr>
          <w:ilvl w:val="0"/>
          <w:numId w:val="10"/>
        </w:numPr>
        <w:autoSpaceDE w:val="0"/>
        <w:autoSpaceDN w:val="0"/>
        <w:adjustRightInd w:val="0"/>
        <w:ind w:left="426" w:hanging="426"/>
      </w:pPr>
      <w:r w:rsidRPr="00B30FE4">
        <w:t>details of major promotional, public relations and marketing activities undertaken by Museum Victoria to develop community awareness of and engagement with the museum venues and the services we provide</w:t>
      </w:r>
    </w:p>
    <w:p w14:paraId="7C35506D" w14:textId="77777777" w:rsidR="00B30FE4" w:rsidRPr="00B30FE4" w:rsidRDefault="00B30FE4" w:rsidP="00B30FE4">
      <w:pPr>
        <w:widowControl w:val="0"/>
        <w:numPr>
          <w:ilvl w:val="0"/>
          <w:numId w:val="10"/>
        </w:numPr>
        <w:autoSpaceDE w:val="0"/>
        <w:autoSpaceDN w:val="0"/>
        <w:adjustRightInd w:val="0"/>
        <w:ind w:left="426" w:hanging="426"/>
      </w:pPr>
      <w:r w:rsidRPr="00B30FE4">
        <w:t>details of assessments and measures undertaken to improve the occupational health and safety of employees</w:t>
      </w:r>
    </w:p>
    <w:p w14:paraId="245B6C19" w14:textId="0E40D57A" w:rsidR="00B30FE4" w:rsidRPr="00B30FE4" w:rsidRDefault="00B30FE4" w:rsidP="00B30FE4">
      <w:pPr>
        <w:widowControl w:val="0"/>
        <w:numPr>
          <w:ilvl w:val="0"/>
          <w:numId w:val="10"/>
        </w:numPr>
        <w:autoSpaceDE w:val="0"/>
        <w:autoSpaceDN w:val="0"/>
        <w:adjustRightInd w:val="0"/>
        <w:ind w:left="426" w:hanging="426"/>
      </w:pPr>
      <w:r w:rsidRPr="00B30FE4">
        <w:t>a general statement on industrial relations within Museum Victoria and details of time los</w:t>
      </w:r>
      <w:r w:rsidR="00AE25A3">
        <w:t>t</w:t>
      </w:r>
      <w:r w:rsidRPr="00B30FE4">
        <w:t xml:space="preserve"> through industrial accidents and disputes</w:t>
      </w:r>
    </w:p>
    <w:p w14:paraId="624EB05B" w14:textId="3741F3BD" w:rsidR="00B30FE4" w:rsidRPr="00B30FE4" w:rsidRDefault="00B30FE4" w:rsidP="00B30FE4">
      <w:pPr>
        <w:widowControl w:val="0"/>
        <w:numPr>
          <w:ilvl w:val="0"/>
          <w:numId w:val="10"/>
        </w:numPr>
        <w:autoSpaceDE w:val="0"/>
        <w:autoSpaceDN w:val="0"/>
        <w:adjustRightInd w:val="0"/>
        <w:ind w:left="426" w:hanging="426"/>
      </w:pPr>
      <w:r w:rsidRPr="00B30FE4">
        <w:t>a list of major committees sponsored by Museum Victoria, the purpose of each committee and the extent to which its purposes have been achieved</w:t>
      </w:r>
    </w:p>
    <w:p w14:paraId="2F9FD246" w14:textId="657A6D80" w:rsidR="00BE4CEC" w:rsidRDefault="00B30FE4" w:rsidP="00B43021">
      <w:pPr>
        <w:widowControl w:val="0"/>
        <w:numPr>
          <w:ilvl w:val="0"/>
          <w:numId w:val="10"/>
        </w:numPr>
        <w:autoSpaceDE w:val="0"/>
        <w:autoSpaceDN w:val="0"/>
        <w:adjustRightInd w:val="0"/>
        <w:ind w:left="426" w:hanging="426"/>
      </w:pPr>
      <w:r w:rsidRPr="00B30FE4">
        <w:t xml:space="preserve">details of all consultancies and contractors, including </w:t>
      </w:r>
      <w:r w:rsidR="00AE25A3">
        <w:t>those</w:t>
      </w:r>
      <w:r w:rsidRPr="00B30FE4">
        <w:t xml:space="preserve"> engaged, services provided and expenditure committed to for each engagement.</w:t>
      </w:r>
    </w:p>
    <w:p w14:paraId="56879CE4" w14:textId="77777777" w:rsidR="004E7076" w:rsidRPr="00B30FE4" w:rsidRDefault="004E7076" w:rsidP="004E7076">
      <w:pPr>
        <w:widowControl w:val="0"/>
        <w:autoSpaceDE w:val="0"/>
        <w:autoSpaceDN w:val="0"/>
        <w:adjustRightInd w:val="0"/>
      </w:pPr>
    </w:p>
    <w:p w14:paraId="7AC61B86" w14:textId="77777777" w:rsidR="00B30FE4" w:rsidRPr="000720D0" w:rsidRDefault="00B30FE4" w:rsidP="00D64D54">
      <w:pPr>
        <w:pStyle w:val="Heading3"/>
      </w:pPr>
      <w:r w:rsidRPr="000720D0">
        <w:t>Disability Action Plan</w:t>
      </w:r>
    </w:p>
    <w:p w14:paraId="1D1AE156" w14:textId="77777777" w:rsidR="00B30FE4" w:rsidRPr="00B30FE4" w:rsidRDefault="00B30FE4" w:rsidP="00B30FE4">
      <w:r w:rsidRPr="00B30FE4">
        <w:t>Projects undertaken during the year include:</w:t>
      </w:r>
    </w:p>
    <w:p w14:paraId="2B436B3F" w14:textId="77777777" w:rsidR="00B30FE4" w:rsidRPr="00B30FE4" w:rsidRDefault="00B30FE4" w:rsidP="00B30FE4">
      <w:pPr>
        <w:widowControl w:val="0"/>
        <w:numPr>
          <w:ilvl w:val="0"/>
          <w:numId w:val="10"/>
        </w:numPr>
        <w:autoSpaceDE w:val="0"/>
        <w:autoSpaceDN w:val="0"/>
        <w:adjustRightInd w:val="0"/>
        <w:ind w:left="426" w:hanging="426"/>
      </w:pPr>
      <w:r w:rsidRPr="00B30FE4">
        <w:t xml:space="preserve">delivery of disability awareness training </w:t>
      </w:r>
    </w:p>
    <w:p w14:paraId="547622E8" w14:textId="1739BFB2" w:rsidR="00B30FE4" w:rsidRDefault="00B30FE4" w:rsidP="00B30FE4">
      <w:pPr>
        <w:widowControl w:val="0"/>
        <w:numPr>
          <w:ilvl w:val="0"/>
          <w:numId w:val="10"/>
        </w:numPr>
        <w:autoSpaceDE w:val="0"/>
        <w:autoSpaceDN w:val="0"/>
        <w:adjustRightInd w:val="0"/>
        <w:ind w:left="426" w:hanging="426"/>
      </w:pPr>
      <w:r w:rsidRPr="00B30FE4">
        <w:t xml:space="preserve">signing of a memorandum of understanding with the National Disability Recruitment Coordinator </w:t>
      </w:r>
    </w:p>
    <w:p w14:paraId="6E77E107" w14:textId="1E2FFCC3" w:rsidR="00BC3C2E" w:rsidRPr="00B30FE4" w:rsidRDefault="00BC3C2E" w:rsidP="00B30FE4">
      <w:pPr>
        <w:widowControl w:val="0"/>
        <w:numPr>
          <w:ilvl w:val="0"/>
          <w:numId w:val="10"/>
        </w:numPr>
        <w:autoSpaceDE w:val="0"/>
        <w:autoSpaceDN w:val="0"/>
        <w:adjustRightInd w:val="0"/>
        <w:ind w:left="426" w:hanging="426"/>
      </w:pPr>
      <w:r>
        <w:t>performances by Wild at Heart’s 2 Hot 2 Handle hip-hop crew at Melbourne Museum</w:t>
      </w:r>
    </w:p>
    <w:p w14:paraId="2B9AA85A" w14:textId="56D9761E" w:rsidR="004E7076" w:rsidRDefault="00B30FE4" w:rsidP="004E7076">
      <w:pPr>
        <w:widowControl w:val="0"/>
        <w:numPr>
          <w:ilvl w:val="0"/>
          <w:numId w:val="10"/>
        </w:numPr>
        <w:autoSpaceDE w:val="0"/>
        <w:autoSpaceDN w:val="0"/>
        <w:adjustRightInd w:val="0"/>
        <w:ind w:left="426" w:hanging="426"/>
      </w:pPr>
      <w:r w:rsidRPr="00B30FE4">
        <w:t xml:space="preserve">publishing of online sensory maps and social scripts for </w:t>
      </w:r>
      <w:r w:rsidR="00117321">
        <w:t>Melbourne Museum</w:t>
      </w:r>
      <w:r w:rsidRPr="00B30FE4">
        <w:t>,</w:t>
      </w:r>
      <w:r w:rsidR="00117321">
        <w:t xml:space="preserve"> the Immigration Museum and Scienceworks</w:t>
      </w:r>
      <w:r w:rsidRPr="00B30FE4">
        <w:t xml:space="preserve"> under the Autism</w:t>
      </w:r>
      <w:r w:rsidR="00EA2F0D">
        <w:t xml:space="preserve"> </w:t>
      </w:r>
      <w:r w:rsidR="00215F05">
        <w:t>F</w:t>
      </w:r>
      <w:r w:rsidRPr="00B30FE4">
        <w:t>riendly Museum project. The Royal Exhibition Building was also lit up blue to recognise World Autism Day.</w:t>
      </w:r>
    </w:p>
    <w:p w14:paraId="3EA51AC6" w14:textId="5F00E975" w:rsidR="004E7076" w:rsidRPr="00B30FE4" w:rsidRDefault="004E7076" w:rsidP="004E7076">
      <w:pPr>
        <w:spacing w:after="200" w:line="276" w:lineRule="auto"/>
      </w:pPr>
      <w:r>
        <w:br w:type="page"/>
      </w:r>
    </w:p>
    <w:p w14:paraId="67395025" w14:textId="1EFDD1F7" w:rsidR="004E7076" w:rsidRPr="004E7076" w:rsidRDefault="00B30FE4" w:rsidP="0094180C">
      <w:pPr>
        <w:pStyle w:val="Heading3"/>
      </w:pPr>
      <w:r w:rsidRPr="000720D0">
        <w:t xml:space="preserve">Victorian </w:t>
      </w:r>
      <w:r w:rsidRPr="002A64FC">
        <w:t>Government</w:t>
      </w:r>
      <w:r w:rsidRPr="000720D0">
        <w:t xml:space="preserve"> Risk Management Framework</w:t>
      </w:r>
    </w:p>
    <w:p w14:paraId="51392733" w14:textId="68C997D5" w:rsidR="00BC3C2E" w:rsidRDefault="00BC3C2E" w:rsidP="000720D0">
      <w:pPr>
        <w:rPr>
          <w:rFonts w:ascii="Calibri" w:hAnsi="Calibri"/>
          <w:szCs w:val="22"/>
        </w:rPr>
      </w:pPr>
      <w:r>
        <w:t>I, Margaret Gardner, certify that the Museums Board of Victoria has complied with the Ministerial Standing Direction 4.5.5 – Risk Management Framework and Processes. The Finance, Audit an</w:t>
      </w:r>
      <w:r w:rsidR="002A64FC">
        <w:t>d Risk Committee verifies this.</w:t>
      </w:r>
    </w:p>
    <w:p w14:paraId="2F7A4596" w14:textId="57E8CD36" w:rsidR="00B30FE4" w:rsidRPr="00B30FE4" w:rsidRDefault="00B30FE4" w:rsidP="00B30FE4"/>
    <w:p w14:paraId="3A3BD7DD" w14:textId="549989CA" w:rsidR="00B30FE4" w:rsidRPr="00B30FE4" w:rsidRDefault="006B0EC0" w:rsidP="00B30FE4">
      <w:r w:rsidRPr="00C67F92">
        <w:rPr>
          <w:noProof/>
        </w:rPr>
        <w:drawing>
          <wp:inline distT="0" distB="0" distL="0" distR="0" wp14:anchorId="2147FB4D" wp14:editId="6180888B">
            <wp:extent cx="1733550" cy="564919"/>
            <wp:effectExtent l="0" t="0" r="0" b="6985"/>
            <wp:docPr id="9" name="Picture 9" descr="Scanned signature of Professor Margaret Gardner AO, President Museums Board of Victoria" title="Signature Professor Margaret Gardner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402" cy="572040"/>
                    </a:xfrm>
                    <a:prstGeom prst="rect">
                      <a:avLst/>
                    </a:prstGeom>
                    <a:noFill/>
                    <a:ln>
                      <a:noFill/>
                    </a:ln>
                  </pic:spPr>
                </pic:pic>
              </a:graphicData>
            </a:graphic>
          </wp:inline>
        </w:drawing>
      </w:r>
    </w:p>
    <w:p w14:paraId="24D51A2C" w14:textId="77777777" w:rsidR="00B30FE4" w:rsidRPr="00B30FE4" w:rsidRDefault="00B30FE4" w:rsidP="00B30FE4">
      <w:r w:rsidRPr="00B30FE4">
        <w:t>Professor Margaret Gardner AO</w:t>
      </w:r>
    </w:p>
    <w:p w14:paraId="1E59C39B" w14:textId="77777777" w:rsidR="00B30FE4" w:rsidRPr="00B30FE4" w:rsidRDefault="00B30FE4" w:rsidP="00B30FE4">
      <w:r w:rsidRPr="00B30FE4">
        <w:t>President, Museums Board of Victoria</w:t>
      </w:r>
    </w:p>
    <w:p w14:paraId="74B1DEEE" w14:textId="77777777" w:rsidR="00B30FE4" w:rsidRPr="00B30FE4" w:rsidRDefault="00B30FE4" w:rsidP="00B30FE4">
      <w:r w:rsidRPr="00B30FE4">
        <w:t>30 June 2016</w:t>
      </w:r>
    </w:p>
    <w:p w14:paraId="66C2578E" w14:textId="77777777" w:rsidR="00B30FE4" w:rsidRPr="00B30FE4" w:rsidRDefault="00B30FE4" w:rsidP="00B30FE4"/>
    <w:p w14:paraId="41090AF1" w14:textId="0A6CB5BE" w:rsidR="004E7076" w:rsidRPr="004E7076" w:rsidRDefault="00B30FE4" w:rsidP="0094180C">
      <w:pPr>
        <w:pStyle w:val="Heading3"/>
      </w:pPr>
      <w:r w:rsidRPr="000720D0">
        <w:t>National Competition Policy</w:t>
      </w:r>
    </w:p>
    <w:p w14:paraId="38CEDB77" w14:textId="2C08785F" w:rsidR="00B30FE4" w:rsidRDefault="00B30FE4" w:rsidP="00B30FE4">
      <w:r w:rsidRPr="00B30FE4">
        <w:t xml:space="preserve">Museum Victoria is committed to competitive neutrality principles, ensuring fair and open competition. Many non-core activities have been outsourced, such as cleaning, food and </w:t>
      </w:r>
      <w:r w:rsidR="00B43021">
        <w:t>beverage services and security.</w:t>
      </w:r>
    </w:p>
    <w:p w14:paraId="12F58670" w14:textId="77777777" w:rsidR="004E7076" w:rsidRPr="00B30FE4" w:rsidRDefault="004E7076" w:rsidP="00B30FE4"/>
    <w:p w14:paraId="703323B7" w14:textId="0784F8AB" w:rsidR="004E7076" w:rsidRPr="004E7076" w:rsidRDefault="00B30FE4" w:rsidP="0094180C">
      <w:pPr>
        <w:pStyle w:val="Heading3"/>
      </w:pPr>
      <w:r w:rsidRPr="000720D0">
        <w:t>Victorian Industry Participation Policy</w:t>
      </w:r>
    </w:p>
    <w:p w14:paraId="312299B9" w14:textId="77777777" w:rsidR="00A74250" w:rsidRDefault="00A74250" w:rsidP="00A74250">
      <w:pPr>
        <w:rPr>
          <w:rFonts w:cs="Arial"/>
        </w:rPr>
      </w:pPr>
      <w:r w:rsidRPr="00422B69">
        <w:rPr>
          <w:rFonts w:cs="Arial"/>
        </w:rPr>
        <w:t xml:space="preserve">The </w:t>
      </w:r>
      <w:r w:rsidRPr="00422B69">
        <w:rPr>
          <w:rFonts w:cs="Arial"/>
          <w:i/>
          <w:iCs/>
        </w:rPr>
        <w:t xml:space="preserve">Victorian Industry Participation Policy Act 2003 </w:t>
      </w:r>
      <w:r w:rsidRPr="00422B69">
        <w:rPr>
          <w:rFonts w:cs="Arial"/>
        </w:rPr>
        <w:t>requires public bodies to report on the application of the</w:t>
      </w:r>
      <w:r w:rsidRPr="00422B69">
        <w:rPr>
          <w:rFonts w:cs="Arial"/>
          <w:i/>
          <w:iCs/>
        </w:rPr>
        <w:t xml:space="preserve"> </w:t>
      </w:r>
      <w:r w:rsidRPr="00422B69">
        <w:rPr>
          <w:rFonts w:cs="Arial"/>
          <w:iCs/>
        </w:rPr>
        <w:t>Victorian Industry Participation Policy</w:t>
      </w:r>
      <w:r w:rsidRPr="00422B69">
        <w:rPr>
          <w:rFonts w:cs="Arial"/>
        </w:rPr>
        <w:t xml:space="preserve"> (VIPP) to all tenders over $3 million in metropolitan Melbourne and $1 million in regional Victoria.</w:t>
      </w:r>
      <w:r w:rsidRPr="00422B69" w:rsidDel="00F26E31">
        <w:rPr>
          <w:rFonts w:cs="Arial"/>
        </w:rPr>
        <w:t xml:space="preserve"> </w:t>
      </w:r>
    </w:p>
    <w:p w14:paraId="17702427" w14:textId="77777777" w:rsidR="00A74250" w:rsidRPr="00352195" w:rsidRDefault="00A74250" w:rsidP="00A74250">
      <w:pPr>
        <w:rPr>
          <w:rFonts w:cs="Arial"/>
        </w:rPr>
      </w:pPr>
    </w:p>
    <w:p w14:paraId="4427ACC2" w14:textId="78306A6E" w:rsidR="00A74250" w:rsidRPr="00352195" w:rsidRDefault="00A74250" w:rsidP="00A74250">
      <w:pPr>
        <w:rPr>
          <w:rFonts w:cs="Arial"/>
        </w:rPr>
      </w:pPr>
      <w:r w:rsidRPr="00352195">
        <w:rPr>
          <w:rFonts w:cs="Arial"/>
        </w:rPr>
        <w:t>During 2015</w:t>
      </w:r>
      <w:r w:rsidR="000E2A9E">
        <w:rPr>
          <w:rFonts w:cs="Arial"/>
        </w:rPr>
        <w:t>–</w:t>
      </w:r>
      <w:r w:rsidRPr="00352195">
        <w:rPr>
          <w:rFonts w:cs="Arial"/>
        </w:rPr>
        <w:t xml:space="preserve">16, </w:t>
      </w:r>
      <w:r>
        <w:rPr>
          <w:rFonts w:cs="Arial"/>
        </w:rPr>
        <w:t>one</w:t>
      </w:r>
      <w:r w:rsidR="00760324">
        <w:rPr>
          <w:rFonts w:cs="Arial"/>
        </w:rPr>
        <w:t xml:space="preserve"> VIPP applicable contract</w:t>
      </w:r>
      <w:r w:rsidRPr="00352195">
        <w:rPr>
          <w:rFonts w:cs="Arial"/>
        </w:rPr>
        <w:t xml:space="preserve"> </w:t>
      </w:r>
      <w:r>
        <w:rPr>
          <w:rFonts w:cs="Arial"/>
        </w:rPr>
        <w:t xml:space="preserve">commenced </w:t>
      </w:r>
      <w:r w:rsidRPr="00352195">
        <w:rPr>
          <w:rFonts w:cs="Arial"/>
        </w:rPr>
        <w:t xml:space="preserve">totalling $11.3million. </w:t>
      </w:r>
    </w:p>
    <w:p w14:paraId="411B57FB" w14:textId="77777777" w:rsidR="00A74250" w:rsidRPr="00352195" w:rsidRDefault="00A74250" w:rsidP="00A74250">
      <w:pPr>
        <w:rPr>
          <w:rFonts w:cs="Arial"/>
          <w:szCs w:val="22"/>
        </w:rPr>
      </w:pPr>
    </w:p>
    <w:p w14:paraId="510B194A" w14:textId="746FF6D1" w:rsidR="00A74250" w:rsidRPr="00352195" w:rsidRDefault="00A74250" w:rsidP="00A74250">
      <w:pPr>
        <w:rPr>
          <w:rFonts w:cs="Arial"/>
        </w:rPr>
      </w:pPr>
      <w:r w:rsidRPr="00352195">
        <w:rPr>
          <w:rFonts w:cs="Arial"/>
        </w:rPr>
        <w:t>The outcomes expected from the implementation of the VIPP to this project are:</w:t>
      </w:r>
    </w:p>
    <w:p w14:paraId="31D6154F" w14:textId="065CAFAF" w:rsidR="00A74250" w:rsidRPr="00352195" w:rsidRDefault="00A74250" w:rsidP="00A74250">
      <w:pPr>
        <w:pStyle w:val="Bullet"/>
        <w:rPr>
          <w:rFonts w:cs="Arial"/>
        </w:rPr>
      </w:pPr>
      <w:r w:rsidRPr="00352195">
        <w:rPr>
          <w:rFonts w:cs="Arial"/>
        </w:rPr>
        <w:t>an average of 100 per cent of local content</w:t>
      </w:r>
    </w:p>
    <w:p w14:paraId="75B8B765" w14:textId="79EDF580" w:rsidR="00E742A2" w:rsidRDefault="00A74250" w:rsidP="00B30FE4">
      <w:pPr>
        <w:pStyle w:val="Bullet"/>
        <w:rPr>
          <w:rFonts w:cs="Arial"/>
        </w:rPr>
      </w:pPr>
      <w:r w:rsidRPr="00352195">
        <w:rPr>
          <w:rFonts w:cs="Arial"/>
        </w:rPr>
        <w:t>a total of 26 jobs (AEE)</w:t>
      </w:r>
      <w:r w:rsidR="0038325B">
        <w:rPr>
          <w:rFonts w:cs="Arial"/>
        </w:rPr>
        <w:t>.</w:t>
      </w:r>
    </w:p>
    <w:p w14:paraId="74EE2A0C" w14:textId="77777777" w:rsidR="004E7076" w:rsidRPr="004E7076" w:rsidRDefault="004E7076" w:rsidP="004E7076">
      <w:pPr>
        <w:rPr>
          <w:lang w:eastAsia="en-US"/>
        </w:rPr>
      </w:pPr>
    </w:p>
    <w:p w14:paraId="7D5532C0" w14:textId="77777777" w:rsidR="00B30FE4" w:rsidRDefault="00B30FE4" w:rsidP="002A64FC">
      <w:pPr>
        <w:pStyle w:val="Heading3"/>
      </w:pPr>
      <w:r w:rsidRPr="000720D0">
        <w:t>Consultancies</w:t>
      </w:r>
    </w:p>
    <w:p w14:paraId="4888EF6D" w14:textId="458ED769" w:rsidR="00B30FE4" w:rsidRDefault="00B30FE4" w:rsidP="00B30FE4">
      <w:pPr>
        <w:rPr>
          <w:snapToGrid w:val="0"/>
        </w:rPr>
      </w:pPr>
      <w:r w:rsidRPr="00B30FE4">
        <w:rPr>
          <w:snapToGrid w:val="0"/>
        </w:rPr>
        <w:t xml:space="preserve">In 2015–16, </w:t>
      </w:r>
      <w:r w:rsidR="001F4BAE" w:rsidRPr="00777C06">
        <w:rPr>
          <w:snapToGrid w:val="0"/>
        </w:rPr>
        <w:t>two</w:t>
      </w:r>
      <w:r w:rsidRPr="00777C06">
        <w:rPr>
          <w:snapToGrid w:val="0"/>
        </w:rPr>
        <w:t xml:space="preserve"> </w:t>
      </w:r>
      <w:r w:rsidRPr="00B30FE4">
        <w:rPr>
          <w:snapToGrid w:val="0"/>
        </w:rPr>
        <w:t xml:space="preserve">consultancies </w:t>
      </w:r>
      <w:r w:rsidR="0064290B">
        <w:rPr>
          <w:snapToGrid w:val="0"/>
        </w:rPr>
        <w:t>attracted</w:t>
      </w:r>
      <w:r w:rsidRPr="00B30FE4">
        <w:rPr>
          <w:snapToGrid w:val="0"/>
        </w:rPr>
        <w:t xml:space="preserve"> total fees payable </w:t>
      </w:r>
      <w:r w:rsidR="0064290B">
        <w:rPr>
          <w:snapToGrid w:val="0"/>
        </w:rPr>
        <w:t>of</w:t>
      </w:r>
      <w:r w:rsidRPr="00B30FE4">
        <w:rPr>
          <w:snapToGrid w:val="0"/>
        </w:rPr>
        <w:t xml:space="preserve"> $10,000 or greater. The total expenditure incurred during </w:t>
      </w:r>
      <w:r w:rsidR="0064290B">
        <w:rPr>
          <w:snapToGrid w:val="0"/>
        </w:rPr>
        <w:t>the year</w:t>
      </w:r>
      <w:r w:rsidRPr="00B30FE4">
        <w:rPr>
          <w:snapToGrid w:val="0"/>
        </w:rPr>
        <w:t xml:space="preserve"> in relation to these </w:t>
      </w:r>
      <w:r w:rsidR="0064290B">
        <w:rPr>
          <w:snapToGrid w:val="0"/>
        </w:rPr>
        <w:t xml:space="preserve">two </w:t>
      </w:r>
      <w:r w:rsidRPr="00B30FE4">
        <w:rPr>
          <w:snapToGrid w:val="0"/>
        </w:rPr>
        <w:t>consultancies is $</w:t>
      </w:r>
      <w:r w:rsidR="001F4BAE" w:rsidRPr="00777C06">
        <w:rPr>
          <w:snapToGrid w:val="0"/>
        </w:rPr>
        <w:t>85,000</w:t>
      </w:r>
      <w:r w:rsidR="0064290B">
        <w:rPr>
          <w:snapToGrid w:val="0"/>
        </w:rPr>
        <w:t xml:space="preserve">, as </w:t>
      </w:r>
      <w:r w:rsidRPr="00B30FE4">
        <w:rPr>
          <w:snapToGrid w:val="0"/>
        </w:rPr>
        <w:t xml:space="preserve">outlined </w:t>
      </w:r>
      <w:r w:rsidR="0064290B">
        <w:rPr>
          <w:snapToGrid w:val="0"/>
        </w:rPr>
        <w:t xml:space="preserve">in the table of consultancies </w:t>
      </w:r>
      <w:r w:rsidRPr="00B30FE4">
        <w:rPr>
          <w:snapToGrid w:val="0"/>
        </w:rPr>
        <w:t>below.</w:t>
      </w:r>
    </w:p>
    <w:p w14:paraId="08291984" w14:textId="77777777" w:rsidR="00DD29CF" w:rsidRDefault="00DD29CF" w:rsidP="00B30FE4">
      <w:pPr>
        <w:rPr>
          <w:snapToGrid w:val="0"/>
        </w:rPr>
      </w:pPr>
    </w:p>
    <w:p w14:paraId="07A2B5E7" w14:textId="2BC49214" w:rsidR="00DD29CF" w:rsidRPr="00B30FE4" w:rsidRDefault="00DD29CF" w:rsidP="00DD29CF">
      <w:r>
        <w:rPr>
          <w:snapToGrid w:val="0"/>
        </w:rPr>
        <w:t>One</w:t>
      </w:r>
      <w:r w:rsidRPr="00B30FE4">
        <w:t xml:space="preserve"> consultanc</w:t>
      </w:r>
      <w:r>
        <w:t>y</w:t>
      </w:r>
      <w:r w:rsidRPr="00B30FE4">
        <w:t xml:space="preserve"> </w:t>
      </w:r>
      <w:r>
        <w:t>during the year had</w:t>
      </w:r>
      <w:r w:rsidRPr="00B30FE4">
        <w:t xml:space="preserve"> fees</w:t>
      </w:r>
      <w:r>
        <w:t xml:space="preserve"> of less than</w:t>
      </w:r>
      <w:r w:rsidRPr="00B30FE4">
        <w:t xml:space="preserve"> $10,000.</w:t>
      </w:r>
      <w:r>
        <w:t xml:space="preserve"> The total expenditure incurred during the year in relation to this consultancy was $7540.  </w:t>
      </w:r>
    </w:p>
    <w:p w14:paraId="203F7924" w14:textId="77777777" w:rsidR="00DD29CF" w:rsidRPr="00B30FE4" w:rsidRDefault="00DD29CF" w:rsidP="00B30FE4">
      <w:pPr>
        <w:rPr>
          <w:snapToGrid w:val="0"/>
        </w:rPr>
      </w:pPr>
    </w:p>
    <w:p w14:paraId="48561638" w14:textId="3422945E" w:rsidR="00B30FE4" w:rsidRPr="00B30FE4" w:rsidRDefault="00B30FE4" w:rsidP="00B30FE4">
      <w:pPr>
        <w:rPr>
          <w:snapToGrid w:val="0"/>
        </w:rPr>
      </w:pPr>
    </w:p>
    <w:tbl>
      <w:tblPr>
        <w:tblStyle w:val="TableGrid"/>
        <w:tblW w:w="8359" w:type="dxa"/>
        <w:tblLayout w:type="fixed"/>
        <w:tblLook w:val="04A0" w:firstRow="1" w:lastRow="0" w:firstColumn="1" w:lastColumn="0" w:noHBand="0" w:noVBand="1"/>
        <w:tblCaption w:val="Consultant Expenditure"/>
        <w:tblDescription w:val="Shows expenditure on consultants for 2013–14 greater than $10,000."/>
      </w:tblPr>
      <w:tblGrid>
        <w:gridCol w:w="1555"/>
        <w:gridCol w:w="1984"/>
        <w:gridCol w:w="1701"/>
        <w:gridCol w:w="1559"/>
        <w:gridCol w:w="1560"/>
      </w:tblGrid>
      <w:tr w:rsidR="00B30FE4" w:rsidRPr="005F12EF" w14:paraId="0FCA6DF7" w14:textId="77777777" w:rsidTr="0094180C">
        <w:trPr>
          <w:tblHeader/>
        </w:trPr>
        <w:tc>
          <w:tcPr>
            <w:tcW w:w="1555" w:type="dxa"/>
          </w:tcPr>
          <w:p w14:paraId="299F3238" w14:textId="77777777" w:rsidR="00B30FE4" w:rsidRPr="00DE1B1B" w:rsidRDefault="00B30FE4" w:rsidP="00B30FE4">
            <w:pPr>
              <w:rPr>
                <w:b/>
                <w:snapToGrid w:val="0"/>
                <w:szCs w:val="22"/>
              </w:rPr>
            </w:pPr>
            <w:r w:rsidRPr="00DE1B1B">
              <w:rPr>
                <w:b/>
                <w:snapToGrid w:val="0"/>
                <w:szCs w:val="22"/>
              </w:rPr>
              <w:t>Consultant</w:t>
            </w:r>
          </w:p>
        </w:tc>
        <w:tc>
          <w:tcPr>
            <w:tcW w:w="1984" w:type="dxa"/>
          </w:tcPr>
          <w:p w14:paraId="5B5659F2" w14:textId="77777777" w:rsidR="00B30FE4" w:rsidRPr="00DE1B1B" w:rsidRDefault="00B30FE4" w:rsidP="00B30FE4">
            <w:pPr>
              <w:rPr>
                <w:b/>
                <w:snapToGrid w:val="0"/>
                <w:szCs w:val="22"/>
              </w:rPr>
            </w:pPr>
            <w:r w:rsidRPr="00DE1B1B">
              <w:rPr>
                <w:b/>
                <w:snapToGrid w:val="0"/>
                <w:szCs w:val="22"/>
              </w:rPr>
              <w:t>Purpose</w:t>
            </w:r>
          </w:p>
        </w:tc>
        <w:tc>
          <w:tcPr>
            <w:tcW w:w="1701" w:type="dxa"/>
          </w:tcPr>
          <w:p w14:paraId="1AC57D52" w14:textId="13EAA9DE" w:rsidR="00B30FE4" w:rsidRPr="00DE1B1B" w:rsidRDefault="00B30FE4" w:rsidP="00B30FE4">
            <w:pPr>
              <w:rPr>
                <w:b/>
                <w:snapToGrid w:val="0"/>
                <w:szCs w:val="22"/>
              </w:rPr>
            </w:pPr>
            <w:r w:rsidRPr="00DE1B1B">
              <w:rPr>
                <w:b/>
                <w:snapToGrid w:val="0"/>
                <w:szCs w:val="22"/>
              </w:rPr>
              <w:t>Total Approved Project Fee (excl</w:t>
            </w:r>
            <w:r w:rsidR="0064290B">
              <w:rPr>
                <w:b/>
                <w:snapToGrid w:val="0"/>
                <w:szCs w:val="22"/>
              </w:rPr>
              <w:t>.</w:t>
            </w:r>
            <w:r w:rsidRPr="00DE1B1B">
              <w:rPr>
                <w:b/>
                <w:snapToGrid w:val="0"/>
                <w:szCs w:val="22"/>
              </w:rPr>
              <w:t xml:space="preserve"> GST)</w:t>
            </w:r>
          </w:p>
        </w:tc>
        <w:tc>
          <w:tcPr>
            <w:tcW w:w="1559" w:type="dxa"/>
          </w:tcPr>
          <w:p w14:paraId="2565758D" w14:textId="2C837182" w:rsidR="00B30FE4" w:rsidRPr="00DE1B1B" w:rsidRDefault="00B30FE4" w:rsidP="00B30FE4">
            <w:pPr>
              <w:rPr>
                <w:b/>
                <w:snapToGrid w:val="0"/>
                <w:szCs w:val="22"/>
              </w:rPr>
            </w:pPr>
            <w:r w:rsidRPr="00DE1B1B">
              <w:rPr>
                <w:b/>
                <w:snapToGrid w:val="0"/>
                <w:szCs w:val="22"/>
              </w:rPr>
              <w:t>Expenditure 2015–16 (excl</w:t>
            </w:r>
            <w:r w:rsidR="0064290B">
              <w:rPr>
                <w:b/>
                <w:snapToGrid w:val="0"/>
                <w:szCs w:val="22"/>
              </w:rPr>
              <w:t>.</w:t>
            </w:r>
            <w:r w:rsidRPr="00DE1B1B">
              <w:rPr>
                <w:b/>
                <w:snapToGrid w:val="0"/>
                <w:szCs w:val="22"/>
              </w:rPr>
              <w:t xml:space="preserve"> GST)</w:t>
            </w:r>
          </w:p>
        </w:tc>
        <w:tc>
          <w:tcPr>
            <w:tcW w:w="1560" w:type="dxa"/>
          </w:tcPr>
          <w:p w14:paraId="405B75FE" w14:textId="49A6431F" w:rsidR="00B30FE4" w:rsidRPr="00DE1B1B" w:rsidRDefault="00B30FE4" w:rsidP="00B30FE4">
            <w:pPr>
              <w:rPr>
                <w:b/>
                <w:snapToGrid w:val="0"/>
                <w:szCs w:val="22"/>
              </w:rPr>
            </w:pPr>
            <w:r w:rsidRPr="00DE1B1B">
              <w:rPr>
                <w:b/>
                <w:snapToGrid w:val="0"/>
                <w:szCs w:val="22"/>
              </w:rPr>
              <w:t>Future Expenditure (excl</w:t>
            </w:r>
            <w:r w:rsidR="0064290B">
              <w:rPr>
                <w:b/>
                <w:snapToGrid w:val="0"/>
                <w:szCs w:val="22"/>
              </w:rPr>
              <w:t>.</w:t>
            </w:r>
            <w:r w:rsidRPr="00DE1B1B">
              <w:rPr>
                <w:b/>
                <w:snapToGrid w:val="0"/>
                <w:szCs w:val="22"/>
              </w:rPr>
              <w:t xml:space="preserve"> GST)</w:t>
            </w:r>
          </w:p>
        </w:tc>
      </w:tr>
      <w:tr w:rsidR="00B30FE4" w:rsidRPr="00B30FE4" w14:paraId="2C70757D" w14:textId="77777777" w:rsidTr="0094180C">
        <w:trPr>
          <w:trHeight w:val="1648"/>
        </w:trPr>
        <w:tc>
          <w:tcPr>
            <w:tcW w:w="1555" w:type="dxa"/>
          </w:tcPr>
          <w:p w14:paraId="62B2FEC0" w14:textId="77777777" w:rsidR="00B30FE4" w:rsidRPr="0094180C" w:rsidRDefault="00B30FE4" w:rsidP="00B30FE4">
            <w:pPr>
              <w:rPr>
                <w:iCs/>
                <w:szCs w:val="22"/>
                <w:lang w:eastAsia="en-US"/>
              </w:rPr>
            </w:pPr>
            <w:r w:rsidRPr="0094180C">
              <w:rPr>
                <w:iCs/>
                <w:szCs w:val="22"/>
                <w:lang w:eastAsia="en-US"/>
              </w:rPr>
              <w:t>SLM Corporate Pty Ltd</w:t>
            </w:r>
          </w:p>
        </w:tc>
        <w:tc>
          <w:tcPr>
            <w:tcW w:w="1984" w:type="dxa"/>
          </w:tcPr>
          <w:p w14:paraId="07E40630" w14:textId="0A69CD43" w:rsidR="00B30FE4" w:rsidRPr="0094180C" w:rsidRDefault="00B30FE4" w:rsidP="00B30FE4">
            <w:pPr>
              <w:rPr>
                <w:iCs/>
                <w:szCs w:val="22"/>
                <w:lang w:eastAsia="en-US"/>
              </w:rPr>
            </w:pPr>
            <w:r w:rsidRPr="0094180C">
              <w:rPr>
                <w:iCs/>
                <w:szCs w:val="22"/>
                <w:lang w:eastAsia="en-US"/>
              </w:rPr>
              <w:t xml:space="preserve">IMAX Melbourne Museum </w:t>
            </w:r>
            <w:r w:rsidR="0064290B" w:rsidRPr="0094180C">
              <w:rPr>
                <w:iCs/>
                <w:szCs w:val="22"/>
                <w:lang w:eastAsia="en-US"/>
              </w:rPr>
              <w:t>v</w:t>
            </w:r>
            <w:r w:rsidRPr="0094180C">
              <w:rPr>
                <w:iCs/>
                <w:szCs w:val="22"/>
                <w:lang w:eastAsia="en-US"/>
              </w:rPr>
              <w:t>aluation</w:t>
            </w:r>
          </w:p>
        </w:tc>
        <w:tc>
          <w:tcPr>
            <w:tcW w:w="1701" w:type="dxa"/>
          </w:tcPr>
          <w:p w14:paraId="51CE0B45" w14:textId="77777777" w:rsidR="00B30FE4" w:rsidRPr="0094180C" w:rsidRDefault="00B30FE4" w:rsidP="00B30FE4">
            <w:pPr>
              <w:rPr>
                <w:snapToGrid w:val="0"/>
                <w:szCs w:val="22"/>
              </w:rPr>
            </w:pPr>
            <w:r w:rsidRPr="0094180C">
              <w:rPr>
                <w:snapToGrid w:val="0"/>
                <w:szCs w:val="22"/>
              </w:rPr>
              <w:t>$15,000</w:t>
            </w:r>
          </w:p>
        </w:tc>
        <w:tc>
          <w:tcPr>
            <w:tcW w:w="1559" w:type="dxa"/>
          </w:tcPr>
          <w:p w14:paraId="689339DE" w14:textId="77777777" w:rsidR="00B30FE4" w:rsidRPr="0094180C" w:rsidRDefault="00B30FE4" w:rsidP="00B30FE4">
            <w:pPr>
              <w:rPr>
                <w:snapToGrid w:val="0"/>
                <w:szCs w:val="22"/>
              </w:rPr>
            </w:pPr>
            <w:r w:rsidRPr="0094180C">
              <w:rPr>
                <w:snapToGrid w:val="0"/>
                <w:szCs w:val="22"/>
              </w:rPr>
              <w:t>$15,000</w:t>
            </w:r>
          </w:p>
        </w:tc>
        <w:tc>
          <w:tcPr>
            <w:tcW w:w="1560" w:type="dxa"/>
          </w:tcPr>
          <w:p w14:paraId="731FF7C0" w14:textId="77777777" w:rsidR="00B30FE4" w:rsidRPr="0094180C" w:rsidRDefault="00B30FE4" w:rsidP="00B30FE4">
            <w:pPr>
              <w:rPr>
                <w:snapToGrid w:val="0"/>
                <w:szCs w:val="22"/>
              </w:rPr>
            </w:pPr>
            <w:r w:rsidRPr="0094180C">
              <w:rPr>
                <w:snapToGrid w:val="0"/>
                <w:szCs w:val="22"/>
              </w:rPr>
              <w:t>$0</w:t>
            </w:r>
          </w:p>
        </w:tc>
      </w:tr>
      <w:tr w:rsidR="00B30FE4" w:rsidRPr="00B30FE4" w14:paraId="62582EA9" w14:textId="77777777" w:rsidTr="0094180C">
        <w:trPr>
          <w:trHeight w:val="1648"/>
        </w:trPr>
        <w:tc>
          <w:tcPr>
            <w:tcW w:w="1555" w:type="dxa"/>
          </w:tcPr>
          <w:p w14:paraId="7158163F" w14:textId="77777777" w:rsidR="00B30FE4" w:rsidRPr="0094180C" w:rsidRDefault="00B30FE4" w:rsidP="00B30FE4">
            <w:pPr>
              <w:rPr>
                <w:iCs/>
                <w:szCs w:val="22"/>
                <w:lang w:eastAsia="en-US"/>
              </w:rPr>
            </w:pPr>
            <w:r w:rsidRPr="0094180C">
              <w:rPr>
                <w:iCs/>
                <w:szCs w:val="22"/>
                <w:lang w:eastAsia="en-US"/>
              </w:rPr>
              <w:t>Security Consulting Group Pty Ltd</w:t>
            </w:r>
          </w:p>
        </w:tc>
        <w:tc>
          <w:tcPr>
            <w:tcW w:w="1984" w:type="dxa"/>
          </w:tcPr>
          <w:p w14:paraId="5B5A66EC" w14:textId="67FD4A61" w:rsidR="00B30FE4" w:rsidRPr="0094180C" w:rsidRDefault="00B30FE4" w:rsidP="00B30FE4">
            <w:pPr>
              <w:rPr>
                <w:szCs w:val="22"/>
              </w:rPr>
            </w:pPr>
            <w:r w:rsidRPr="0094180C">
              <w:rPr>
                <w:szCs w:val="22"/>
              </w:rPr>
              <w:t xml:space="preserve">Museum Victoria </w:t>
            </w:r>
            <w:r w:rsidR="0064290B" w:rsidRPr="0094180C">
              <w:rPr>
                <w:szCs w:val="22"/>
              </w:rPr>
              <w:t>s</w:t>
            </w:r>
            <w:r w:rsidRPr="0094180C">
              <w:rPr>
                <w:szCs w:val="22"/>
              </w:rPr>
              <w:t xml:space="preserve">ecurity </w:t>
            </w:r>
            <w:r w:rsidR="0064290B" w:rsidRPr="0094180C">
              <w:rPr>
                <w:szCs w:val="22"/>
              </w:rPr>
              <w:t>f</w:t>
            </w:r>
            <w:r w:rsidRPr="0094180C">
              <w:rPr>
                <w:szCs w:val="22"/>
              </w:rPr>
              <w:t xml:space="preserve">ramework </w:t>
            </w:r>
            <w:r w:rsidR="0064290B" w:rsidRPr="0094180C">
              <w:rPr>
                <w:szCs w:val="22"/>
              </w:rPr>
              <w:t>c</w:t>
            </w:r>
            <w:r w:rsidRPr="0094180C">
              <w:rPr>
                <w:szCs w:val="22"/>
              </w:rPr>
              <w:t xml:space="preserve">onsulting </w:t>
            </w:r>
            <w:r w:rsidR="0064290B" w:rsidRPr="0094180C">
              <w:rPr>
                <w:szCs w:val="22"/>
              </w:rPr>
              <w:t>s</w:t>
            </w:r>
            <w:r w:rsidRPr="0094180C">
              <w:rPr>
                <w:szCs w:val="22"/>
              </w:rPr>
              <w:t>ervices</w:t>
            </w:r>
          </w:p>
        </w:tc>
        <w:tc>
          <w:tcPr>
            <w:tcW w:w="1701" w:type="dxa"/>
          </w:tcPr>
          <w:p w14:paraId="362B4546" w14:textId="77777777" w:rsidR="00B30FE4" w:rsidRPr="0094180C" w:rsidRDefault="00B30FE4" w:rsidP="00B30FE4">
            <w:pPr>
              <w:rPr>
                <w:snapToGrid w:val="0"/>
                <w:szCs w:val="22"/>
              </w:rPr>
            </w:pPr>
            <w:r w:rsidRPr="0094180C">
              <w:rPr>
                <w:snapToGrid w:val="0"/>
                <w:szCs w:val="22"/>
              </w:rPr>
              <w:t>$175,000</w:t>
            </w:r>
          </w:p>
        </w:tc>
        <w:tc>
          <w:tcPr>
            <w:tcW w:w="1559" w:type="dxa"/>
          </w:tcPr>
          <w:p w14:paraId="350D6A98" w14:textId="77777777" w:rsidR="00B30FE4" w:rsidRPr="0094180C" w:rsidRDefault="00B30FE4" w:rsidP="00B30FE4">
            <w:pPr>
              <w:rPr>
                <w:snapToGrid w:val="0"/>
                <w:szCs w:val="22"/>
              </w:rPr>
            </w:pPr>
            <w:r w:rsidRPr="0094180C">
              <w:rPr>
                <w:snapToGrid w:val="0"/>
                <w:szCs w:val="22"/>
              </w:rPr>
              <w:t>$70,000</w:t>
            </w:r>
          </w:p>
        </w:tc>
        <w:tc>
          <w:tcPr>
            <w:tcW w:w="1560" w:type="dxa"/>
          </w:tcPr>
          <w:p w14:paraId="5EBF0CBA" w14:textId="77777777" w:rsidR="00B30FE4" w:rsidRPr="0094180C" w:rsidRDefault="00B30FE4" w:rsidP="00B30FE4">
            <w:pPr>
              <w:rPr>
                <w:snapToGrid w:val="0"/>
                <w:szCs w:val="22"/>
              </w:rPr>
            </w:pPr>
            <w:r w:rsidRPr="0094180C">
              <w:rPr>
                <w:snapToGrid w:val="0"/>
                <w:szCs w:val="22"/>
              </w:rPr>
              <w:t>$105,000</w:t>
            </w:r>
          </w:p>
        </w:tc>
      </w:tr>
    </w:tbl>
    <w:p w14:paraId="6C02E33B" w14:textId="77777777" w:rsidR="00B30FE4" w:rsidRPr="00B30FE4" w:rsidRDefault="00B30FE4" w:rsidP="00B30FE4">
      <w:pPr>
        <w:rPr>
          <w:snapToGrid w:val="0"/>
        </w:rPr>
      </w:pPr>
    </w:p>
    <w:p w14:paraId="7BA04321" w14:textId="77777777" w:rsidR="00B30FE4" w:rsidRPr="00B30FE4" w:rsidRDefault="00B30FE4" w:rsidP="00B30FE4"/>
    <w:p w14:paraId="7A29CA9C" w14:textId="351C0AA6" w:rsidR="00B30FE4" w:rsidRDefault="00B30FE4" w:rsidP="00B30FE4">
      <w:r w:rsidRPr="00B30FE4">
        <w:t xml:space="preserve">This </w:t>
      </w:r>
      <w:r w:rsidR="00BC3C2E">
        <w:t xml:space="preserve">consultancies </w:t>
      </w:r>
      <w:r w:rsidRPr="00B30FE4">
        <w:t>disclosure cannot be compared to disclosures prior to 2014</w:t>
      </w:r>
      <w:r w:rsidRPr="00B30FE4">
        <w:rPr>
          <w:rFonts w:cs="Arial"/>
        </w:rPr>
        <w:t>–</w:t>
      </w:r>
      <w:r w:rsidRPr="00B30FE4">
        <w:t>15, given the revision mad</w:t>
      </w:r>
      <w:r w:rsidR="00B43021">
        <w:t>e to the definition in FRD 22</w:t>
      </w:r>
      <w:r w:rsidR="00EE341D">
        <w:t>E</w:t>
      </w:r>
      <w:r w:rsidR="00B43021">
        <w:t>.</w:t>
      </w:r>
    </w:p>
    <w:p w14:paraId="49D1D281" w14:textId="77777777" w:rsidR="00A318DB" w:rsidRPr="00B30FE4" w:rsidRDefault="00A318DB" w:rsidP="00B30FE4"/>
    <w:p w14:paraId="304EC3B3" w14:textId="77777777" w:rsidR="00B30FE4" w:rsidRDefault="00B30FE4" w:rsidP="00DE5971">
      <w:pPr>
        <w:pStyle w:val="Heading3"/>
      </w:pPr>
      <w:r w:rsidRPr="000720D0">
        <w:t>Building and Maintenance Compliance</w:t>
      </w:r>
    </w:p>
    <w:p w14:paraId="58B67BC6" w14:textId="49416EA1" w:rsidR="00B30FE4" w:rsidRPr="00B30FE4" w:rsidRDefault="00B30FE4" w:rsidP="00B30FE4">
      <w:r w:rsidRPr="00B30FE4">
        <w:t>At 30 June 2016, Museum Victoria was responsible for</w:t>
      </w:r>
      <w:r w:rsidRPr="00B30FE4">
        <w:rPr>
          <w:color w:val="FF0000"/>
        </w:rPr>
        <w:t xml:space="preserve"> </w:t>
      </w:r>
      <w:r w:rsidR="001F56DC">
        <w:t xml:space="preserve">six </w:t>
      </w:r>
      <w:r w:rsidRPr="00B30FE4">
        <w:t xml:space="preserve">government-owned </w:t>
      </w:r>
      <w:r w:rsidR="002110AB">
        <w:t xml:space="preserve">properties </w:t>
      </w:r>
      <w:r w:rsidR="009A7244">
        <w:t>and</w:t>
      </w:r>
      <w:r w:rsidRPr="00B30FE4">
        <w:t xml:space="preserve"> also occupied premises at Swann House, Melbourne, as a tenant. Museum Victoria complied with all provisions of the </w:t>
      </w:r>
      <w:r w:rsidRPr="00B30FE4">
        <w:rPr>
          <w:i/>
        </w:rPr>
        <w:t>Building Act 1993</w:t>
      </w:r>
      <w:r w:rsidRPr="00B30FE4">
        <w:t xml:space="preserve">. </w:t>
      </w:r>
    </w:p>
    <w:p w14:paraId="6BB73B49" w14:textId="77777777" w:rsidR="00B30FE4" w:rsidRPr="00B30FE4" w:rsidRDefault="00B30FE4" w:rsidP="00B30FE4"/>
    <w:p w14:paraId="6F6A4FFC" w14:textId="77777777" w:rsidR="00B30FE4" w:rsidRPr="00B30FE4" w:rsidRDefault="00B30FE4" w:rsidP="00B30FE4">
      <w:r w:rsidRPr="00B30FE4">
        <w:t>All works undertaken by Museum Victoria during 2015–16 complied with the Building Code of Australia and with the relevant Australian standards for building and maintenance works.</w:t>
      </w:r>
    </w:p>
    <w:p w14:paraId="5C8B691C" w14:textId="77777777" w:rsidR="00B30FE4" w:rsidRPr="00D63DAF" w:rsidRDefault="00B30FE4" w:rsidP="00B30FE4">
      <w:pPr>
        <w:rPr>
          <w:szCs w:val="22"/>
        </w:rPr>
      </w:pPr>
    </w:p>
    <w:p w14:paraId="6B4C4D08" w14:textId="77777777" w:rsidR="00B30FE4" w:rsidRPr="00D63DAF" w:rsidRDefault="00B30FE4" w:rsidP="004E7076">
      <w:pPr>
        <w:pStyle w:val="Heading4"/>
      </w:pPr>
      <w:r w:rsidRPr="00D63DAF">
        <w:t>Major Works (more than $50,000)</w:t>
      </w:r>
    </w:p>
    <w:p w14:paraId="69342164" w14:textId="01F076B1" w:rsidR="00B30FE4" w:rsidRPr="00D63DAF" w:rsidRDefault="00B30FE4" w:rsidP="004E7076">
      <w:pPr>
        <w:pStyle w:val="Heading4"/>
      </w:pPr>
      <w:r w:rsidRPr="00D63DAF">
        <w:t xml:space="preserve">Melbourne Museum </w:t>
      </w:r>
    </w:p>
    <w:p w14:paraId="0FF1F257" w14:textId="0D69C2D3" w:rsidR="00B30FE4" w:rsidRPr="00D63DAF" w:rsidRDefault="00B30FE4" w:rsidP="00951630">
      <w:pPr>
        <w:pStyle w:val="Bullet"/>
      </w:pPr>
      <w:r w:rsidRPr="00D63DAF">
        <w:t>Bio</w:t>
      </w:r>
      <w:r w:rsidR="00031FF5" w:rsidRPr="00D63DAF">
        <w:t>B</w:t>
      </w:r>
      <w:r w:rsidRPr="00D63DAF">
        <w:t xml:space="preserve">ank </w:t>
      </w:r>
      <w:r w:rsidR="00237D69" w:rsidRPr="00D63DAF">
        <w:t>c</w:t>
      </w:r>
      <w:r w:rsidRPr="00D63DAF">
        <w:t xml:space="preserve">onstruction </w:t>
      </w:r>
      <w:r w:rsidR="00237D69" w:rsidRPr="00D63DAF">
        <w:t>w</w:t>
      </w:r>
      <w:r w:rsidRPr="00D63DAF">
        <w:t>orks</w:t>
      </w:r>
    </w:p>
    <w:p w14:paraId="4FEAB47E" w14:textId="65DE5B37" w:rsidR="00B30FE4" w:rsidRPr="00D63DAF" w:rsidRDefault="00B30FE4" w:rsidP="00951630">
      <w:pPr>
        <w:pStyle w:val="Bullet"/>
      </w:pPr>
      <w:r w:rsidRPr="00D63DAF">
        <w:t xml:space="preserve">Melbourne Museum </w:t>
      </w:r>
      <w:r w:rsidR="00237D69" w:rsidRPr="00D63DAF">
        <w:t>c</w:t>
      </w:r>
      <w:r w:rsidRPr="00D63DAF">
        <w:t>ar</w:t>
      </w:r>
      <w:r w:rsidR="009A7244" w:rsidRPr="00D63DAF">
        <w:t>-</w:t>
      </w:r>
      <w:r w:rsidRPr="00D63DAF">
        <w:t xml:space="preserve">park </w:t>
      </w:r>
      <w:r w:rsidR="00237D69" w:rsidRPr="00D63DAF">
        <w:t>l</w:t>
      </w:r>
      <w:r w:rsidRPr="00D63DAF">
        <w:t xml:space="preserve">ift </w:t>
      </w:r>
      <w:r w:rsidR="00237D69" w:rsidRPr="00D63DAF">
        <w:t>u</w:t>
      </w:r>
      <w:r w:rsidRPr="00D63DAF">
        <w:t xml:space="preserve">pgrade </w:t>
      </w:r>
    </w:p>
    <w:p w14:paraId="7A1B2B26" w14:textId="2D63D44C" w:rsidR="00B30FE4" w:rsidRPr="00D63DAF" w:rsidRDefault="009A7244" w:rsidP="00951630">
      <w:pPr>
        <w:pStyle w:val="Bullet"/>
      </w:pPr>
      <w:r w:rsidRPr="00D63DAF">
        <w:t>E</w:t>
      </w:r>
      <w:r w:rsidR="00B30FE4" w:rsidRPr="00D63DAF">
        <w:t>mergency and exit lighting</w:t>
      </w:r>
      <w:r w:rsidRPr="00D63DAF">
        <w:t xml:space="preserve"> upgrades</w:t>
      </w:r>
    </w:p>
    <w:p w14:paraId="7F5347CA" w14:textId="69D43190" w:rsidR="00B30FE4" w:rsidRPr="00D63DAF" w:rsidRDefault="009A7244" w:rsidP="00951630">
      <w:pPr>
        <w:pStyle w:val="Bullet"/>
      </w:pPr>
      <w:r w:rsidRPr="00D63DAF">
        <w:t>I</w:t>
      </w:r>
      <w:r w:rsidR="00B30FE4" w:rsidRPr="00D63DAF">
        <w:t xml:space="preserve">ntegrated fire services </w:t>
      </w:r>
      <w:r w:rsidRPr="00D63DAF">
        <w:t xml:space="preserve">repairs </w:t>
      </w:r>
      <w:r w:rsidR="00B30FE4" w:rsidRPr="00D63DAF">
        <w:t>(mechanical)</w:t>
      </w:r>
    </w:p>
    <w:p w14:paraId="38F5FB4E" w14:textId="0C7E45DF" w:rsidR="00B30FE4" w:rsidRPr="00D63DAF" w:rsidRDefault="00B30FE4" w:rsidP="00951630">
      <w:pPr>
        <w:pStyle w:val="Bullet"/>
      </w:pPr>
      <w:r w:rsidRPr="00D63DAF">
        <w:t xml:space="preserve">Interim Collection Storage Project </w:t>
      </w:r>
      <w:r w:rsidR="009A7244" w:rsidRPr="00D63DAF">
        <w:t>b</w:t>
      </w:r>
      <w:r w:rsidRPr="00D63DAF">
        <w:t>uilding and fit-out works</w:t>
      </w:r>
    </w:p>
    <w:p w14:paraId="4FB6C0F8" w14:textId="41215CF9" w:rsidR="00B30FE4" w:rsidRPr="00D63DAF" w:rsidRDefault="00B30FE4" w:rsidP="00951630">
      <w:pPr>
        <w:pStyle w:val="Bullet"/>
      </w:pPr>
      <w:r w:rsidRPr="00D63DAF">
        <w:t xml:space="preserve">IMAX </w:t>
      </w:r>
      <w:r w:rsidR="00237D69" w:rsidRPr="00D63DAF">
        <w:t>r</w:t>
      </w:r>
      <w:r w:rsidRPr="00D63DAF">
        <w:t>efurbishment</w:t>
      </w:r>
    </w:p>
    <w:p w14:paraId="3115B792" w14:textId="77777777" w:rsidR="00B30FE4" w:rsidRPr="00D63DAF" w:rsidRDefault="00B30FE4" w:rsidP="00B30FE4"/>
    <w:p w14:paraId="29302ED6" w14:textId="37F88836" w:rsidR="00B30FE4" w:rsidRPr="00D63DAF" w:rsidRDefault="00B30FE4" w:rsidP="00015E7D">
      <w:pPr>
        <w:pStyle w:val="Heading4"/>
      </w:pPr>
      <w:r w:rsidRPr="00D63DAF">
        <w:t xml:space="preserve">Scienceworks </w:t>
      </w:r>
    </w:p>
    <w:p w14:paraId="38819691" w14:textId="634B2658" w:rsidR="00B30FE4" w:rsidRPr="00D63DAF" w:rsidRDefault="00B30FE4" w:rsidP="00951630">
      <w:pPr>
        <w:pStyle w:val="Bullet"/>
      </w:pPr>
      <w:r w:rsidRPr="00D63DAF">
        <w:t xml:space="preserve">Lift </w:t>
      </w:r>
      <w:r w:rsidR="00237D69" w:rsidRPr="00D63DAF">
        <w:t>u</w:t>
      </w:r>
      <w:r w:rsidRPr="00D63DAF">
        <w:t xml:space="preserve">pgrade </w:t>
      </w:r>
    </w:p>
    <w:p w14:paraId="5E7A15CF" w14:textId="77777777" w:rsidR="00B30FE4" w:rsidRPr="00D63DAF" w:rsidRDefault="00B30FE4" w:rsidP="00DE1B1B">
      <w:pPr>
        <w:widowControl w:val="0"/>
      </w:pPr>
    </w:p>
    <w:p w14:paraId="0CA39DF0" w14:textId="71F6E719" w:rsidR="00B30FE4" w:rsidRPr="00D63DAF" w:rsidRDefault="00B30FE4" w:rsidP="00015E7D">
      <w:pPr>
        <w:pStyle w:val="Heading4"/>
      </w:pPr>
      <w:r w:rsidRPr="00D63DAF">
        <w:t xml:space="preserve">Immigration Museum </w:t>
      </w:r>
    </w:p>
    <w:p w14:paraId="7BEEBDB3" w14:textId="77777777" w:rsidR="00B30FE4" w:rsidRPr="00D63DAF" w:rsidRDefault="00B30FE4" w:rsidP="00CD4C2E">
      <w:pPr>
        <w:pStyle w:val="ListParagraph"/>
        <w:numPr>
          <w:ilvl w:val="0"/>
          <w:numId w:val="40"/>
        </w:numPr>
        <w:ind w:left="426" w:hanging="426"/>
      </w:pPr>
      <w:r w:rsidRPr="00D63DAF">
        <w:t>Remediation of flaking paintwork</w:t>
      </w:r>
    </w:p>
    <w:p w14:paraId="10F0811A" w14:textId="77777777" w:rsidR="00B30FE4" w:rsidRPr="00D63DAF" w:rsidRDefault="00B30FE4" w:rsidP="00CD4C2E">
      <w:pPr>
        <w:rPr>
          <w:b/>
          <w:sz w:val="24"/>
        </w:rPr>
      </w:pPr>
    </w:p>
    <w:p w14:paraId="75958CB2" w14:textId="08216D61" w:rsidR="00B30FE4" w:rsidRPr="00D63DAF" w:rsidRDefault="00B30FE4" w:rsidP="00CD4C2E">
      <w:pPr>
        <w:pStyle w:val="Heading4"/>
      </w:pPr>
      <w:r w:rsidRPr="00D63DAF">
        <w:t>Royal Exhibition Building</w:t>
      </w:r>
    </w:p>
    <w:p w14:paraId="05438918" w14:textId="1FA0A85C" w:rsidR="00B30FE4" w:rsidRPr="00D63DAF" w:rsidRDefault="00E86D03" w:rsidP="00CD4C2E">
      <w:pPr>
        <w:pStyle w:val="ListParagraph"/>
        <w:numPr>
          <w:ilvl w:val="0"/>
          <w:numId w:val="40"/>
        </w:numPr>
        <w:ind w:left="426" w:hanging="426"/>
      </w:pPr>
      <w:r w:rsidRPr="00D63DAF">
        <w:t>French f</w:t>
      </w:r>
      <w:r w:rsidR="00031FF5" w:rsidRPr="00D63DAF">
        <w:t>ountain c</w:t>
      </w:r>
      <w:r w:rsidR="00B30FE4" w:rsidRPr="00D63DAF">
        <w:t xml:space="preserve">onservation </w:t>
      </w:r>
      <w:r w:rsidR="00031FF5" w:rsidRPr="00D63DAF">
        <w:t>work</w:t>
      </w:r>
    </w:p>
    <w:p w14:paraId="0AEF1E16" w14:textId="77777777" w:rsidR="00B30FE4" w:rsidRPr="00D63DAF" w:rsidRDefault="00B30FE4" w:rsidP="00CD4C2E">
      <w:pPr>
        <w:rPr>
          <w:b/>
          <w:sz w:val="24"/>
        </w:rPr>
      </w:pPr>
    </w:p>
    <w:p w14:paraId="1261E698" w14:textId="056DC6F5" w:rsidR="00B30FE4" w:rsidRPr="00D63DAF" w:rsidRDefault="00B30FE4" w:rsidP="00CD4C2E">
      <w:pPr>
        <w:pStyle w:val="Heading4"/>
      </w:pPr>
      <w:r w:rsidRPr="00D63DAF">
        <w:t xml:space="preserve">Moreland Annexe </w:t>
      </w:r>
    </w:p>
    <w:p w14:paraId="50D81C53" w14:textId="77777777" w:rsidR="00B30FE4" w:rsidRPr="00D63DAF" w:rsidRDefault="00B30FE4" w:rsidP="00CD4C2E">
      <w:pPr>
        <w:pStyle w:val="ListParagraph"/>
        <w:numPr>
          <w:ilvl w:val="0"/>
          <w:numId w:val="40"/>
        </w:numPr>
        <w:ind w:left="426" w:hanging="426"/>
      </w:pPr>
      <w:r w:rsidRPr="00D63DAF">
        <w:t>Interim Collection Storage Project fit-out works</w:t>
      </w:r>
    </w:p>
    <w:p w14:paraId="1C7CDA7C" w14:textId="7CD694BE" w:rsidR="00B30FE4" w:rsidRPr="00B30FE4" w:rsidRDefault="004E7076" w:rsidP="004E7076">
      <w:pPr>
        <w:spacing w:after="200" w:line="276" w:lineRule="auto"/>
      </w:pPr>
      <w:r>
        <w:br w:type="page"/>
      </w:r>
    </w:p>
    <w:p w14:paraId="7849BD3B" w14:textId="77777777" w:rsidR="00B30FE4" w:rsidRDefault="00B30FE4" w:rsidP="00DE5971">
      <w:pPr>
        <w:pStyle w:val="Heading3"/>
      </w:pPr>
      <w:r w:rsidRPr="000720D0">
        <w:t xml:space="preserve">Protected </w:t>
      </w:r>
      <w:r w:rsidRPr="00DE5971">
        <w:t>Disclosures</w:t>
      </w:r>
    </w:p>
    <w:p w14:paraId="3FED849C" w14:textId="53865F40" w:rsidR="00B30FE4" w:rsidRPr="00B30FE4" w:rsidRDefault="00B30FE4" w:rsidP="00B30FE4">
      <w:r w:rsidRPr="00B30FE4">
        <w:t xml:space="preserve">Museum Victoria is committed to the aims and objectives of the </w:t>
      </w:r>
      <w:r w:rsidRPr="00B30FE4">
        <w:rPr>
          <w:i/>
        </w:rPr>
        <w:t xml:space="preserve">Protected Disclosure Act 2012 </w:t>
      </w:r>
      <w:r w:rsidRPr="00B30FE4">
        <w:t>(Vic.). In particular, Museum Victoria does not tolerate improper conduct by staff or reprisals against those who come forward to disclose such conduct.</w:t>
      </w:r>
    </w:p>
    <w:p w14:paraId="16051809" w14:textId="77777777" w:rsidR="00B30FE4" w:rsidRPr="00B30FE4" w:rsidRDefault="00B30FE4" w:rsidP="00B30FE4"/>
    <w:p w14:paraId="5C77D00F" w14:textId="723BF588" w:rsidR="00B30FE4" w:rsidRPr="00B30FE4" w:rsidRDefault="00B30FE4" w:rsidP="00B30FE4">
      <w:r w:rsidRPr="00B30FE4">
        <w:t xml:space="preserve">Museum Victoria is not a public body to which disclosures may be made. Disclosures of improper conduct or detrimental action relating to </w:t>
      </w:r>
      <w:r w:rsidR="00E86D03">
        <w:t>the m</w:t>
      </w:r>
      <w:r w:rsidRPr="00B30FE4">
        <w:t xml:space="preserve">useum should generally be made to the Independent Broad-based Anti-corruption Commission (IBAC). Information about making </w:t>
      </w:r>
      <w:r w:rsidR="00E86D03">
        <w:t xml:space="preserve">such </w:t>
      </w:r>
      <w:r w:rsidRPr="00B30FE4">
        <w:t xml:space="preserve">disclosures can be found </w:t>
      </w:r>
      <w:r w:rsidR="00E86D03">
        <w:t>on</w:t>
      </w:r>
      <w:r w:rsidRPr="00B30FE4">
        <w:t xml:space="preserve"> the </w:t>
      </w:r>
      <w:hyperlink r:id="rId22" w:history="1">
        <w:r w:rsidRPr="00DE1B1B">
          <w:rPr>
            <w:rFonts w:eastAsiaTheme="majorEastAsia"/>
          </w:rPr>
          <w:t>IBAC website</w:t>
        </w:r>
      </w:hyperlink>
      <w:r w:rsidRPr="00B30FE4">
        <w:t xml:space="preserve"> www.ibac.vic.gov.au.</w:t>
      </w:r>
    </w:p>
    <w:p w14:paraId="7B75B187" w14:textId="77777777" w:rsidR="00B30FE4" w:rsidRPr="00B30FE4" w:rsidRDefault="00B30FE4" w:rsidP="00B30FE4"/>
    <w:p w14:paraId="19EBF239" w14:textId="77777777" w:rsidR="00950AF2" w:rsidRDefault="00B30FE4" w:rsidP="00B30FE4">
      <w:r w:rsidRPr="00B30FE4">
        <w:t xml:space="preserve">As required by s.58(5) of the Act, procedures for protecting people who make protected disclosures from detrimental action by Museum Victoria or </w:t>
      </w:r>
      <w:r w:rsidR="00E86D03">
        <w:t>its</w:t>
      </w:r>
      <w:r w:rsidR="00E86D03" w:rsidRPr="00B30FE4">
        <w:t xml:space="preserve"> </w:t>
      </w:r>
      <w:r w:rsidRPr="00B30FE4">
        <w:t xml:space="preserve">staff are available on </w:t>
      </w:r>
      <w:r w:rsidR="00E86D03">
        <w:t>the museum</w:t>
      </w:r>
      <w:r w:rsidR="00E86D03" w:rsidRPr="00B30FE4">
        <w:t xml:space="preserve"> </w:t>
      </w:r>
      <w:r w:rsidRPr="00B30FE4">
        <w:t>websi</w:t>
      </w:r>
      <w:r w:rsidR="00B43021">
        <w:t>te</w:t>
      </w:r>
    </w:p>
    <w:p w14:paraId="45A999F3" w14:textId="14DAE1AC" w:rsidR="00B30FE4" w:rsidRDefault="00316BFD" w:rsidP="00B30FE4">
      <w:hyperlink r:id="rId23" w:tooltip="Museum Victoria's website" w:history="1">
        <w:r w:rsidR="004E7076" w:rsidRPr="00DD0A60">
          <w:rPr>
            <w:rStyle w:val="Hyperlink"/>
          </w:rPr>
          <w:t>www.museumvictoria.com.au</w:t>
        </w:r>
      </w:hyperlink>
      <w:r w:rsidR="00B43021">
        <w:t>.</w:t>
      </w:r>
    </w:p>
    <w:p w14:paraId="7EEE73D0" w14:textId="77777777" w:rsidR="004E7076" w:rsidRPr="00B30FE4" w:rsidRDefault="004E7076" w:rsidP="00B30FE4"/>
    <w:p w14:paraId="1683D06D" w14:textId="6289243E" w:rsidR="00B30FE4" w:rsidRPr="00B30FE4" w:rsidRDefault="00B30FE4" w:rsidP="00DE5971">
      <w:pPr>
        <w:pStyle w:val="Heading3"/>
      </w:pPr>
      <w:r w:rsidRPr="00B30FE4">
        <w:t xml:space="preserve">Disclosures under </w:t>
      </w:r>
      <w:r w:rsidRPr="00DE5971">
        <w:t>the</w:t>
      </w:r>
      <w:r w:rsidRPr="00B30FE4">
        <w:t xml:space="preserve"> Protected Disclosure Act 2012</w:t>
      </w:r>
    </w:p>
    <w:p w14:paraId="59DFB492" w14:textId="7064A83A" w:rsidR="00B30FE4" w:rsidRPr="00B30FE4" w:rsidRDefault="00B30FE4" w:rsidP="00B30FE4">
      <w:r w:rsidRPr="00B30FE4">
        <w:t xml:space="preserve">There </w:t>
      </w:r>
      <w:r w:rsidRPr="0021095D">
        <w:t>w</w:t>
      </w:r>
      <w:r w:rsidR="005F12EF" w:rsidRPr="0021095D">
        <w:t>as one</w:t>
      </w:r>
      <w:r w:rsidRPr="0021095D">
        <w:t xml:space="preserve"> </w:t>
      </w:r>
      <w:r w:rsidRPr="00B30FE4">
        <w:t>disclosure made to Museum Victoria during 2015–16.</w:t>
      </w:r>
    </w:p>
    <w:p w14:paraId="761F301C" w14:textId="77777777" w:rsidR="00B30FE4" w:rsidRPr="00B30FE4" w:rsidRDefault="00B30FE4" w:rsidP="00B30FE4">
      <w:pPr>
        <w:rPr>
          <w:rFonts w:ascii="Garamond" w:eastAsia="Tahoma" w:hAnsi="Garamond" w:cs="Tahoma"/>
          <w:sz w:val="4"/>
          <w:szCs w:val="4"/>
        </w:rPr>
      </w:pPr>
    </w:p>
    <w:p w14:paraId="258591AB" w14:textId="77777777" w:rsidR="00B30FE4" w:rsidRPr="00B30FE4" w:rsidRDefault="00B30FE4" w:rsidP="00B30FE4">
      <w:pPr>
        <w:rPr>
          <w:rFonts w:ascii="Garamond" w:eastAsia="Tahoma" w:hAnsi="Garamond" w:cs="Tahom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270"/>
        <w:gridCol w:w="1271"/>
      </w:tblGrid>
      <w:tr w:rsidR="00B30FE4" w:rsidRPr="00B30FE4" w14:paraId="69805FB0" w14:textId="77777777" w:rsidTr="000720D0">
        <w:trPr>
          <w:trHeight w:val="801"/>
        </w:trPr>
        <w:tc>
          <w:tcPr>
            <w:tcW w:w="5760" w:type="dxa"/>
          </w:tcPr>
          <w:p w14:paraId="10320B64" w14:textId="77777777" w:rsidR="00B30FE4" w:rsidRPr="00B30FE4" w:rsidRDefault="00B30FE4" w:rsidP="00B30FE4"/>
        </w:tc>
        <w:tc>
          <w:tcPr>
            <w:tcW w:w="1270" w:type="dxa"/>
          </w:tcPr>
          <w:p w14:paraId="6AEBACA1" w14:textId="77777777" w:rsidR="00B30FE4" w:rsidRPr="00B30FE4" w:rsidRDefault="00B30FE4" w:rsidP="00B30FE4">
            <w:pPr>
              <w:spacing w:before="240"/>
              <w:jc w:val="center"/>
              <w:rPr>
                <w:rFonts w:cs="Arial"/>
                <w:b/>
                <w:bCs/>
                <w:color w:val="000000"/>
                <w:szCs w:val="22"/>
              </w:rPr>
            </w:pPr>
            <w:r w:rsidRPr="00B30FE4">
              <w:rPr>
                <w:rFonts w:cs="Arial"/>
                <w:b/>
                <w:bCs/>
                <w:color w:val="000000"/>
                <w:szCs w:val="22"/>
              </w:rPr>
              <w:t>2015</w:t>
            </w:r>
            <w:r w:rsidRPr="00B30FE4">
              <w:rPr>
                <w:b/>
              </w:rPr>
              <w:t>–</w:t>
            </w:r>
            <w:r w:rsidRPr="00B30FE4">
              <w:rPr>
                <w:rFonts w:cs="Arial"/>
                <w:b/>
                <w:bCs/>
                <w:color w:val="000000"/>
                <w:szCs w:val="22"/>
              </w:rPr>
              <w:t>16</w:t>
            </w:r>
          </w:p>
          <w:p w14:paraId="6E4A8A41" w14:textId="77777777" w:rsidR="00B30FE4" w:rsidRPr="00B30FE4" w:rsidRDefault="00B30FE4" w:rsidP="00B30FE4"/>
        </w:tc>
        <w:tc>
          <w:tcPr>
            <w:tcW w:w="1271" w:type="dxa"/>
          </w:tcPr>
          <w:p w14:paraId="3CA6E3DD" w14:textId="77777777" w:rsidR="00B30FE4" w:rsidRPr="00B30FE4" w:rsidRDefault="00B30FE4" w:rsidP="00B30FE4">
            <w:pPr>
              <w:spacing w:before="240"/>
              <w:jc w:val="center"/>
              <w:rPr>
                <w:rFonts w:cs="Arial"/>
                <w:b/>
                <w:bCs/>
                <w:color w:val="000000"/>
                <w:szCs w:val="22"/>
              </w:rPr>
            </w:pPr>
            <w:r w:rsidRPr="00B30FE4">
              <w:rPr>
                <w:rFonts w:cs="Arial"/>
                <w:b/>
                <w:bCs/>
                <w:color w:val="000000"/>
                <w:szCs w:val="22"/>
              </w:rPr>
              <w:t>2014</w:t>
            </w:r>
            <w:r w:rsidRPr="00B30FE4">
              <w:rPr>
                <w:b/>
              </w:rPr>
              <w:t>–</w:t>
            </w:r>
            <w:r w:rsidRPr="00B30FE4">
              <w:rPr>
                <w:rFonts w:cs="Arial"/>
                <w:b/>
                <w:bCs/>
                <w:color w:val="000000"/>
                <w:szCs w:val="22"/>
              </w:rPr>
              <w:t>15</w:t>
            </w:r>
          </w:p>
        </w:tc>
      </w:tr>
      <w:tr w:rsidR="00B30FE4" w:rsidRPr="00B30FE4" w14:paraId="0D7A79AF" w14:textId="77777777" w:rsidTr="00944749">
        <w:trPr>
          <w:trHeight w:val="718"/>
        </w:trPr>
        <w:tc>
          <w:tcPr>
            <w:tcW w:w="5760" w:type="dxa"/>
          </w:tcPr>
          <w:p w14:paraId="7CE3CAEF" w14:textId="60C2076D" w:rsidR="00B30FE4" w:rsidRPr="00DE1B1B" w:rsidRDefault="00B30FE4">
            <w:pPr>
              <w:rPr>
                <w:szCs w:val="22"/>
              </w:rPr>
            </w:pPr>
            <w:r w:rsidRPr="00DE1B1B">
              <w:rPr>
                <w:szCs w:val="22"/>
              </w:rPr>
              <w:t>The number of disclosures made by an individual to Museum Victoria’s Protected Disclosures Coordinator and notified to IBAC</w:t>
            </w:r>
          </w:p>
        </w:tc>
        <w:tc>
          <w:tcPr>
            <w:tcW w:w="1270" w:type="dxa"/>
          </w:tcPr>
          <w:p w14:paraId="49ED3786" w14:textId="77777777" w:rsidR="00B30FE4" w:rsidRPr="00B30FE4" w:rsidRDefault="00B30FE4" w:rsidP="00B30FE4">
            <w:r w:rsidRPr="00B30FE4">
              <w:t>1</w:t>
            </w:r>
          </w:p>
        </w:tc>
        <w:tc>
          <w:tcPr>
            <w:tcW w:w="1271" w:type="dxa"/>
          </w:tcPr>
          <w:p w14:paraId="2C77DD88" w14:textId="77777777" w:rsidR="00B30FE4" w:rsidRPr="00B30FE4" w:rsidRDefault="00B30FE4" w:rsidP="00B30FE4">
            <w:r w:rsidRPr="00B30FE4">
              <w:t>0</w:t>
            </w:r>
          </w:p>
        </w:tc>
      </w:tr>
      <w:tr w:rsidR="00B30FE4" w:rsidRPr="00B30FE4" w14:paraId="5559001A" w14:textId="77777777" w:rsidTr="00DE1B1B">
        <w:trPr>
          <w:trHeight w:val="324"/>
        </w:trPr>
        <w:tc>
          <w:tcPr>
            <w:tcW w:w="5760" w:type="dxa"/>
          </w:tcPr>
          <w:p w14:paraId="2E9AE8CB" w14:textId="77777777" w:rsidR="00B30FE4" w:rsidRPr="00DE1B1B" w:rsidRDefault="00B30FE4" w:rsidP="00DE1B1B">
            <w:pPr>
              <w:rPr>
                <w:szCs w:val="22"/>
              </w:rPr>
            </w:pPr>
            <w:r w:rsidRPr="00DE1B1B">
              <w:rPr>
                <w:szCs w:val="22"/>
              </w:rPr>
              <w:t>Assessable disclosures</w:t>
            </w:r>
          </w:p>
        </w:tc>
        <w:tc>
          <w:tcPr>
            <w:tcW w:w="1270" w:type="dxa"/>
          </w:tcPr>
          <w:p w14:paraId="07E192C2" w14:textId="77777777" w:rsidR="00B30FE4" w:rsidRPr="00B30FE4" w:rsidRDefault="00B30FE4" w:rsidP="00B30FE4">
            <w:r w:rsidRPr="00B30FE4">
              <w:t>0</w:t>
            </w:r>
          </w:p>
        </w:tc>
        <w:tc>
          <w:tcPr>
            <w:tcW w:w="1271" w:type="dxa"/>
          </w:tcPr>
          <w:p w14:paraId="73C7DC3D" w14:textId="77777777" w:rsidR="00B30FE4" w:rsidRPr="00B30FE4" w:rsidRDefault="00B30FE4" w:rsidP="00B30FE4">
            <w:r w:rsidRPr="00B30FE4">
              <w:t>0</w:t>
            </w:r>
          </w:p>
        </w:tc>
      </w:tr>
    </w:tbl>
    <w:p w14:paraId="5B6C24D4" w14:textId="77777777" w:rsidR="004E7076" w:rsidRDefault="004E7076" w:rsidP="00B43021">
      <w:pPr>
        <w:pStyle w:val="Heading3"/>
      </w:pPr>
    </w:p>
    <w:p w14:paraId="7F370D32" w14:textId="77777777" w:rsidR="00B30FE4" w:rsidRPr="00B30FE4" w:rsidRDefault="00B30FE4" w:rsidP="00B43021">
      <w:pPr>
        <w:pStyle w:val="Heading3"/>
      </w:pPr>
      <w:r w:rsidRPr="00B30FE4">
        <w:t xml:space="preserve">Public Sector Values and Employment Principles </w:t>
      </w:r>
    </w:p>
    <w:p w14:paraId="3FAE03E7" w14:textId="51D41482" w:rsidR="00B30FE4" w:rsidRPr="00B43021" w:rsidRDefault="00B30FE4" w:rsidP="00B43021">
      <w:pPr>
        <w:widowControl w:val="0"/>
        <w:rPr>
          <w:lang w:val="en-US"/>
        </w:rPr>
      </w:pPr>
      <w:r w:rsidRPr="00B30FE4">
        <w:t>During 2015</w:t>
      </w:r>
      <w:r w:rsidR="005F12EF">
        <w:t>–</w:t>
      </w:r>
      <w:r w:rsidRPr="00B30FE4">
        <w:t xml:space="preserve">16, Museum Victoria complied with the </w:t>
      </w:r>
      <w:r w:rsidRPr="00B30FE4">
        <w:rPr>
          <w:i/>
        </w:rPr>
        <w:t>Public Administration Act 2004</w:t>
      </w:r>
      <w:r w:rsidRPr="00B30FE4">
        <w:t>.</w:t>
      </w:r>
      <w:r w:rsidRPr="00B30FE4">
        <w:rPr>
          <w:lang w:val="en-US"/>
        </w:rPr>
        <w:t xml:space="preserve"> We </w:t>
      </w:r>
      <w:r w:rsidRPr="00B30FE4">
        <w:t>recognise</w:t>
      </w:r>
      <w:r w:rsidRPr="00B30FE4">
        <w:rPr>
          <w:lang w:val="en-US"/>
        </w:rPr>
        <w:t xml:space="preserve"> our obligation to make staff aware of the requirements of the code of conduct, policies and procedures. Key documents are made available to staff prior to their employment commencing</w:t>
      </w:r>
      <w:r w:rsidR="00E86D03">
        <w:rPr>
          <w:lang w:val="en-US"/>
        </w:rPr>
        <w:t>,</w:t>
      </w:r>
      <w:r w:rsidRPr="00B30FE4">
        <w:rPr>
          <w:lang w:val="en-US"/>
        </w:rPr>
        <w:t xml:space="preserve"> </w:t>
      </w:r>
      <w:r w:rsidR="00E86D03">
        <w:rPr>
          <w:lang w:val="en-US"/>
        </w:rPr>
        <w:t xml:space="preserve">and </w:t>
      </w:r>
      <w:r w:rsidRPr="00B30FE4">
        <w:rPr>
          <w:lang w:val="en-US"/>
        </w:rPr>
        <w:t>our policies and procedures are explained through the induction program and</w:t>
      </w:r>
      <w:r w:rsidR="00E86D03">
        <w:rPr>
          <w:lang w:val="en-US"/>
        </w:rPr>
        <w:t xml:space="preserve"> are</w:t>
      </w:r>
      <w:r w:rsidRPr="00B30FE4">
        <w:rPr>
          <w:lang w:val="en-US"/>
        </w:rPr>
        <w:t xml:space="preserve"> readily accessible through Museum Victoria’s intranet. Staff are also required to complete </w:t>
      </w:r>
      <w:r w:rsidR="00E86D03">
        <w:rPr>
          <w:lang w:val="en-US"/>
        </w:rPr>
        <w:t xml:space="preserve">regular </w:t>
      </w:r>
      <w:r w:rsidRPr="00B30FE4">
        <w:rPr>
          <w:lang w:val="en-US"/>
        </w:rPr>
        <w:t>additional online e-learning modules linked with key policies and procedures</w:t>
      </w:r>
      <w:r w:rsidR="005F12EF">
        <w:rPr>
          <w:lang w:val="en-US"/>
        </w:rPr>
        <w:t>,</w:t>
      </w:r>
      <w:r w:rsidRPr="00B30FE4">
        <w:rPr>
          <w:lang w:val="en-US"/>
        </w:rPr>
        <w:t xml:space="preserve"> including </w:t>
      </w:r>
      <w:r w:rsidR="00E86D03">
        <w:rPr>
          <w:lang w:val="en-US"/>
        </w:rPr>
        <w:t>e</w:t>
      </w:r>
      <w:r w:rsidRPr="00B30FE4">
        <w:rPr>
          <w:lang w:val="en-US"/>
        </w:rPr>
        <w:t xml:space="preserve">qual </w:t>
      </w:r>
      <w:r w:rsidR="00E86D03">
        <w:rPr>
          <w:lang w:val="en-US"/>
        </w:rPr>
        <w:t>o</w:t>
      </w:r>
      <w:r w:rsidRPr="00B30FE4">
        <w:rPr>
          <w:lang w:val="en-US"/>
        </w:rPr>
        <w:t xml:space="preserve">pportunity and </w:t>
      </w:r>
      <w:r w:rsidR="00E86D03">
        <w:rPr>
          <w:lang w:val="en-US"/>
        </w:rPr>
        <w:t>h</w:t>
      </w:r>
      <w:r w:rsidRPr="00B30FE4">
        <w:rPr>
          <w:lang w:val="en-US"/>
        </w:rPr>
        <w:t xml:space="preserve">ealth and </w:t>
      </w:r>
      <w:r w:rsidR="00E86D03">
        <w:rPr>
          <w:lang w:val="en-US"/>
        </w:rPr>
        <w:t>s</w:t>
      </w:r>
      <w:r w:rsidR="00B43021">
        <w:rPr>
          <w:lang w:val="en-US"/>
        </w:rPr>
        <w:t xml:space="preserve">afety. </w:t>
      </w:r>
    </w:p>
    <w:p w14:paraId="5ECDC0F1" w14:textId="10FA4F6A" w:rsidR="00FB0E34" w:rsidRDefault="00FB0E34">
      <w:pPr>
        <w:spacing w:after="200" w:line="276" w:lineRule="auto"/>
        <w:rPr>
          <w:rFonts w:eastAsiaTheme="majorEastAsia" w:cstheme="majorBidi"/>
          <w:b/>
          <w:sz w:val="32"/>
        </w:rPr>
      </w:pPr>
      <w:r>
        <w:br w:type="page"/>
      </w:r>
    </w:p>
    <w:p w14:paraId="11D88086" w14:textId="77777777" w:rsidR="00B30FE4" w:rsidRPr="000720D0" w:rsidRDefault="00B30FE4" w:rsidP="00B43021">
      <w:pPr>
        <w:pStyle w:val="Heading3"/>
      </w:pPr>
      <w:r w:rsidRPr="000720D0">
        <w:t>Health and Safety Incidents</w:t>
      </w:r>
    </w:p>
    <w:p w14:paraId="2EBD45F8" w14:textId="77777777" w:rsidR="00B30FE4" w:rsidRPr="00B30FE4" w:rsidRDefault="00B30FE4" w:rsidP="00B30FE4"/>
    <w:p w14:paraId="2E320EDD" w14:textId="77777777" w:rsidR="00B30FE4" w:rsidRPr="00B30FE4" w:rsidRDefault="00B30FE4" w:rsidP="00B30FE4">
      <w:r w:rsidRPr="00B30FE4">
        <w:t>Visitors</w:t>
      </w:r>
    </w:p>
    <w:tbl>
      <w:tblPr>
        <w:tblW w:w="5580" w:type="dxa"/>
        <w:tblLook w:val="04A0" w:firstRow="1" w:lastRow="0" w:firstColumn="1" w:lastColumn="0" w:noHBand="0" w:noVBand="1"/>
      </w:tblPr>
      <w:tblGrid>
        <w:gridCol w:w="1265"/>
        <w:gridCol w:w="1256"/>
        <w:gridCol w:w="1182"/>
        <w:gridCol w:w="1877"/>
      </w:tblGrid>
      <w:tr w:rsidR="00B30FE4" w:rsidRPr="00B30FE4" w14:paraId="6A328EB7" w14:textId="77777777" w:rsidTr="00944749">
        <w:trPr>
          <w:trHeight w:val="315"/>
        </w:trPr>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110F9" w14:textId="77777777" w:rsidR="00B30FE4" w:rsidRPr="00B30FE4" w:rsidRDefault="00B30FE4" w:rsidP="00B30FE4">
            <w:pPr>
              <w:jc w:val="center"/>
              <w:rPr>
                <w:rFonts w:cs="Arial"/>
                <w:b/>
                <w:bCs/>
                <w:color w:val="000000"/>
                <w:szCs w:val="22"/>
              </w:rPr>
            </w:pPr>
            <w:r w:rsidRPr="00B30FE4">
              <w:rPr>
                <w:rFonts w:cs="Arial"/>
                <w:b/>
                <w:bCs/>
                <w:color w:val="000000"/>
                <w:szCs w:val="22"/>
              </w:rPr>
              <w:t> </w:t>
            </w:r>
          </w:p>
        </w:tc>
        <w:tc>
          <w:tcPr>
            <w:tcW w:w="1256" w:type="dxa"/>
            <w:tcBorders>
              <w:top w:val="single" w:sz="8" w:space="0" w:color="auto"/>
              <w:left w:val="nil"/>
              <w:bottom w:val="single" w:sz="8" w:space="0" w:color="auto"/>
              <w:right w:val="single" w:sz="8" w:space="0" w:color="auto"/>
            </w:tcBorders>
            <w:shd w:val="clear" w:color="auto" w:fill="auto"/>
            <w:noWrap/>
            <w:vAlign w:val="center"/>
            <w:hideMark/>
          </w:tcPr>
          <w:p w14:paraId="79A4EE61" w14:textId="77777777" w:rsidR="00B30FE4" w:rsidRPr="00B30FE4" w:rsidRDefault="00B30FE4" w:rsidP="00B30FE4">
            <w:pPr>
              <w:jc w:val="center"/>
              <w:rPr>
                <w:rFonts w:cs="Arial"/>
                <w:b/>
                <w:bCs/>
                <w:color w:val="000000"/>
                <w:szCs w:val="22"/>
              </w:rPr>
            </w:pPr>
            <w:r w:rsidRPr="00B30FE4">
              <w:rPr>
                <w:rFonts w:cs="Arial"/>
                <w:b/>
                <w:bCs/>
                <w:color w:val="000000"/>
                <w:szCs w:val="22"/>
              </w:rPr>
              <w:t>Visitors</w:t>
            </w:r>
          </w:p>
        </w:tc>
        <w:tc>
          <w:tcPr>
            <w:tcW w:w="1182" w:type="dxa"/>
            <w:tcBorders>
              <w:top w:val="single" w:sz="8" w:space="0" w:color="auto"/>
              <w:left w:val="nil"/>
              <w:bottom w:val="single" w:sz="8" w:space="0" w:color="auto"/>
              <w:right w:val="single" w:sz="8" w:space="0" w:color="auto"/>
            </w:tcBorders>
            <w:shd w:val="clear" w:color="auto" w:fill="auto"/>
            <w:noWrap/>
            <w:vAlign w:val="center"/>
            <w:hideMark/>
          </w:tcPr>
          <w:p w14:paraId="4759FBD8" w14:textId="77777777" w:rsidR="00B30FE4" w:rsidRPr="00B30FE4" w:rsidRDefault="00B30FE4" w:rsidP="00B30FE4">
            <w:pPr>
              <w:jc w:val="center"/>
              <w:rPr>
                <w:rFonts w:cs="Arial"/>
                <w:b/>
                <w:bCs/>
                <w:color w:val="000000"/>
                <w:szCs w:val="22"/>
              </w:rPr>
            </w:pPr>
            <w:r w:rsidRPr="00B30FE4">
              <w:rPr>
                <w:rFonts w:cs="Arial"/>
                <w:b/>
                <w:bCs/>
                <w:color w:val="000000"/>
                <w:szCs w:val="22"/>
              </w:rPr>
              <w:t>Incidents</w:t>
            </w:r>
          </w:p>
        </w:tc>
        <w:tc>
          <w:tcPr>
            <w:tcW w:w="1877" w:type="dxa"/>
            <w:tcBorders>
              <w:top w:val="single" w:sz="8" w:space="0" w:color="auto"/>
              <w:left w:val="nil"/>
              <w:bottom w:val="single" w:sz="8" w:space="0" w:color="auto"/>
              <w:right w:val="single" w:sz="8" w:space="0" w:color="auto"/>
            </w:tcBorders>
            <w:shd w:val="clear" w:color="auto" w:fill="auto"/>
            <w:noWrap/>
            <w:vAlign w:val="center"/>
            <w:hideMark/>
          </w:tcPr>
          <w:p w14:paraId="621F6A01" w14:textId="6456D2AF" w:rsidR="00B30FE4" w:rsidRPr="00B30FE4" w:rsidRDefault="00B30FE4" w:rsidP="00B30FE4">
            <w:pPr>
              <w:jc w:val="center"/>
              <w:rPr>
                <w:rFonts w:cs="Arial"/>
                <w:b/>
                <w:bCs/>
                <w:color w:val="000000"/>
                <w:szCs w:val="22"/>
              </w:rPr>
            </w:pPr>
            <w:r w:rsidRPr="00B30FE4">
              <w:rPr>
                <w:rFonts w:cs="Arial"/>
                <w:b/>
                <w:bCs/>
                <w:color w:val="000000"/>
                <w:szCs w:val="22"/>
              </w:rPr>
              <w:t xml:space="preserve">Incidents </w:t>
            </w:r>
            <w:r w:rsidR="00E86D03">
              <w:rPr>
                <w:rFonts w:cs="Arial"/>
                <w:b/>
                <w:bCs/>
                <w:color w:val="000000"/>
                <w:szCs w:val="22"/>
              </w:rPr>
              <w:t>p</w:t>
            </w:r>
            <w:r w:rsidRPr="00B30FE4">
              <w:rPr>
                <w:rFonts w:cs="Arial"/>
                <w:b/>
                <w:bCs/>
                <w:color w:val="000000"/>
                <w:szCs w:val="22"/>
              </w:rPr>
              <w:t>er 100 Visitors</w:t>
            </w:r>
          </w:p>
        </w:tc>
      </w:tr>
      <w:tr w:rsidR="00B30FE4" w:rsidRPr="00B30FE4" w14:paraId="33CA5486" w14:textId="77777777" w:rsidTr="00944749">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3099E0F7" w14:textId="77777777" w:rsidR="00B30FE4" w:rsidRPr="00B30FE4" w:rsidRDefault="00B30FE4" w:rsidP="00B30FE4">
            <w:pPr>
              <w:jc w:val="center"/>
              <w:rPr>
                <w:rFonts w:cs="Arial"/>
                <w:b/>
                <w:bCs/>
                <w:color w:val="000000"/>
                <w:szCs w:val="22"/>
              </w:rPr>
            </w:pPr>
            <w:r w:rsidRPr="00B30FE4">
              <w:rPr>
                <w:rFonts w:cs="Arial"/>
                <w:b/>
                <w:bCs/>
                <w:color w:val="000000"/>
                <w:szCs w:val="22"/>
              </w:rPr>
              <w:t>2013–14</w:t>
            </w:r>
          </w:p>
        </w:tc>
        <w:tc>
          <w:tcPr>
            <w:tcW w:w="1256" w:type="dxa"/>
            <w:tcBorders>
              <w:top w:val="nil"/>
              <w:left w:val="nil"/>
              <w:bottom w:val="single" w:sz="8" w:space="0" w:color="auto"/>
              <w:right w:val="single" w:sz="8" w:space="0" w:color="auto"/>
            </w:tcBorders>
            <w:shd w:val="clear" w:color="auto" w:fill="auto"/>
            <w:vAlign w:val="center"/>
            <w:hideMark/>
          </w:tcPr>
          <w:p w14:paraId="1A583F72" w14:textId="77777777" w:rsidR="00B30FE4" w:rsidRPr="00B30FE4" w:rsidRDefault="00B30FE4" w:rsidP="00DE1B1B">
            <w:pPr>
              <w:rPr>
                <w:rFonts w:cs="Arial"/>
                <w:color w:val="000000"/>
                <w:szCs w:val="22"/>
              </w:rPr>
            </w:pPr>
            <w:r w:rsidRPr="00B30FE4">
              <w:rPr>
                <w:rFonts w:cs="Arial"/>
                <w:color w:val="000000"/>
                <w:szCs w:val="22"/>
              </w:rPr>
              <w:t>1,834,296</w:t>
            </w:r>
          </w:p>
        </w:tc>
        <w:tc>
          <w:tcPr>
            <w:tcW w:w="1182" w:type="dxa"/>
            <w:tcBorders>
              <w:top w:val="nil"/>
              <w:left w:val="nil"/>
              <w:bottom w:val="single" w:sz="8" w:space="0" w:color="auto"/>
              <w:right w:val="single" w:sz="8" w:space="0" w:color="auto"/>
            </w:tcBorders>
            <w:shd w:val="clear" w:color="auto" w:fill="auto"/>
            <w:noWrap/>
            <w:vAlign w:val="center"/>
            <w:hideMark/>
          </w:tcPr>
          <w:p w14:paraId="4686B87A" w14:textId="77777777" w:rsidR="00B30FE4" w:rsidRPr="00B30FE4" w:rsidRDefault="00B30FE4" w:rsidP="00B30FE4">
            <w:pPr>
              <w:jc w:val="right"/>
              <w:rPr>
                <w:rFonts w:cs="Arial"/>
                <w:color w:val="000000"/>
                <w:szCs w:val="22"/>
              </w:rPr>
            </w:pPr>
            <w:r w:rsidRPr="00B30FE4">
              <w:rPr>
                <w:rFonts w:cs="Arial"/>
                <w:color w:val="000000"/>
                <w:szCs w:val="22"/>
              </w:rPr>
              <w:t>619</w:t>
            </w:r>
          </w:p>
        </w:tc>
        <w:tc>
          <w:tcPr>
            <w:tcW w:w="1877" w:type="dxa"/>
            <w:tcBorders>
              <w:top w:val="nil"/>
              <w:left w:val="nil"/>
              <w:bottom w:val="single" w:sz="8" w:space="0" w:color="auto"/>
              <w:right w:val="single" w:sz="8" w:space="0" w:color="auto"/>
            </w:tcBorders>
            <w:shd w:val="clear" w:color="auto" w:fill="auto"/>
            <w:noWrap/>
            <w:vAlign w:val="center"/>
            <w:hideMark/>
          </w:tcPr>
          <w:p w14:paraId="396005C6" w14:textId="77777777" w:rsidR="00B30FE4" w:rsidRPr="00B30FE4" w:rsidRDefault="00B30FE4" w:rsidP="00B30FE4">
            <w:pPr>
              <w:jc w:val="right"/>
              <w:rPr>
                <w:rFonts w:cs="Arial"/>
                <w:color w:val="000000"/>
                <w:szCs w:val="22"/>
              </w:rPr>
            </w:pPr>
            <w:r w:rsidRPr="00B30FE4">
              <w:rPr>
                <w:rFonts w:cs="Arial"/>
                <w:color w:val="000000"/>
                <w:szCs w:val="22"/>
              </w:rPr>
              <w:t>0.0337</w:t>
            </w:r>
          </w:p>
        </w:tc>
      </w:tr>
      <w:tr w:rsidR="00B30FE4" w:rsidRPr="00B30FE4" w14:paraId="58978814" w14:textId="77777777" w:rsidTr="00944749">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7419591D" w14:textId="77777777" w:rsidR="00B30FE4" w:rsidRPr="00B30FE4" w:rsidRDefault="00B30FE4" w:rsidP="00B30FE4">
            <w:pPr>
              <w:jc w:val="center"/>
              <w:rPr>
                <w:rFonts w:cs="Arial"/>
                <w:b/>
                <w:bCs/>
                <w:color w:val="000000"/>
                <w:szCs w:val="22"/>
              </w:rPr>
            </w:pPr>
            <w:r w:rsidRPr="00B30FE4">
              <w:rPr>
                <w:rFonts w:cs="Arial"/>
                <w:b/>
                <w:bCs/>
                <w:color w:val="000000"/>
                <w:szCs w:val="22"/>
              </w:rPr>
              <w:t>2014–15</w:t>
            </w:r>
          </w:p>
        </w:tc>
        <w:tc>
          <w:tcPr>
            <w:tcW w:w="1256" w:type="dxa"/>
            <w:tcBorders>
              <w:top w:val="nil"/>
              <w:left w:val="nil"/>
              <w:bottom w:val="single" w:sz="8" w:space="0" w:color="auto"/>
              <w:right w:val="single" w:sz="8" w:space="0" w:color="auto"/>
            </w:tcBorders>
            <w:shd w:val="clear" w:color="auto" w:fill="auto"/>
            <w:vAlign w:val="center"/>
            <w:hideMark/>
          </w:tcPr>
          <w:p w14:paraId="0B7CB5D5" w14:textId="77777777" w:rsidR="00B30FE4" w:rsidRPr="00B30FE4" w:rsidRDefault="00B30FE4" w:rsidP="00B30FE4">
            <w:pPr>
              <w:jc w:val="right"/>
              <w:rPr>
                <w:rFonts w:cs="Arial"/>
                <w:color w:val="000000"/>
                <w:szCs w:val="22"/>
              </w:rPr>
            </w:pPr>
            <w:r w:rsidRPr="00B30FE4">
              <w:rPr>
                <w:rFonts w:cs="Arial"/>
                <w:color w:val="000000"/>
                <w:szCs w:val="22"/>
              </w:rPr>
              <w:t>1,690,425 </w:t>
            </w:r>
          </w:p>
        </w:tc>
        <w:tc>
          <w:tcPr>
            <w:tcW w:w="1182" w:type="dxa"/>
            <w:tcBorders>
              <w:top w:val="nil"/>
              <w:left w:val="nil"/>
              <w:bottom w:val="single" w:sz="8" w:space="0" w:color="auto"/>
              <w:right w:val="single" w:sz="8" w:space="0" w:color="auto"/>
            </w:tcBorders>
            <w:shd w:val="clear" w:color="auto" w:fill="auto"/>
            <w:noWrap/>
            <w:vAlign w:val="center"/>
            <w:hideMark/>
          </w:tcPr>
          <w:p w14:paraId="4A586F70" w14:textId="77777777" w:rsidR="00B30FE4" w:rsidRPr="00B30FE4" w:rsidRDefault="00B30FE4" w:rsidP="00B30FE4">
            <w:pPr>
              <w:jc w:val="right"/>
              <w:rPr>
                <w:rFonts w:cs="Arial"/>
                <w:color w:val="000000"/>
                <w:szCs w:val="22"/>
              </w:rPr>
            </w:pPr>
            <w:r w:rsidRPr="00B30FE4">
              <w:rPr>
                <w:rFonts w:cs="Arial"/>
                <w:color w:val="000000"/>
                <w:szCs w:val="22"/>
              </w:rPr>
              <w:t>637</w:t>
            </w:r>
          </w:p>
        </w:tc>
        <w:tc>
          <w:tcPr>
            <w:tcW w:w="1877" w:type="dxa"/>
            <w:tcBorders>
              <w:top w:val="nil"/>
              <w:left w:val="nil"/>
              <w:bottom w:val="single" w:sz="8" w:space="0" w:color="auto"/>
              <w:right w:val="single" w:sz="8" w:space="0" w:color="auto"/>
            </w:tcBorders>
            <w:shd w:val="clear" w:color="auto" w:fill="auto"/>
            <w:noWrap/>
            <w:vAlign w:val="center"/>
            <w:hideMark/>
          </w:tcPr>
          <w:p w14:paraId="3DB80B55" w14:textId="77777777" w:rsidR="00B30FE4" w:rsidRPr="00B30FE4" w:rsidRDefault="00B30FE4" w:rsidP="00B30FE4">
            <w:pPr>
              <w:jc w:val="right"/>
              <w:rPr>
                <w:rFonts w:cs="Arial"/>
                <w:color w:val="000000"/>
                <w:szCs w:val="22"/>
              </w:rPr>
            </w:pPr>
            <w:r w:rsidRPr="00B30FE4">
              <w:rPr>
                <w:rFonts w:cs="Arial"/>
                <w:color w:val="000000"/>
              </w:rPr>
              <w:t>0.0376</w:t>
            </w:r>
          </w:p>
        </w:tc>
      </w:tr>
      <w:tr w:rsidR="00B30FE4" w:rsidRPr="00B30FE4" w14:paraId="36011F61" w14:textId="77777777" w:rsidTr="00944749">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484C5D0D" w14:textId="77777777" w:rsidR="00B30FE4" w:rsidRPr="00B30FE4" w:rsidRDefault="00B30FE4" w:rsidP="00B30FE4">
            <w:pPr>
              <w:jc w:val="center"/>
              <w:rPr>
                <w:rFonts w:cs="Arial"/>
                <w:b/>
                <w:bCs/>
                <w:color w:val="000000"/>
                <w:szCs w:val="22"/>
              </w:rPr>
            </w:pPr>
            <w:r w:rsidRPr="00B30FE4">
              <w:rPr>
                <w:rFonts w:cs="Arial"/>
                <w:b/>
                <w:bCs/>
                <w:color w:val="000000"/>
                <w:szCs w:val="22"/>
              </w:rPr>
              <w:t>2015–16</w:t>
            </w:r>
          </w:p>
        </w:tc>
        <w:tc>
          <w:tcPr>
            <w:tcW w:w="1256" w:type="dxa"/>
            <w:tcBorders>
              <w:top w:val="nil"/>
              <w:left w:val="nil"/>
              <w:bottom w:val="single" w:sz="8" w:space="0" w:color="auto"/>
              <w:right w:val="single" w:sz="8" w:space="0" w:color="auto"/>
            </w:tcBorders>
            <w:shd w:val="clear" w:color="auto" w:fill="auto"/>
            <w:vAlign w:val="center"/>
            <w:hideMark/>
          </w:tcPr>
          <w:p w14:paraId="349AAA3E" w14:textId="49D72F62" w:rsidR="00B30FE4" w:rsidRPr="00B30FE4" w:rsidRDefault="00575FC2" w:rsidP="00B30FE4">
            <w:pPr>
              <w:jc w:val="right"/>
              <w:rPr>
                <w:rFonts w:cs="Arial"/>
                <w:color w:val="000000"/>
                <w:szCs w:val="22"/>
              </w:rPr>
            </w:pPr>
            <w:r>
              <w:rPr>
                <w:rFonts w:cs="Arial"/>
                <w:color w:val="000000"/>
                <w:szCs w:val="22"/>
              </w:rPr>
              <w:t>1</w:t>
            </w:r>
            <w:r w:rsidR="006B296F">
              <w:rPr>
                <w:rFonts w:cs="Arial"/>
                <w:color w:val="000000"/>
                <w:szCs w:val="22"/>
              </w:rPr>
              <w:t>,</w:t>
            </w:r>
            <w:r>
              <w:rPr>
                <w:rFonts w:cs="Arial"/>
                <w:color w:val="000000"/>
                <w:szCs w:val="22"/>
              </w:rPr>
              <w:t>867,536</w:t>
            </w:r>
          </w:p>
        </w:tc>
        <w:tc>
          <w:tcPr>
            <w:tcW w:w="1182" w:type="dxa"/>
            <w:tcBorders>
              <w:top w:val="nil"/>
              <w:left w:val="nil"/>
              <w:bottom w:val="single" w:sz="8" w:space="0" w:color="auto"/>
              <w:right w:val="single" w:sz="8" w:space="0" w:color="auto"/>
            </w:tcBorders>
            <w:shd w:val="clear" w:color="auto" w:fill="auto"/>
            <w:noWrap/>
            <w:vAlign w:val="center"/>
            <w:hideMark/>
          </w:tcPr>
          <w:p w14:paraId="2C81E34B" w14:textId="205FC4AC" w:rsidR="00B30FE4" w:rsidRPr="00B30FE4" w:rsidRDefault="007A770C" w:rsidP="00B30FE4">
            <w:pPr>
              <w:jc w:val="right"/>
              <w:rPr>
                <w:rFonts w:cs="Arial"/>
                <w:color w:val="000000"/>
                <w:szCs w:val="22"/>
              </w:rPr>
            </w:pPr>
            <w:r>
              <w:rPr>
                <w:rFonts w:cs="Arial"/>
                <w:color w:val="000000"/>
                <w:szCs w:val="22"/>
              </w:rPr>
              <w:t>644</w:t>
            </w:r>
          </w:p>
        </w:tc>
        <w:tc>
          <w:tcPr>
            <w:tcW w:w="1877" w:type="dxa"/>
            <w:tcBorders>
              <w:top w:val="nil"/>
              <w:left w:val="nil"/>
              <w:bottom w:val="single" w:sz="8" w:space="0" w:color="auto"/>
              <w:right w:val="single" w:sz="8" w:space="0" w:color="auto"/>
            </w:tcBorders>
            <w:shd w:val="clear" w:color="auto" w:fill="auto"/>
            <w:noWrap/>
            <w:vAlign w:val="center"/>
            <w:hideMark/>
          </w:tcPr>
          <w:p w14:paraId="0DF974C3" w14:textId="04A82FAF" w:rsidR="00B30FE4" w:rsidRPr="00B30FE4" w:rsidRDefault="001F1EC3" w:rsidP="00B30FE4">
            <w:pPr>
              <w:jc w:val="right"/>
              <w:rPr>
                <w:rFonts w:cs="Arial"/>
                <w:color w:val="000000"/>
                <w:szCs w:val="22"/>
              </w:rPr>
            </w:pPr>
            <w:r>
              <w:rPr>
                <w:rFonts w:cs="Arial"/>
                <w:color w:val="000000"/>
                <w:szCs w:val="22"/>
              </w:rPr>
              <w:t>0.0344</w:t>
            </w:r>
          </w:p>
        </w:tc>
      </w:tr>
    </w:tbl>
    <w:p w14:paraId="0E9FCDF1" w14:textId="77777777" w:rsidR="00B30FE4" w:rsidRPr="00B30FE4" w:rsidRDefault="00B30FE4" w:rsidP="00B30FE4"/>
    <w:p w14:paraId="23AC50FF" w14:textId="77777777" w:rsidR="00B30FE4" w:rsidRPr="00B30FE4" w:rsidRDefault="00B30FE4" w:rsidP="00B30FE4">
      <w:r w:rsidRPr="00B30FE4">
        <w:t>Staff</w:t>
      </w:r>
    </w:p>
    <w:tbl>
      <w:tblPr>
        <w:tblW w:w="9106" w:type="dxa"/>
        <w:tblInd w:w="-10" w:type="dxa"/>
        <w:tblLook w:val="04A0" w:firstRow="1" w:lastRow="0" w:firstColumn="1" w:lastColumn="0" w:noHBand="0" w:noVBand="1"/>
      </w:tblPr>
      <w:tblGrid>
        <w:gridCol w:w="1408"/>
        <w:gridCol w:w="709"/>
        <w:gridCol w:w="1182"/>
        <w:gridCol w:w="1511"/>
        <w:gridCol w:w="1170"/>
        <w:gridCol w:w="1851"/>
        <w:gridCol w:w="1275"/>
      </w:tblGrid>
      <w:tr w:rsidR="00B30FE4" w:rsidRPr="00B30FE4" w14:paraId="31AA8D65" w14:textId="77777777" w:rsidTr="00944749">
        <w:trPr>
          <w:trHeight w:val="1215"/>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24AC1431" w14:textId="77777777" w:rsidR="00B30FE4" w:rsidRPr="00B30FE4" w:rsidRDefault="00B30FE4" w:rsidP="00B30FE4">
            <w:pPr>
              <w:jc w:val="center"/>
              <w:rPr>
                <w:rFonts w:cs="Arial"/>
                <w:b/>
                <w:bCs/>
                <w:color w:val="000000"/>
              </w:rPr>
            </w:pPr>
            <w:r w:rsidRPr="00B30FE4">
              <w:rPr>
                <w:rFonts w:cs="Arial"/>
                <w:b/>
                <w:bCs/>
                <w:color w:val="000000"/>
                <w:szCs w:val="22"/>
              </w:rPr>
              <w:t> </w:t>
            </w:r>
          </w:p>
        </w:tc>
        <w:tc>
          <w:tcPr>
            <w:tcW w:w="709" w:type="dxa"/>
            <w:tcBorders>
              <w:top w:val="single" w:sz="8" w:space="0" w:color="auto"/>
              <w:left w:val="nil"/>
              <w:bottom w:val="single" w:sz="8" w:space="0" w:color="auto"/>
              <w:right w:val="single" w:sz="8" w:space="0" w:color="auto"/>
            </w:tcBorders>
            <w:shd w:val="clear" w:color="auto" w:fill="auto"/>
            <w:vAlign w:val="center"/>
          </w:tcPr>
          <w:p w14:paraId="788F4F33" w14:textId="77777777" w:rsidR="00B30FE4" w:rsidRPr="00B30FE4" w:rsidRDefault="00B30FE4" w:rsidP="00B30FE4">
            <w:pPr>
              <w:jc w:val="center"/>
              <w:rPr>
                <w:rFonts w:cs="Arial"/>
                <w:b/>
                <w:bCs/>
                <w:color w:val="000000"/>
              </w:rPr>
            </w:pPr>
            <w:r w:rsidRPr="00B30FE4">
              <w:rPr>
                <w:rFonts w:cs="Arial"/>
                <w:b/>
                <w:bCs/>
                <w:color w:val="000000"/>
                <w:szCs w:val="22"/>
              </w:rPr>
              <w:t>Staff FTE</w:t>
            </w:r>
          </w:p>
        </w:tc>
        <w:tc>
          <w:tcPr>
            <w:tcW w:w="1182" w:type="dxa"/>
            <w:tcBorders>
              <w:top w:val="single" w:sz="8" w:space="0" w:color="auto"/>
              <w:left w:val="nil"/>
              <w:bottom w:val="single" w:sz="8" w:space="0" w:color="auto"/>
              <w:right w:val="single" w:sz="8" w:space="0" w:color="auto"/>
            </w:tcBorders>
            <w:shd w:val="clear" w:color="auto" w:fill="auto"/>
            <w:vAlign w:val="center"/>
          </w:tcPr>
          <w:p w14:paraId="2CDE4898" w14:textId="77777777" w:rsidR="00B30FE4" w:rsidRPr="00B30FE4" w:rsidRDefault="00B30FE4" w:rsidP="00B30FE4">
            <w:pPr>
              <w:jc w:val="center"/>
              <w:rPr>
                <w:rFonts w:cs="Arial"/>
                <w:b/>
                <w:bCs/>
                <w:color w:val="000000"/>
              </w:rPr>
            </w:pPr>
            <w:r w:rsidRPr="00B30FE4">
              <w:rPr>
                <w:rFonts w:cs="Arial"/>
                <w:b/>
                <w:bCs/>
                <w:color w:val="000000"/>
                <w:szCs w:val="22"/>
              </w:rPr>
              <w:t>Incidents</w:t>
            </w:r>
          </w:p>
        </w:tc>
        <w:tc>
          <w:tcPr>
            <w:tcW w:w="1511" w:type="dxa"/>
            <w:tcBorders>
              <w:top w:val="single" w:sz="8" w:space="0" w:color="auto"/>
              <w:left w:val="nil"/>
              <w:bottom w:val="single" w:sz="8" w:space="0" w:color="auto"/>
              <w:right w:val="single" w:sz="8" w:space="0" w:color="auto"/>
            </w:tcBorders>
            <w:shd w:val="clear" w:color="auto" w:fill="auto"/>
            <w:vAlign w:val="center"/>
          </w:tcPr>
          <w:p w14:paraId="6693CCCD" w14:textId="77777777" w:rsidR="00B30FE4" w:rsidRPr="00B30FE4" w:rsidRDefault="00B30FE4" w:rsidP="00B30FE4">
            <w:pPr>
              <w:jc w:val="center"/>
              <w:rPr>
                <w:rFonts w:cs="Arial"/>
                <w:b/>
                <w:bCs/>
                <w:color w:val="000000"/>
              </w:rPr>
            </w:pPr>
            <w:r w:rsidRPr="00B30FE4">
              <w:rPr>
                <w:rFonts w:cs="Arial"/>
                <w:b/>
                <w:bCs/>
                <w:color w:val="000000"/>
                <w:szCs w:val="22"/>
              </w:rPr>
              <w:t>Incidents per 100 Staff Members</w:t>
            </w:r>
          </w:p>
        </w:tc>
        <w:tc>
          <w:tcPr>
            <w:tcW w:w="1170" w:type="dxa"/>
            <w:tcBorders>
              <w:top w:val="single" w:sz="8" w:space="0" w:color="auto"/>
              <w:left w:val="nil"/>
              <w:bottom w:val="single" w:sz="8" w:space="0" w:color="auto"/>
              <w:right w:val="single" w:sz="8" w:space="0" w:color="auto"/>
            </w:tcBorders>
            <w:shd w:val="clear" w:color="auto" w:fill="auto"/>
            <w:vAlign w:val="center"/>
          </w:tcPr>
          <w:p w14:paraId="4F24CFA7" w14:textId="77777777" w:rsidR="00B30FE4" w:rsidRPr="00B30FE4" w:rsidRDefault="00B30FE4" w:rsidP="00B30FE4">
            <w:pPr>
              <w:jc w:val="center"/>
              <w:rPr>
                <w:rFonts w:cs="Arial"/>
                <w:b/>
                <w:bCs/>
                <w:color w:val="000000"/>
              </w:rPr>
            </w:pPr>
            <w:r w:rsidRPr="00B30FE4">
              <w:rPr>
                <w:rFonts w:cs="Arial"/>
                <w:b/>
                <w:bCs/>
                <w:color w:val="000000"/>
                <w:szCs w:val="22"/>
              </w:rPr>
              <w:t>No. of Lost Time Standard Claims</w:t>
            </w:r>
          </w:p>
        </w:tc>
        <w:tc>
          <w:tcPr>
            <w:tcW w:w="1851" w:type="dxa"/>
            <w:tcBorders>
              <w:top w:val="single" w:sz="8" w:space="0" w:color="auto"/>
              <w:left w:val="nil"/>
              <w:bottom w:val="single" w:sz="8" w:space="0" w:color="auto"/>
              <w:right w:val="single" w:sz="8" w:space="0" w:color="auto"/>
            </w:tcBorders>
            <w:shd w:val="clear" w:color="auto" w:fill="auto"/>
            <w:vAlign w:val="center"/>
          </w:tcPr>
          <w:p w14:paraId="523F2B2F" w14:textId="77777777" w:rsidR="00B30FE4" w:rsidRPr="00B30FE4" w:rsidRDefault="00B30FE4" w:rsidP="00B30FE4">
            <w:pPr>
              <w:jc w:val="center"/>
              <w:rPr>
                <w:rFonts w:cs="Arial"/>
                <w:b/>
                <w:bCs/>
                <w:color w:val="000000"/>
              </w:rPr>
            </w:pPr>
            <w:r w:rsidRPr="00B30FE4">
              <w:rPr>
                <w:rFonts w:cs="Arial"/>
                <w:b/>
                <w:bCs/>
                <w:color w:val="000000"/>
                <w:szCs w:val="22"/>
              </w:rPr>
              <w:t>Lost Time Standard Claims per 100 Staff Members</w:t>
            </w:r>
          </w:p>
        </w:tc>
        <w:tc>
          <w:tcPr>
            <w:tcW w:w="1275" w:type="dxa"/>
            <w:tcBorders>
              <w:top w:val="single" w:sz="8" w:space="0" w:color="auto"/>
              <w:left w:val="nil"/>
              <w:bottom w:val="single" w:sz="8" w:space="0" w:color="auto"/>
              <w:right w:val="single" w:sz="8" w:space="0" w:color="auto"/>
            </w:tcBorders>
            <w:shd w:val="clear" w:color="auto" w:fill="auto"/>
            <w:vAlign w:val="center"/>
          </w:tcPr>
          <w:p w14:paraId="5C688B08" w14:textId="77777777" w:rsidR="00B30FE4" w:rsidRPr="00B30FE4" w:rsidRDefault="00B30FE4" w:rsidP="00B30FE4">
            <w:pPr>
              <w:jc w:val="center"/>
              <w:rPr>
                <w:rFonts w:cs="Arial"/>
                <w:b/>
                <w:bCs/>
                <w:color w:val="000000"/>
              </w:rPr>
            </w:pPr>
            <w:r w:rsidRPr="00B30FE4">
              <w:rPr>
                <w:rFonts w:cs="Arial"/>
                <w:b/>
                <w:bCs/>
                <w:color w:val="000000"/>
                <w:szCs w:val="22"/>
              </w:rPr>
              <w:t>Average Cost per Claim</w:t>
            </w:r>
          </w:p>
        </w:tc>
      </w:tr>
      <w:tr w:rsidR="00B30FE4" w:rsidRPr="00B30FE4" w14:paraId="2D97727C" w14:textId="77777777" w:rsidTr="00944749">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14:paraId="76FF2D36" w14:textId="77777777" w:rsidR="00B30FE4" w:rsidRPr="00B30FE4" w:rsidRDefault="00B30FE4" w:rsidP="00B30FE4">
            <w:pPr>
              <w:jc w:val="center"/>
              <w:rPr>
                <w:rFonts w:cs="Arial"/>
                <w:b/>
                <w:bCs/>
                <w:color w:val="000000"/>
              </w:rPr>
            </w:pPr>
            <w:r w:rsidRPr="00B30FE4">
              <w:rPr>
                <w:rFonts w:cs="Arial"/>
                <w:b/>
                <w:bCs/>
                <w:color w:val="000000"/>
                <w:szCs w:val="22"/>
              </w:rPr>
              <w:t>2013–14</w:t>
            </w:r>
          </w:p>
        </w:tc>
        <w:tc>
          <w:tcPr>
            <w:tcW w:w="709" w:type="dxa"/>
            <w:tcBorders>
              <w:top w:val="nil"/>
              <w:left w:val="nil"/>
              <w:bottom w:val="single" w:sz="8" w:space="0" w:color="auto"/>
              <w:right w:val="single" w:sz="8" w:space="0" w:color="auto"/>
            </w:tcBorders>
            <w:shd w:val="clear" w:color="auto" w:fill="auto"/>
            <w:noWrap/>
            <w:vAlign w:val="center"/>
          </w:tcPr>
          <w:p w14:paraId="3676626F" w14:textId="77777777" w:rsidR="00B30FE4" w:rsidRPr="00B30FE4" w:rsidRDefault="00B30FE4" w:rsidP="00B30FE4">
            <w:pPr>
              <w:jc w:val="right"/>
              <w:rPr>
                <w:rFonts w:cs="Arial"/>
                <w:color w:val="000000"/>
              </w:rPr>
            </w:pPr>
            <w:r w:rsidRPr="00B30FE4">
              <w:rPr>
                <w:rFonts w:cs="Arial"/>
                <w:color w:val="000000"/>
                <w:szCs w:val="22"/>
              </w:rPr>
              <w:t>491</w:t>
            </w:r>
          </w:p>
        </w:tc>
        <w:tc>
          <w:tcPr>
            <w:tcW w:w="1182" w:type="dxa"/>
            <w:tcBorders>
              <w:top w:val="nil"/>
              <w:left w:val="nil"/>
              <w:bottom w:val="single" w:sz="8" w:space="0" w:color="auto"/>
              <w:right w:val="single" w:sz="8" w:space="0" w:color="auto"/>
            </w:tcBorders>
            <w:shd w:val="clear" w:color="auto" w:fill="auto"/>
            <w:noWrap/>
            <w:vAlign w:val="center"/>
          </w:tcPr>
          <w:p w14:paraId="76AB12DD" w14:textId="77777777" w:rsidR="00B30FE4" w:rsidRPr="00B30FE4" w:rsidRDefault="00B30FE4" w:rsidP="00B30FE4">
            <w:pPr>
              <w:jc w:val="right"/>
              <w:rPr>
                <w:rFonts w:cs="Arial"/>
                <w:color w:val="000000"/>
              </w:rPr>
            </w:pPr>
            <w:r w:rsidRPr="00B30FE4">
              <w:rPr>
                <w:rFonts w:cs="Arial"/>
                <w:color w:val="000000"/>
                <w:szCs w:val="22"/>
              </w:rPr>
              <w:t>132</w:t>
            </w:r>
          </w:p>
        </w:tc>
        <w:tc>
          <w:tcPr>
            <w:tcW w:w="1511" w:type="dxa"/>
            <w:tcBorders>
              <w:top w:val="nil"/>
              <w:left w:val="nil"/>
              <w:bottom w:val="single" w:sz="8" w:space="0" w:color="auto"/>
              <w:right w:val="single" w:sz="8" w:space="0" w:color="auto"/>
            </w:tcBorders>
            <w:shd w:val="clear" w:color="auto" w:fill="auto"/>
            <w:noWrap/>
            <w:vAlign w:val="center"/>
          </w:tcPr>
          <w:p w14:paraId="1BFFA09F" w14:textId="77777777" w:rsidR="00B30FE4" w:rsidRPr="00B30FE4" w:rsidRDefault="00B30FE4" w:rsidP="00B30FE4">
            <w:pPr>
              <w:jc w:val="right"/>
              <w:rPr>
                <w:rFonts w:cs="Arial"/>
                <w:color w:val="000000"/>
              </w:rPr>
            </w:pPr>
            <w:r w:rsidRPr="00B30FE4">
              <w:rPr>
                <w:rFonts w:cs="Arial"/>
                <w:color w:val="000000"/>
                <w:szCs w:val="22"/>
              </w:rPr>
              <w:t>26.9</w:t>
            </w:r>
          </w:p>
        </w:tc>
        <w:tc>
          <w:tcPr>
            <w:tcW w:w="1170" w:type="dxa"/>
            <w:tcBorders>
              <w:top w:val="nil"/>
              <w:left w:val="nil"/>
              <w:bottom w:val="single" w:sz="8" w:space="0" w:color="auto"/>
              <w:right w:val="single" w:sz="8" w:space="0" w:color="auto"/>
            </w:tcBorders>
            <w:shd w:val="clear" w:color="auto" w:fill="auto"/>
            <w:noWrap/>
            <w:vAlign w:val="center"/>
          </w:tcPr>
          <w:p w14:paraId="38C1C2D0" w14:textId="77777777" w:rsidR="00B30FE4" w:rsidRPr="00B30FE4" w:rsidRDefault="00B30FE4" w:rsidP="00B30FE4">
            <w:pPr>
              <w:jc w:val="right"/>
              <w:rPr>
                <w:rFonts w:cs="Arial"/>
                <w:color w:val="000000"/>
              </w:rPr>
            </w:pPr>
            <w:r w:rsidRPr="00B30FE4">
              <w:rPr>
                <w:rFonts w:cs="Arial"/>
                <w:color w:val="000000"/>
                <w:szCs w:val="22"/>
              </w:rPr>
              <w:t>8 </w:t>
            </w:r>
          </w:p>
        </w:tc>
        <w:tc>
          <w:tcPr>
            <w:tcW w:w="1851" w:type="dxa"/>
            <w:tcBorders>
              <w:top w:val="nil"/>
              <w:left w:val="nil"/>
              <w:bottom w:val="single" w:sz="8" w:space="0" w:color="auto"/>
              <w:right w:val="single" w:sz="8" w:space="0" w:color="auto"/>
            </w:tcBorders>
            <w:shd w:val="clear" w:color="auto" w:fill="auto"/>
            <w:vAlign w:val="center"/>
          </w:tcPr>
          <w:p w14:paraId="7C5B713D" w14:textId="77777777" w:rsidR="00B30FE4" w:rsidRPr="00B30FE4" w:rsidRDefault="00B30FE4" w:rsidP="00B30FE4">
            <w:pPr>
              <w:jc w:val="center"/>
              <w:rPr>
                <w:rFonts w:cs="Arial"/>
                <w:color w:val="000000"/>
              </w:rPr>
            </w:pPr>
            <w:r w:rsidRPr="00B30FE4">
              <w:rPr>
                <w:rFonts w:cs="Arial"/>
                <w:color w:val="000000"/>
                <w:szCs w:val="22"/>
              </w:rPr>
              <w:t>1.63</w:t>
            </w:r>
          </w:p>
        </w:tc>
        <w:tc>
          <w:tcPr>
            <w:tcW w:w="1275" w:type="dxa"/>
            <w:tcBorders>
              <w:top w:val="nil"/>
              <w:left w:val="nil"/>
              <w:bottom w:val="single" w:sz="8" w:space="0" w:color="auto"/>
              <w:right w:val="single" w:sz="8" w:space="0" w:color="auto"/>
            </w:tcBorders>
            <w:shd w:val="clear" w:color="auto" w:fill="auto"/>
            <w:vAlign w:val="center"/>
          </w:tcPr>
          <w:p w14:paraId="5B141C88" w14:textId="77777777" w:rsidR="00B30FE4" w:rsidRPr="00B30FE4" w:rsidRDefault="00B30FE4" w:rsidP="00B30FE4">
            <w:pPr>
              <w:jc w:val="center"/>
              <w:rPr>
                <w:rFonts w:cs="Arial"/>
                <w:color w:val="000000"/>
              </w:rPr>
            </w:pPr>
            <w:r w:rsidRPr="00B30FE4">
              <w:rPr>
                <w:rFonts w:cs="Arial"/>
                <w:color w:val="000000"/>
                <w:szCs w:val="22"/>
              </w:rPr>
              <w:t>$129,877 </w:t>
            </w:r>
          </w:p>
        </w:tc>
      </w:tr>
      <w:tr w:rsidR="00B30FE4" w:rsidRPr="00B30FE4" w14:paraId="2901D0ED" w14:textId="77777777" w:rsidTr="00944749">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14:paraId="260FDA29" w14:textId="77777777" w:rsidR="00B30FE4" w:rsidRPr="00B30FE4" w:rsidRDefault="00B30FE4" w:rsidP="00B30FE4">
            <w:pPr>
              <w:jc w:val="center"/>
              <w:rPr>
                <w:rFonts w:cs="Arial"/>
                <w:b/>
                <w:bCs/>
                <w:color w:val="000000"/>
              </w:rPr>
            </w:pPr>
            <w:r w:rsidRPr="00B30FE4">
              <w:rPr>
                <w:rFonts w:cs="Arial"/>
                <w:b/>
                <w:bCs/>
                <w:color w:val="000000"/>
                <w:szCs w:val="22"/>
              </w:rPr>
              <w:t>2014–15</w:t>
            </w:r>
          </w:p>
        </w:tc>
        <w:tc>
          <w:tcPr>
            <w:tcW w:w="709" w:type="dxa"/>
            <w:tcBorders>
              <w:top w:val="nil"/>
              <w:left w:val="nil"/>
              <w:bottom w:val="single" w:sz="8" w:space="0" w:color="auto"/>
              <w:right w:val="single" w:sz="8" w:space="0" w:color="auto"/>
            </w:tcBorders>
            <w:shd w:val="clear" w:color="auto" w:fill="auto"/>
            <w:noWrap/>
            <w:vAlign w:val="center"/>
          </w:tcPr>
          <w:p w14:paraId="49312BF0" w14:textId="77777777" w:rsidR="00B30FE4" w:rsidRPr="00B30FE4" w:rsidRDefault="00B30FE4" w:rsidP="00B30FE4">
            <w:pPr>
              <w:jc w:val="right"/>
              <w:rPr>
                <w:rFonts w:cs="Arial"/>
                <w:color w:val="000000"/>
              </w:rPr>
            </w:pPr>
            <w:r w:rsidRPr="00B30FE4">
              <w:rPr>
                <w:rFonts w:cs="Arial"/>
                <w:color w:val="000000"/>
                <w:szCs w:val="22"/>
              </w:rPr>
              <w:t>477</w:t>
            </w:r>
          </w:p>
        </w:tc>
        <w:tc>
          <w:tcPr>
            <w:tcW w:w="1182" w:type="dxa"/>
            <w:tcBorders>
              <w:top w:val="nil"/>
              <w:left w:val="nil"/>
              <w:bottom w:val="single" w:sz="8" w:space="0" w:color="auto"/>
              <w:right w:val="single" w:sz="8" w:space="0" w:color="auto"/>
            </w:tcBorders>
            <w:shd w:val="clear" w:color="auto" w:fill="auto"/>
            <w:noWrap/>
            <w:vAlign w:val="center"/>
          </w:tcPr>
          <w:p w14:paraId="7E6F763E" w14:textId="77777777" w:rsidR="00B30FE4" w:rsidRPr="00B30FE4" w:rsidRDefault="00B30FE4" w:rsidP="00B30FE4">
            <w:pPr>
              <w:jc w:val="right"/>
              <w:rPr>
                <w:rFonts w:cs="Arial"/>
                <w:color w:val="000000"/>
              </w:rPr>
            </w:pPr>
            <w:r w:rsidRPr="00B30FE4">
              <w:rPr>
                <w:rFonts w:cs="Arial"/>
                <w:color w:val="000000"/>
                <w:szCs w:val="22"/>
              </w:rPr>
              <w:t>183</w:t>
            </w:r>
          </w:p>
        </w:tc>
        <w:tc>
          <w:tcPr>
            <w:tcW w:w="1511" w:type="dxa"/>
            <w:tcBorders>
              <w:top w:val="nil"/>
              <w:left w:val="nil"/>
              <w:bottom w:val="single" w:sz="8" w:space="0" w:color="auto"/>
              <w:right w:val="single" w:sz="8" w:space="0" w:color="auto"/>
            </w:tcBorders>
            <w:shd w:val="clear" w:color="auto" w:fill="auto"/>
            <w:noWrap/>
            <w:vAlign w:val="center"/>
          </w:tcPr>
          <w:p w14:paraId="1518237C" w14:textId="77777777" w:rsidR="00B30FE4" w:rsidRPr="00B30FE4" w:rsidRDefault="00B30FE4" w:rsidP="00B30FE4">
            <w:pPr>
              <w:jc w:val="right"/>
              <w:rPr>
                <w:rFonts w:cs="Arial"/>
                <w:color w:val="000000"/>
              </w:rPr>
            </w:pPr>
            <w:r w:rsidRPr="00B30FE4">
              <w:rPr>
                <w:rFonts w:cs="Arial"/>
                <w:color w:val="000000"/>
              </w:rPr>
              <w:t>38.4</w:t>
            </w:r>
          </w:p>
        </w:tc>
        <w:tc>
          <w:tcPr>
            <w:tcW w:w="1170" w:type="dxa"/>
            <w:tcBorders>
              <w:top w:val="nil"/>
              <w:left w:val="nil"/>
              <w:bottom w:val="single" w:sz="8" w:space="0" w:color="auto"/>
              <w:right w:val="single" w:sz="8" w:space="0" w:color="auto"/>
            </w:tcBorders>
            <w:shd w:val="clear" w:color="auto" w:fill="auto"/>
            <w:noWrap/>
            <w:vAlign w:val="center"/>
          </w:tcPr>
          <w:p w14:paraId="5A16025E" w14:textId="77777777" w:rsidR="00B30FE4" w:rsidRPr="00B30FE4" w:rsidRDefault="00B30FE4" w:rsidP="00B30FE4">
            <w:pPr>
              <w:jc w:val="right"/>
              <w:rPr>
                <w:rFonts w:cs="Arial"/>
                <w:color w:val="000000"/>
              </w:rPr>
            </w:pPr>
            <w:r w:rsidRPr="00B30FE4">
              <w:rPr>
                <w:rFonts w:cs="Arial"/>
                <w:color w:val="000000"/>
                <w:szCs w:val="22"/>
              </w:rPr>
              <w:t>2 </w:t>
            </w:r>
          </w:p>
        </w:tc>
        <w:tc>
          <w:tcPr>
            <w:tcW w:w="1851" w:type="dxa"/>
            <w:tcBorders>
              <w:top w:val="nil"/>
              <w:left w:val="nil"/>
              <w:bottom w:val="single" w:sz="8" w:space="0" w:color="auto"/>
              <w:right w:val="single" w:sz="8" w:space="0" w:color="auto"/>
            </w:tcBorders>
            <w:shd w:val="clear" w:color="auto" w:fill="auto"/>
            <w:vAlign w:val="center"/>
          </w:tcPr>
          <w:p w14:paraId="1965C471" w14:textId="77777777" w:rsidR="00B30FE4" w:rsidRPr="00B30FE4" w:rsidRDefault="00B30FE4" w:rsidP="00B30FE4">
            <w:pPr>
              <w:jc w:val="center"/>
              <w:rPr>
                <w:rFonts w:cs="Arial"/>
                <w:color w:val="000000"/>
              </w:rPr>
            </w:pPr>
            <w:r w:rsidRPr="00B30FE4">
              <w:rPr>
                <w:rFonts w:cs="Arial"/>
                <w:color w:val="000000"/>
              </w:rPr>
              <w:t>0.42</w:t>
            </w:r>
          </w:p>
        </w:tc>
        <w:tc>
          <w:tcPr>
            <w:tcW w:w="1275" w:type="dxa"/>
            <w:tcBorders>
              <w:top w:val="nil"/>
              <w:left w:val="nil"/>
              <w:bottom w:val="single" w:sz="8" w:space="0" w:color="auto"/>
              <w:right w:val="single" w:sz="8" w:space="0" w:color="auto"/>
            </w:tcBorders>
            <w:shd w:val="clear" w:color="auto" w:fill="auto"/>
            <w:noWrap/>
            <w:vAlign w:val="center"/>
          </w:tcPr>
          <w:p w14:paraId="702DD2ED" w14:textId="77777777" w:rsidR="00B30FE4" w:rsidRPr="00B30FE4" w:rsidRDefault="00B30FE4" w:rsidP="00B30FE4">
            <w:pPr>
              <w:jc w:val="right"/>
              <w:rPr>
                <w:rFonts w:cs="Arial"/>
                <w:color w:val="000000"/>
              </w:rPr>
            </w:pPr>
            <w:r w:rsidRPr="00B30FE4">
              <w:rPr>
                <w:rFonts w:cs="Arial"/>
                <w:color w:val="000000"/>
                <w:szCs w:val="22"/>
              </w:rPr>
              <w:t>$3,547 </w:t>
            </w:r>
          </w:p>
        </w:tc>
      </w:tr>
      <w:tr w:rsidR="00B30FE4" w:rsidRPr="00B30FE4" w14:paraId="73473C0D" w14:textId="77777777" w:rsidTr="00944749">
        <w:trPr>
          <w:trHeight w:val="315"/>
        </w:trPr>
        <w:tc>
          <w:tcPr>
            <w:tcW w:w="1408" w:type="dxa"/>
            <w:tcBorders>
              <w:top w:val="nil"/>
              <w:left w:val="single" w:sz="8" w:space="0" w:color="auto"/>
              <w:bottom w:val="single" w:sz="8" w:space="0" w:color="auto"/>
              <w:right w:val="single" w:sz="8" w:space="0" w:color="auto"/>
            </w:tcBorders>
            <w:shd w:val="clear" w:color="auto" w:fill="auto"/>
            <w:noWrap/>
            <w:vAlign w:val="center"/>
          </w:tcPr>
          <w:p w14:paraId="45B8CD45" w14:textId="77777777" w:rsidR="00B30FE4" w:rsidRPr="00B30FE4" w:rsidRDefault="00B30FE4" w:rsidP="00B30FE4">
            <w:pPr>
              <w:jc w:val="center"/>
              <w:rPr>
                <w:rFonts w:cs="Arial"/>
                <w:b/>
                <w:bCs/>
                <w:color w:val="000000"/>
              </w:rPr>
            </w:pPr>
            <w:r w:rsidRPr="00B30FE4">
              <w:rPr>
                <w:rFonts w:cs="Arial"/>
                <w:b/>
                <w:bCs/>
                <w:color w:val="000000"/>
                <w:szCs w:val="22"/>
              </w:rPr>
              <w:t>2015-16</w:t>
            </w:r>
          </w:p>
        </w:tc>
        <w:tc>
          <w:tcPr>
            <w:tcW w:w="709" w:type="dxa"/>
            <w:tcBorders>
              <w:top w:val="nil"/>
              <w:left w:val="nil"/>
              <w:bottom w:val="single" w:sz="8" w:space="0" w:color="auto"/>
              <w:right w:val="single" w:sz="8" w:space="0" w:color="auto"/>
            </w:tcBorders>
            <w:shd w:val="clear" w:color="auto" w:fill="auto"/>
            <w:noWrap/>
            <w:vAlign w:val="center"/>
          </w:tcPr>
          <w:p w14:paraId="5DA79A3E" w14:textId="20AC5408" w:rsidR="00B30FE4" w:rsidRPr="00B30FE4" w:rsidRDefault="00575FC2" w:rsidP="00B30FE4">
            <w:pPr>
              <w:jc w:val="right"/>
              <w:rPr>
                <w:rFonts w:cs="Arial"/>
                <w:color w:val="000000"/>
              </w:rPr>
            </w:pPr>
            <w:r>
              <w:rPr>
                <w:rFonts w:cs="Arial"/>
                <w:color w:val="000000"/>
              </w:rPr>
              <w:t>507</w:t>
            </w:r>
          </w:p>
        </w:tc>
        <w:tc>
          <w:tcPr>
            <w:tcW w:w="1182" w:type="dxa"/>
            <w:tcBorders>
              <w:top w:val="nil"/>
              <w:left w:val="nil"/>
              <w:bottom w:val="single" w:sz="8" w:space="0" w:color="auto"/>
              <w:right w:val="single" w:sz="8" w:space="0" w:color="auto"/>
            </w:tcBorders>
            <w:shd w:val="clear" w:color="auto" w:fill="auto"/>
            <w:noWrap/>
            <w:vAlign w:val="center"/>
          </w:tcPr>
          <w:p w14:paraId="01D535FC" w14:textId="737672F5" w:rsidR="00B30FE4" w:rsidRPr="00B30FE4" w:rsidRDefault="007A770C" w:rsidP="00B30FE4">
            <w:pPr>
              <w:jc w:val="right"/>
              <w:rPr>
                <w:rFonts w:cs="Arial"/>
                <w:color w:val="000000"/>
              </w:rPr>
            </w:pPr>
            <w:r>
              <w:rPr>
                <w:rFonts w:cs="Arial"/>
                <w:color w:val="000000"/>
              </w:rPr>
              <w:t>255</w:t>
            </w:r>
          </w:p>
        </w:tc>
        <w:tc>
          <w:tcPr>
            <w:tcW w:w="1511" w:type="dxa"/>
            <w:tcBorders>
              <w:top w:val="nil"/>
              <w:left w:val="nil"/>
              <w:bottom w:val="single" w:sz="8" w:space="0" w:color="auto"/>
              <w:right w:val="single" w:sz="8" w:space="0" w:color="auto"/>
            </w:tcBorders>
            <w:shd w:val="clear" w:color="auto" w:fill="auto"/>
            <w:noWrap/>
            <w:vAlign w:val="center"/>
          </w:tcPr>
          <w:p w14:paraId="6B84C8E1" w14:textId="4339F9E8" w:rsidR="00B30FE4" w:rsidRPr="00B30FE4" w:rsidRDefault="001F1EC3" w:rsidP="00B30FE4">
            <w:pPr>
              <w:jc w:val="right"/>
              <w:rPr>
                <w:rFonts w:cs="Arial"/>
                <w:color w:val="000000"/>
              </w:rPr>
            </w:pPr>
            <w:r>
              <w:rPr>
                <w:rFonts w:cs="Arial"/>
                <w:color w:val="000000"/>
              </w:rPr>
              <w:t>50.3</w:t>
            </w:r>
          </w:p>
        </w:tc>
        <w:tc>
          <w:tcPr>
            <w:tcW w:w="1170" w:type="dxa"/>
            <w:tcBorders>
              <w:top w:val="nil"/>
              <w:left w:val="nil"/>
              <w:bottom w:val="single" w:sz="8" w:space="0" w:color="auto"/>
              <w:right w:val="single" w:sz="8" w:space="0" w:color="auto"/>
            </w:tcBorders>
            <w:shd w:val="clear" w:color="auto" w:fill="auto"/>
            <w:noWrap/>
            <w:vAlign w:val="center"/>
          </w:tcPr>
          <w:p w14:paraId="601B52C1" w14:textId="22350F00" w:rsidR="00B30FE4" w:rsidRPr="00B30FE4" w:rsidRDefault="001F1EC3" w:rsidP="00B30FE4">
            <w:pPr>
              <w:jc w:val="right"/>
              <w:rPr>
                <w:rFonts w:cs="Arial"/>
                <w:color w:val="000000"/>
              </w:rPr>
            </w:pPr>
            <w:r>
              <w:rPr>
                <w:rFonts w:cs="Arial"/>
                <w:color w:val="000000"/>
                <w:szCs w:val="22"/>
              </w:rPr>
              <w:t>5</w:t>
            </w:r>
            <w:r w:rsidR="00B30FE4" w:rsidRPr="00B30FE4">
              <w:rPr>
                <w:rFonts w:cs="Arial"/>
                <w:color w:val="000000"/>
                <w:szCs w:val="22"/>
              </w:rPr>
              <w:t> </w:t>
            </w:r>
          </w:p>
        </w:tc>
        <w:tc>
          <w:tcPr>
            <w:tcW w:w="1851" w:type="dxa"/>
            <w:tcBorders>
              <w:top w:val="nil"/>
              <w:left w:val="nil"/>
              <w:bottom w:val="single" w:sz="8" w:space="0" w:color="auto"/>
              <w:right w:val="single" w:sz="8" w:space="0" w:color="auto"/>
            </w:tcBorders>
            <w:shd w:val="clear" w:color="auto" w:fill="auto"/>
            <w:vAlign w:val="center"/>
          </w:tcPr>
          <w:p w14:paraId="13429FFD" w14:textId="688D450B" w:rsidR="00B30FE4" w:rsidRPr="00B30FE4" w:rsidRDefault="001F1EC3" w:rsidP="00B30FE4">
            <w:pPr>
              <w:jc w:val="center"/>
              <w:rPr>
                <w:rFonts w:cs="Arial"/>
                <w:color w:val="000000"/>
              </w:rPr>
            </w:pPr>
            <w:r>
              <w:rPr>
                <w:rFonts w:cs="Arial"/>
                <w:color w:val="000000"/>
              </w:rPr>
              <w:t>0.98</w:t>
            </w:r>
          </w:p>
        </w:tc>
        <w:tc>
          <w:tcPr>
            <w:tcW w:w="1275" w:type="dxa"/>
            <w:tcBorders>
              <w:top w:val="nil"/>
              <w:left w:val="nil"/>
              <w:bottom w:val="single" w:sz="8" w:space="0" w:color="auto"/>
              <w:right w:val="single" w:sz="8" w:space="0" w:color="auto"/>
            </w:tcBorders>
            <w:shd w:val="clear" w:color="auto" w:fill="auto"/>
            <w:noWrap/>
            <w:vAlign w:val="center"/>
          </w:tcPr>
          <w:p w14:paraId="7E0079A2" w14:textId="0E9EB33B" w:rsidR="00B30FE4" w:rsidRPr="00B30FE4" w:rsidRDefault="001F1EC3" w:rsidP="00B30FE4">
            <w:pPr>
              <w:jc w:val="right"/>
              <w:rPr>
                <w:rFonts w:cs="Arial"/>
                <w:color w:val="000000"/>
              </w:rPr>
            </w:pPr>
            <w:r>
              <w:rPr>
                <w:rFonts w:cs="Arial"/>
                <w:color w:val="000000"/>
              </w:rPr>
              <w:t>$101,498</w:t>
            </w:r>
          </w:p>
        </w:tc>
      </w:tr>
    </w:tbl>
    <w:p w14:paraId="3C5A0D67" w14:textId="77777777" w:rsidR="007657D6" w:rsidRDefault="007657D6" w:rsidP="007657D6">
      <w:pPr>
        <w:rPr>
          <w:rFonts w:cs="Arial"/>
          <w:szCs w:val="22"/>
        </w:rPr>
      </w:pPr>
    </w:p>
    <w:p w14:paraId="65C0EAA7" w14:textId="3DD7BDBE" w:rsidR="007657D6" w:rsidRDefault="007657D6" w:rsidP="007657D6">
      <w:r w:rsidRPr="002149F0">
        <w:t>Note</w:t>
      </w:r>
      <w:r w:rsidR="001579CD">
        <w:t>s</w:t>
      </w:r>
      <w:r w:rsidRPr="002149F0">
        <w:t>:</w:t>
      </w:r>
    </w:p>
    <w:p w14:paraId="331C39C4" w14:textId="7C3648DF" w:rsidR="001579CD" w:rsidRPr="00D53DB8" w:rsidRDefault="001579CD" w:rsidP="00D53DB8">
      <w:pPr>
        <w:pStyle w:val="ListParagraph"/>
        <w:numPr>
          <w:ilvl w:val="0"/>
          <w:numId w:val="38"/>
        </w:numPr>
        <w:autoSpaceDE w:val="0"/>
        <w:autoSpaceDN w:val="0"/>
        <w:ind w:left="426" w:hanging="426"/>
      </w:pPr>
      <w:r>
        <w:t>Average cost per claim includes payments to 30 June 2016 and an estimate of outstanding claim costs advised by Xchang</w:t>
      </w:r>
      <w:r w:rsidR="00D53DB8">
        <w:t>ing, Museum Victoria’s insurer.</w:t>
      </w:r>
    </w:p>
    <w:p w14:paraId="14B1B76A" w14:textId="047CDAA2" w:rsidR="001579CD" w:rsidRDefault="001579CD" w:rsidP="00D53DB8">
      <w:pPr>
        <w:pStyle w:val="ListParagraph"/>
        <w:numPr>
          <w:ilvl w:val="0"/>
          <w:numId w:val="38"/>
        </w:numPr>
        <w:ind w:left="426" w:hanging="426"/>
      </w:pPr>
      <w:r w:rsidRPr="002149F0">
        <w:t>There was a significant increase in number of near miss (26%) and hazard (97%) reports</w:t>
      </w:r>
      <w:r w:rsidR="00705AC2">
        <w:t xml:space="preserve"> from staff</w:t>
      </w:r>
      <w:r w:rsidRPr="002149F0">
        <w:t xml:space="preserve"> in 2015</w:t>
      </w:r>
      <w:r w:rsidRPr="00D53DB8">
        <w:rPr>
          <w:rFonts w:cs="Arial"/>
        </w:rPr>
        <w:t>–</w:t>
      </w:r>
      <w:r w:rsidRPr="002149F0">
        <w:t xml:space="preserve">16. </w:t>
      </w:r>
      <w:r>
        <w:t>The number of injuries to staff was slightly down on 2014</w:t>
      </w:r>
      <w:r w:rsidRPr="00D53DB8">
        <w:rPr>
          <w:rFonts w:cs="Arial"/>
        </w:rPr>
        <w:t>–</w:t>
      </w:r>
      <w:r>
        <w:t>15 (</w:t>
      </w:r>
      <w:r w:rsidRPr="00D53DB8">
        <w:rPr>
          <w:rFonts w:cs="Arial"/>
        </w:rPr>
        <w:t>–</w:t>
      </w:r>
      <w:r>
        <w:t xml:space="preserve">5%). Staff are aware of </w:t>
      </w:r>
      <w:r w:rsidRPr="002149F0">
        <w:t>the importance of identifying and rectifying hazards before they can cause an injury.</w:t>
      </w:r>
    </w:p>
    <w:p w14:paraId="1DFDE2A3" w14:textId="77777777" w:rsidR="00165A1A" w:rsidRPr="002149F0" w:rsidRDefault="00165A1A" w:rsidP="007657D6"/>
    <w:p w14:paraId="78E05FE3" w14:textId="1652786F" w:rsidR="00B30FE4" w:rsidRPr="000720D0" w:rsidRDefault="00B30FE4" w:rsidP="00B43021">
      <w:pPr>
        <w:pStyle w:val="Heading3"/>
      </w:pPr>
      <w:r w:rsidRPr="000720D0">
        <w:t>DataVic Access Policy</w:t>
      </w:r>
    </w:p>
    <w:p w14:paraId="52CB6F9D" w14:textId="07CDDC0F" w:rsidR="00B30FE4" w:rsidRPr="00B30FE4" w:rsidRDefault="00B30FE4" w:rsidP="00B30FE4">
      <w:r w:rsidRPr="00B30FE4">
        <w:t>Museum Victoria is committed to the principles of open access to public data and information.</w:t>
      </w:r>
    </w:p>
    <w:p w14:paraId="6185C674" w14:textId="77777777" w:rsidR="00B30FE4" w:rsidRPr="00B30FE4" w:rsidRDefault="00B30FE4" w:rsidP="00B30FE4"/>
    <w:p w14:paraId="641B49F9" w14:textId="7F7FDCD3" w:rsidR="00B30FE4" w:rsidRPr="00B30FE4" w:rsidRDefault="00B30FE4" w:rsidP="00B30FE4">
      <w:r w:rsidRPr="00B30FE4">
        <w:t xml:space="preserve">Museum Victoria makes a significant amount of data freely available on </w:t>
      </w:r>
      <w:r w:rsidR="00BC3C2E">
        <w:t xml:space="preserve">the site </w:t>
      </w:r>
      <w:r w:rsidR="00BC3C2E" w:rsidRPr="000720D0">
        <w:rPr>
          <w:i/>
        </w:rPr>
        <w:t xml:space="preserve">Museum Victoria </w:t>
      </w:r>
      <w:r w:rsidRPr="00B30FE4">
        <w:rPr>
          <w:i/>
        </w:rPr>
        <w:t>Collections</w:t>
      </w:r>
      <w:r w:rsidRPr="00B30FE4">
        <w:t xml:space="preserve"> and shares data with major national data aggregators, including:</w:t>
      </w:r>
    </w:p>
    <w:p w14:paraId="05F1BCA3" w14:textId="3E2C85A3" w:rsidR="00B30FE4" w:rsidRPr="00B30FE4" w:rsidRDefault="003857CD" w:rsidP="00B30FE4">
      <w:pPr>
        <w:widowControl w:val="0"/>
        <w:numPr>
          <w:ilvl w:val="0"/>
          <w:numId w:val="10"/>
        </w:numPr>
        <w:autoSpaceDE w:val="0"/>
        <w:autoSpaceDN w:val="0"/>
        <w:adjustRightInd w:val="0"/>
        <w:ind w:left="426" w:hanging="426"/>
      </w:pPr>
      <w:r w:rsidRPr="00B30FE4">
        <w:rPr>
          <w:i/>
        </w:rPr>
        <w:t>Trove</w:t>
      </w:r>
      <w:r>
        <w:t xml:space="preserve">, </w:t>
      </w:r>
      <w:r w:rsidR="00B30FE4" w:rsidRPr="00B30FE4">
        <w:t>the National Library of Australia’s portal, through which we share humanities collections data, with approximately 83,000 item and image records available</w:t>
      </w:r>
    </w:p>
    <w:p w14:paraId="61ABEC15" w14:textId="1C119A43" w:rsidR="00B30FE4" w:rsidRPr="00B30FE4" w:rsidRDefault="00B30FE4" w:rsidP="00B30FE4">
      <w:pPr>
        <w:widowControl w:val="0"/>
        <w:numPr>
          <w:ilvl w:val="0"/>
          <w:numId w:val="10"/>
        </w:numPr>
        <w:autoSpaceDE w:val="0"/>
        <w:autoSpaceDN w:val="0"/>
        <w:adjustRightInd w:val="0"/>
        <w:ind w:left="426" w:hanging="426"/>
      </w:pPr>
      <w:r w:rsidRPr="000720D0">
        <w:rPr>
          <w:i/>
        </w:rPr>
        <w:t>Atlas of Living Australia</w:t>
      </w:r>
      <w:r w:rsidRPr="00B30FE4">
        <w:t>, through which we share science specimen data, with approximately 560,000 specimen records and 28,000 images available.</w:t>
      </w:r>
    </w:p>
    <w:p w14:paraId="1D7D2057" w14:textId="77777777" w:rsidR="00FB0E34" w:rsidRDefault="00FB0E34" w:rsidP="00D53DB8"/>
    <w:p w14:paraId="1B8CCC2E" w14:textId="77777777" w:rsidR="00B30FE4" w:rsidRPr="000720D0" w:rsidRDefault="00B30FE4" w:rsidP="00B43021">
      <w:pPr>
        <w:pStyle w:val="Heading3"/>
      </w:pPr>
      <w:r w:rsidRPr="000720D0">
        <w:t>Carers Recognition Act 2012</w:t>
      </w:r>
    </w:p>
    <w:p w14:paraId="0381BF6E" w14:textId="77777777" w:rsidR="00B30FE4" w:rsidRPr="00B30FE4" w:rsidRDefault="00B30FE4" w:rsidP="00B30FE4">
      <w:r w:rsidRPr="00B30FE4">
        <w:t xml:space="preserve">Museum Victoria recognises our responsibilities under the </w:t>
      </w:r>
      <w:r w:rsidRPr="00B30FE4">
        <w:rPr>
          <w:i/>
        </w:rPr>
        <w:t>Carers Recognition Act 2012</w:t>
      </w:r>
      <w:r w:rsidRPr="00B30FE4">
        <w:t>. The following activities promote and implement the principles of the Act for our staff and for people in care relationships:</w:t>
      </w:r>
    </w:p>
    <w:p w14:paraId="239993B6" w14:textId="611D0469" w:rsidR="00B30FE4" w:rsidRPr="00B30FE4" w:rsidRDefault="00B30FE4" w:rsidP="00B30FE4">
      <w:pPr>
        <w:widowControl w:val="0"/>
        <w:numPr>
          <w:ilvl w:val="0"/>
          <w:numId w:val="10"/>
        </w:numPr>
        <w:autoSpaceDE w:val="0"/>
        <w:autoSpaceDN w:val="0"/>
        <w:adjustRightInd w:val="0"/>
        <w:ind w:left="426" w:hanging="426"/>
      </w:pPr>
      <w:r w:rsidRPr="00B30FE4">
        <w:t xml:space="preserve">the Carer Card </w:t>
      </w:r>
      <w:r w:rsidR="006767E0">
        <w:t>P</w:t>
      </w:r>
      <w:r w:rsidRPr="00B30FE4">
        <w:t>rogram</w:t>
      </w:r>
      <w:r w:rsidR="006767E0">
        <w:t xml:space="preserve"> gives</w:t>
      </w:r>
      <w:r w:rsidRPr="00B30FE4">
        <w:t xml:space="preserve"> concession entry to our museums and IMAX</w:t>
      </w:r>
    </w:p>
    <w:p w14:paraId="55C48229" w14:textId="5BFB885F" w:rsidR="00B30FE4" w:rsidRPr="00B30FE4" w:rsidRDefault="00B30FE4" w:rsidP="00B30FE4">
      <w:pPr>
        <w:widowControl w:val="0"/>
        <w:numPr>
          <w:ilvl w:val="0"/>
          <w:numId w:val="10"/>
        </w:numPr>
        <w:autoSpaceDE w:val="0"/>
        <w:autoSpaceDN w:val="0"/>
        <w:adjustRightInd w:val="0"/>
        <w:ind w:left="426" w:hanging="426"/>
      </w:pPr>
      <w:r w:rsidRPr="00B30FE4">
        <w:t xml:space="preserve">the Companion Card </w:t>
      </w:r>
      <w:r w:rsidR="006767E0">
        <w:t>P</w:t>
      </w:r>
      <w:r w:rsidRPr="00B30FE4">
        <w:t>rogram</w:t>
      </w:r>
      <w:r w:rsidR="006767E0">
        <w:t xml:space="preserve"> gives</w:t>
      </w:r>
      <w:r w:rsidRPr="00B30FE4">
        <w:t xml:space="preserve"> free entry to cardholders when accompanying their care recipient</w:t>
      </w:r>
    </w:p>
    <w:p w14:paraId="6EC23EF3" w14:textId="4D0F8D30" w:rsidR="00B30FE4" w:rsidRPr="00B30FE4" w:rsidRDefault="00B30FE4" w:rsidP="00B30FE4">
      <w:pPr>
        <w:widowControl w:val="0"/>
        <w:numPr>
          <w:ilvl w:val="0"/>
          <w:numId w:val="10"/>
        </w:numPr>
        <w:autoSpaceDE w:val="0"/>
        <w:autoSpaceDN w:val="0"/>
        <w:adjustRightInd w:val="0"/>
        <w:ind w:left="426" w:hanging="426"/>
      </w:pPr>
      <w:r w:rsidRPr="00B30FE4">
        <w:t>flexible work arrangements for staff who are carers</w:t>
      </w:r>
    </w:p>
    <w:p w14:paraId="448F5994" w14:textId="3B4F4655" w:rsidR="00E809BC" w:rsidRPr="0094180C" w:rsidRDefault="00B30FE4" w:rsidP="0094180C">
      <w:pPr>
        <w:widowControl w:val="0"/>
        <w:numPr>
          <w:ilvl w:val="0"/>
          <w:numId w:val="10"/>
        </w:numPr>
        <w:autoSpaceDE w:val="0"/>
        <w:autoSpaceDN w:val="0"/>
        <w:adjustRightInd w:val="0"/>
        <w:ind w:left="426" w:hanging="426"/>
        <w:sectPr w:rsidR="00E809BC" w:rsidRPr="0094180C" w:rsidSect="00C80CE8">
          <w:pgSz w:w="11906" w:h="16838"/>
          <w:pgMar w:top="1440" w:right="1797" w:bottom="1440" w:left="1797" w:header="708" w:footer="708" w:gutter="0"/>
          <w:cols w:space="708"/>
          <w:docGrid w:linePitch="360"/>
        </w:sectPr>
      </w:pPr>
      <w:r w:rsidRPr="00B30FE4">
        <w:t>review of our Disability Action Plan and Disability Access Policy to ensure the principles of the Act are reflected in our procedures and programs.</w:t>
      </w:r>
    </w:p>
    <w:p w14:paraId="610017F8" w14:textId="23851BFC" w:rsidR="00B30FE4" w:rsidRPr="000720D0" w:rsidRDefault="00B30FE4" w:rsidP="00B43021">
      <w:pPr>
        <w:pStyle w:val="Heading3"/>
      </w:pPr>
      <w:r w:rsidRPr="000720D0">
        <w:t>Government Advertising Expenditure</w:t>
      </w:r>
    </w:p>
    <w:p w14:paraId="02EA76CC" w14:textId="77777777" w:rsidR="00B30FE4" w:rsidRPr="00B30FE4" w:rsidRDefault="00B30FE4" w:rsidP="00B30FE4"/>
    <w:tbl>
      <w:tblPr>
        <w:tblStyle w:val="TableGrid"/>
        <w:tblW w:w="14596" w:type="dxa"/>
        <w:tblLayout w:type="fixed"/>
        <w:tblLook w:val="04A0" w:firstRow="1" w:lastRow="0" w:firstColumn="1" w:lastColumn="0" w:noHBand="0" w:noVBand="1"/>
        <w:tblCaption w:val="Government Advertising Expenditure"/>
        <w:tblDescription w:val="Shows government advertising expenditure for 2013–14 for campaigns more than $150,000."/>
      </w:tblPr>
      <w:tblGrid>
        <w:gridCol w:w="1701"/>
        <w:gridCol w:w="2405"/>
        <w:gridCol w:w="1418"/>
        <w:gridCol w:w="1701"/>
        <w:gridCol w:w="1701"/>
        <w:gridCol w:w="1701"/>
        <w:gridCol w:w="1559"/>
        <w:gridCol w:w="1417"/>
        <w:gridCol w:w="993"/>
      </w:tblGrid>
      <w:tr w:rsidR="00B30FE4" w:rsidRPr="00B30FE4" w14:paraId="06959556" w14:textId="77777777" w:rsidTr="00165A1A">
        <w:trPr>
          <w:tblHeader/>
        </w:trPr>
        <w:tc>
          <w:tcPr>
            <w:tcW w:w="1701" w:type="dxa"/>
          </w:tcPr>
          <w:p w14:paraId="77DC2C59" w14:textId="77777777" w:rsidR="00B30FE4" w:rsidRPr="00B30FE4" w:rsidRDefault="00B30FE4" w:rsidP="00B30FE4">
            <w:pPr>
              <w:rPr>
                <w:b/>
              </w:rPr>
            </w:pPr>
            <w:r w:rsidRPr="00B30FE4">
              <w:rPr>
                <w:b/>
              </w:rPr>
              <w:t>Name of Campaign</w:t>
            </w:r>
          </w:p>
        </w:tc>
        <w:tc>
          <w:tcPr>
            <w:tcW w:w="2405" w:type="dxa"/>
          </w:tcPr>
          <w:p w14:paraId="549E5409" w14:textId="77777777" w:rsidR="00B30FE4" w:rsidRPr="00B30FE4" w:rsidRDefault="00B30FE4" w:rsidP="00B30FE4">
            <w:pPr>
              <w:rPr>
                <w:b/>
              </w:rPr>
            </w:pPr>
            <w:r w:rsidRPr="00B30FE4">
              <w:rPr>
                <w:b/>
              </w:rPr>
              <w:t>Campaign Summary</w:t>
            </w:r>
          </w:p>
        </w:tc>
        <w:tc>
          <w:tcPr>
            <w:tcW w:w="1418" w:type="dxa"/>
          </w:tcPr>
          <w:p w14:paraId="590AB7DB" w14:textId="5BAB84A5" w:rsidR="00B30FE4" w:rsidRPr="00B30FE4" w:rsidRDefault="00B30FE4" w:rsidP="00B30FE4">
            <w:pPr>
              <w:rPr>
                <w:b/>
              </w:rPr>
            </w:pPr>
            <w:r w:rsidRPr="00B30FE4">
              <w:rPr>
                <w:b/>
              </w:rPr>
              <w:t xml:space="preserve">Start/End </w:t>
            </w:r>
            <w:r w:rsidR="005A4ABD">
              <w:rPr>
                <w:b/>
              </w:rPr>
              <w:t>D</w:t>
            </w:r>
            <w:r w:rsidRPr="00B30FE4">
              <w:rPr>
                <w:b/>
              </w:rPr>
              <w:t>ate</w:t>
            </w:r>
          </w:p>
        </w:tc>
        <w:tc>
          <w:tcPr>
            <w:tcW w:w="1701" w:type="dxa"/>
          </w:tcPr>
          <w:p w14:paraId="0B3C3D8E" w14:textId="594941D9" w:rsidR="00B30FE4" w:rsidRPr="00B30FE4" w:rsidRDefault="00B30FE4" w:rsidP="00B30FE4">
            <w:pPr>
              <w:rPr>
                <w:b/>
              </w:rPr>
            </w:pPr>
            <w:r w:rsidRPr="00B30FE4">
              <w:rPr>
                <w:b/>
              </w:rPr>
              <w:t>Advertising (Media) Expenditure (ex</w:t>
            </w:r>
            <w:r w:rsidR="005A4ABD">
              <w:rPr>
                <w:b/>
              </w:rPr>
              <w:t>cl.</w:t>
            </w:r>
            <w:r w:rsidRPr="00B30FE4">
              <w:rPr>
                <w:b/>
              </w:rPr>
              <w:t xml:space="preserve"> GST)</w:t>
            </w:r>
          </w:p>
          <w:p w14:paraId="211220C4" w14:textId="77777777" w:rsidR="00B30FE4" w:rsidRPr="00B30FE4" w:rsidRDefault="00B30FE4" w:rsidP="00B30FE4">
            <w:pPr>
              <w:rPr>
                <w:b/>
              </w:rPr>
            </w:pPr>
            <w:r w:rsidRPr="00B30FE4">
              <w:rPr>
                <w:b/>
              </w:rPr>
              <w:t>$’000</w:t>
            </w:r>
          </w:p>
        </w:tc>
        <w:tc>
          <w:tcPr>
            <w:tcW w:w="1701" w:type="dxa"/>
          </w:tcPr>
          <w:p w14:paraId="4F7FD12D" w14:textId="4D3E3681" w:rsidR="00B30FE4" w:rsidRPr="00B30FE4" w:rsidRDefault="00B30FE4" w:rsidP="00B30FE4">
            <w:pPr>
              <w:rPr>
                <w:b/>
              </w:rPr>
            </w:pPr>
            <w:r w:rsidRPr="00B30FE4">
              <w:rPr>
                <w:b/>
              </w:rPr>
              <w:t>Creative and Campaign Development Expenditure (ex</w:t>
            </w:r>
            <w:r w:rsidR="005A4ABD">
              <w:rPr>
                <w:b/>
              </w:rPr>
              <w:t>cl.</w:t>
            </w:r>
            <w:r w:rsidRPr="00B30FE4">
              <w:rPr>
                <w:b/>
              </w:rPr>
              <w:t xml:space="preserve"> GST)</w:t>
            </w:r>
          </w:p>
          <w:p w14:paraId="75887A3F" w14:textId="77777777" w:rsidR="00B30FE4" w:rsidRPr="00B30FE4" w:rsidRDefault="00B30FE4" w:rsidP="00B30FE4">
            <w:pPr>
              <w:rPr>
                <w:b/>
              </w:rPr>
            </w:pPr>
            <w:r w:rsidRPr="00B30FE4">
              <w:rPr>
                <w:b/>
              </w:rPr>
              <w:t>$’000</w:t>
            </w:r>
          </w:p>
        </w:tc>
        <w:tc>
          <w:tcPr>
            <w:tcW w:w="1701" w:type="dxa"/>
          </w:tcPr>
          <w:p w14:paraId="0FC6A6FF" w14:textId="100FCA70" w:rsidR="00B30FE4" w:rsidRPr="00B30FE4" w:rsidRDefault="00B30FE4" w:rsidP="00B30FE4">
            <w:pPr>
              <w:rPr>
                <w:b/>
              </w:rPr>
            </w:pPr>
            <w:r w:rsidRPr="00B30FE4">
              <w:rPr>
                <w:b/>
              </w:rPr>
              <w:t>Research and Evaluation Expenditure (ex</w:t>
            </w:r>
            <w:r w:rsidR="005A4ABD">
              <w:rPr>
                <w:b/>
              </w:rPr>
              <w:t>cl.</w:t>
            </w:r>
            <w:r w:rsidRPr="00B30FE4">
              <w:rPr>
                <w:b/>
              </w:rPr>
              <w:t xml:space="preserve"> GST)</w:t>
            </w:r>
          </w:p>
          <w:p w14:paraId="53012B86" w14:textId="77777777" w:rsidR="00B30FE4" w:rsidRPr="00B30FE4" w:rsidRDefault="00B30FE4" w:rsidP="00B30FE4">
            <w:pPr>
              <w:rPr>
                <w:b/>
              </w:rPr>
            </w:pPr>
            <w:r w:rsidRPr="00B30FE4">
              <w:rPr>
                <w:b/>
              </w:rPr>
              <w:t>$’000</w:t>
            </w:r>
          </w:p>
        </w:tc>
        <w:tc>
          <w:tcPr>
            <w:tcW w:w="1559" w:type="dxa"/>
          </w:tcPr>
          <w:p w14:paraId="6EEF97EE" w14:textId="6D41A32E" w:rsidR="00B30FE4" w:rsidRPr="00B30FE4" w:rsidRDefault="00B30FE4" w:rsidP="00B30FE4">
            <w:pPr>
              <w:rPr>
                <w:b/>
              </w:rPr>
            </w:pPr>
            <w:r w:rsidRPr="00B30FE4">
              <w:rPr>
                <w:b/>
              </w:rPr>
              <w:t>Print and Collateral Expenditure (ex</w:t>
            </w:r>
            <w:r w:rsidR="005A4ABD">
              <w:rPr>
                <w:b/>
              </w:rPr>
              <w:t>cl.</w:t>
            </w:r>
            <w:r w:rsidRPr="00B30FE4">
              <w:rPr>
                <w:b/>
              </w:rPr>
              <w:t xml:space="preserve"> GST)</w:t>
            </w:r>
          </w:p>
          <w:p w14:paraId="78A48702" w14:textId="77777777" w:rsidR="00B30FE4" w:rsidRPr="00B30FE4" w:rsidRDefault="00B30FE4" w:rsidP="00B30FE4">
            <w:pPr>
              <w:rPr>
                <w:b/>
              </w:rPr>
            </w:pPr>
            <w:r w:rsidRPr="00B30FE4">
              <w:rPr>
                <w:b/>
              </w:rPr>
              <w:t>$’000</w:t>
            </w:r>
          </w:p>
        </w:tc>
        <w:tc>
          <w:tcPr>
            <w:tcW w:w="1417" w:type="dxa"/>
          </w:tcPr>
          <w:p w14:paraId="5ADC5A2D" w14:textId="5E0C8981" w:rsidR="00B30FE4" w:rsidRPr="00B30FE4" w:rsidRDefault="00B30FE4" w:rsidP="00B30FE4">
            <w:pPr>
              <w:rPr>
                <w:b/>
              </w:rPr>
            </w:pPr>
            <w:r w:rsidRPr="00B30FE4">
              <w:rPr>
                <w:b/>
              </w:rPr>
              <w:t xml:space="preserve">Other Campaign </w:t>
            </w:r>
            <w:r w:rsidR="005A4ABD">
              <w:rPr>
                <w:b/>
              </w:rPr>
              <w:t>C</w:t>
            </w:r>
            <w:r w:rsidRPr="00B30FE4">
              <w:rPr>
                <w:b/>
              </w:rPr>
              <w:t>osts (ex</w:t>
            </w:r>
            <w:r w:rsidR="005A4ABD">
              <w:rPr>
                <w:b/>
              </w:rPr>
              <w:t>cl.</w:t>
            </w:r>
            <w:r w:rsidRPr="00B30FE4">
              <w:rPr>
                <w:b/>
              </w:rPr>
              <w:t xml:space="preserve"> GST) $’000</w:t>
            </w:r>
          </w:p>
        </w:tc>
        <w:tc>
          <w:tcPr>
            <w:tcW w:w="993" w:type="dxa"/>
          </w:tcPr>
          <w:p w14:paraId="548595CD" w14:textId="77777777" w:rsidR="00B30FE4" w:rsidRDefault="00B30FE4" w:rsidP="00B30FE4">
            <w:pPr>
              <w:rPr>
                <w:b/>
              </w:rPr>
            </w:pPr>
            <w:r w:rsidRPr="00B30FE4">
              <w:rPr>
                <w:b/>
              </w:rPr>
              <w:t>Total</w:t>
            </w:r>
          </w:p>
          <w:p w14:paraId="706CF4FD" w14:textId="77777777" w:rsidR="0053553A" w:rsidRDefault="0053553A" w:rsidP="00B30FE4">
            <w:pPr>
              <w:rPr>
                <w:b/>
              </w:rPr>
            </w:pPr>
          </w:p>
          <w:p w14:paraId="4B04B6D7" w14:textId="77777777" w:rsidR="0053553A" w:rsidRDefault="0053553A" w:rsidP="00B30FE4">
            <w:pPr>
              <w:rPr>
                <w:b/>
              </w:rPr>
            </w:pPr>
          </w:p>
          <w:p w14:paraId="1061EC08" w14:textId="77777777" w:rsidR="009105EC" w:rsidRDefault="009105EC" w:rsidP="00B30FE4">
            <w:pPr>
              <w:rPr>
                <w:b/>
              </w:rPr>
            </w:pPr>
          </w:p>
          <w:p w14:paraId="527C5354" w14:textId="24211E0D" w:rsidR="0053553A" w:rsidRPr="00B30FE4" w:rsidRDefault="0053553A" w:rsidP="00B30FE4">
            <w:pPr>
              <w:rPr>
                <w:b/>
              </w:rPr>
            </w:pPr>
            <w:r w:rsidRPr="00B30FE4">
              <w:rPr>
                <w:b/>
              </w:rPr>
              <w:t>$’000</w:t>
            </w:r>
          </w:p>
        </w:tc>
      </w:tr>
      <w:tr w:rsidR="00B30FE4" w:rsidRPr="00B30FE4" w14:paraId="4FE8E3D7" w14:textId="77777777" w:rsidTr="00165A1A">
        <w:tc>
          <w:tcPr>
            <w:tcW w:w="1701" w:type="dxa"/>
          </w:tcPr>
          <w:p w14:paraId="338EB339" w14:textId="04ED45EF" w:rsidR="00B30FE4" w:rsidRPr="00B30FE4" w:rsidRDefault="00E257DC" w:rsidP="0001293D">
            <w:pPr>
              <w:rPr>
                <w:rFonts w:cs="Arial"/>
              </w:rPr>
            </w:pPr>
            <w:r>
              <w:rPr>
                <w:rFonts w:cs="Arial"/>
              </w:rPr>
              <w:t xml:space="preserve">Museum Victoria </w:t>
            </w:r>
            <w:r w:rsidR="00952554">
              <w:rPr>
                <w:rFonts w:cs="Arial"/>
              </w:rPr>
              <w:t>School Holidays</w:t>
            </w:r>
            <w:r>
              <w:rPr>
                <w:rFonts w:cs="Arial"/>
              </w:rPr>
              <w:t xml:space="preserve"> Advertising</w:t>
            </w:r>
          </w:p>
        </w:tc>
        <w:tc>
          <w:tcPr>
            <w:tcW w:w="2405" w:type="dxa"/>
          </w:tcPr>
          <w:p w14:paraId="047E6747" w14:textId="6B49F2CF" w:rsidR="00B30FE4" w:rsidRPr="00B30FE4" w:rsidRDefault="00952554" w:rsidP="00B30FE4">
            <w:pPr>
              <w:rPr>
                <w:rFonts w:cs="Arial"/>
              </w:rPr>
            </w:pPr>
            <w:r>
              <w:rPr>
                <w:color w:val="000000"/>
              </w:rPr>
              <w:t xml:space="preserve">Digital and </w:t>
            </w:r>
            <w:r w:rsidR="00705AC2">
              <w:rPr>
                <w:color w:val="000000"/>
              </w:rPr>
              <w:t>s</w:t>
            </w:r>
            <w:r>
              <w:rPr>
                <w:color w:val="000000"/>
              </w:rPr>
              <w:t>ocial media campaign to support the school holidays period across Museum Victoria</w:t>
            </w:r>
          </w:p>
        </w:tc>
        <w:tc>
          <w:tcPr>
            <w:tcW w:w="1418" w:type="dxa"/>
          </w:tcPr>
          <w:p w14:paraId="004CD2E8" w14:textId="31F4C62E" w:rsidR="00B30FE4" w:rsidRPr="00B30FE4" w:rsidRDefault="00952554" w:rsidP="00B30FE4">
            <w:pPr>
              <w:rPr>
                <w:rFonts w:cs="Arial"/>
                <w:lang w:val="en-US"/>
              </w:rPr>
            </w:pPr>
            <w:r>
              <w:rPr>
                <w:color w:val="000000"/>
              </w:rPr>
              <w:t>July 2015, September 2015, January 2016, March 2016</w:t>
            </w:r>
          </w:p>
        </w:tc>
        <w:tc>
          <w:tcPr>
            <w:tcW w:w="1701" w:type="dxa"/>
            <w:vAlign w:val="center"/>
          </w:tcPr>
          <w:p w14:paraId="1E43C608" w14:textId="1C5A2901" w:rsidR="00B30FE4" w:rsidRPr="00B30FE4" w:rsidRDefault="00952554" w:rsidP="00B30FE4">
            <w:pPr>
              <w:jc w:val="right"/>
              <w:rPr>
                <w:rFonts w:cs="Arial"/>
                <w:szCs w:val="20"/>
                <w:lang w:val="en-US"/>
              </w:rPr>
            </w:pPr>
            <w:r>
              <w:rPr>
                <w:rFonts w:cs="Arial"/>
                <w:szCs w:val="20"/>
                <w:lang w:val="en-US"/>
              </w:rPr>
              <w:t>158</w:t>
            </w:r>
          </w:p>
        </w:tc>
        <w:tc>
          <w:tcPr>
            <w:tcW w:w="1701" w:type="dxa"/>
            <w:vAlign w:val="center"/>
          </w:tcPr>
          <w:p w14:paraId="2910D9C8" w14:textId="0CF7B452" w:rsidR="00B30FE4" w:rsidRPr="00B30FE4" w:rsidRDefault="00952554" w:rsidP="00B30FE4">
            <w:pPr>
              <w:jc w:val="right"/>
              <w:rPr>
                <w:rFonts w:cs="Arial"/>
                <w:szCs w:val="20"/>
                <w:lang w:val="en-US"/>
              </w:rPr>
            </w:pPr>
            <w:r>
              <w:rPr>
                <w:rFonts w:cs="Arial"/>
                <w:szCs w:val="20"/>
                <w:lang w:val="en-US"/>
              </w:rPr>
              <w:t>12</w:t>
            </w:r>
          </w:p>
        </w:tc>
        <w:tc>
          <w:tcPr>
            <w:tcW w:w="1701" w:type="dxa"/>
            <w:vAlign w:val="center"/>
          </w:tcPr>
          <w:p w14:paraId="067F8A5A" w14:textId="740CEA50" w:rsidR="00B30FE4" w:rsidRPr="00B30FE4" w:rsidRDefault="00952554" w:rsidP="00B30FE4">
            <w:pPr>
              <w:jc w:val="right"/>
              <w:rPr>
                <w:rFonts w:cs="Arial"/>
                <w:szCs w:val="20"/>
                <w:lang w:val="en-US"/>
              </w:rPr>
            </w:pPr>
            <w:r>
              <w:rPr>
                <w:rFonts w:cs="Arial"/>
                <w:szCs w:val="20"/>
                <w:lang w:val="en-US"/>
              </w:rPr>
              <w:t>0</w:t>
            </w:r>
          </w:p>
        </w:tc>
        <w:tc>
          <w:tcPr>
            <w:tcW w:w="1559" w:type="dxa"/>
            <w:vAlign w:val="center"/>
          </w:tcPr>
          <w:p w14:paraId="65EB571D" w14:textId="33F36262" w:rsidR="00B30FE4" w:rsidRPr="00B30FE4" w:rsidRDefault="00952554" w:rsidP="00B30FE4">
            <w:pPr>
              <w:jc w:val="right"/>
              <w:rPr>
                <w:rFonts w:cs="Arial"/>
                <w:szCs w:val="20"/>
                <w:lang w:val="en-US"/>
              </w:rPr>
            </w:pPr>
            <w:r>
              <w:rPr>
                <w:rFonts w:cs="Arial"/>
                <w:szCs w:val="20"/>
                <w:lang w:val="en-US"/>
              </w:rPr>
              <w:t>0</w:t>
            </w:r>
          </w:p>
        </w:tc>
        <w:tc>
          <w:tcPr>
            <w:tcW w:w="1417" w:type="dxa"/>
          </w:tcPr>
          <w:p w14:paraId="03A65D15" w14:textId="77777777" w:rsidR="00952554" w:rsidRDefault="00952554" w:rsidP="00952554">
            <w:pPr>
              <w:jc w:val="right"/>
              <w:rPr>
                <w:rFonts w:cs="Arial"/>
                <w:szCs w:val="20"/>
                <w:lang w:val="en-US"/>
              </w:rPr>
            </w:pPr>
          </w:p>
          <w:p w14:paraId="204DAD45" w14:textId="77777777" w:rsidR="00952554" w:rsidRDefault="00952554" w:rsidP="00952554">
            <w:pPr>
              <w:jc w:val="right"/>
              <w:rPr>
                <w:rFonts w:cs="Arial"/>
                <w:szCs w:val="20"/>
                <w:lang w:val="en-US"/>
              </w:rPr>
            </w:pPr>
          </w:p>
          <w:p w14:paraId="5EFD0436" w14:textId="77777777" w:rsidR="00952554" w:rsidRDefault="00952554" w:rsidP="00952554">
            <w:pPr>
              <w:jc w:val="right"/>
              <w:rPr>
                <w:rFonts w:cs="Arial"/>
                <w:szCs w:val="20"/>
                <w:lang w:val="en-US"/>
              </w:rPr>
            </w:pPr>
          </w:p>
          <w:p w14:paraId="1079EB20" w14:textId="2FD3E794" w:rsidR="00952554" w:rsidRPr="00B30FE4" w:rsidRDefault="00952554" w:rsidP="00952554">
            <w:pPr>
              <w:jc w:val="right"/>
              <w:rPr>
                <w:rFonts w:cs="Arial"/>
                <w:szCs w:val="20"/>
                <w:lang w:val="en-US"/>
              </w:rPr>
            </w:pPr>
            <w:r>
              <w:rPr>
                <w:rFonts w:cs="Arial"/>
                <w:szCs w:val="20"/>
                <w:lang w:val="en-US"/>
              </w:rPr>
              <w:t>0</w:t>
            </w:r>
          </w:p>
        </w:tc>
        <w:tc>
          <w:tcPr>
            <w:tcW w:w="993" w:type="dxa"/>
          </w:tcPr>
          <w:p w14:paraId="6F67E1BE" w14:textId="77777777" w:rsidR="00B30FE4" w:rsidRDefault="00B30FE4" w:rsidP="00B30FE4">
            <w:pPr>
              <w:jc w:val="right"/>
              <w:rPr>
                <w:rFonts w:cs="Arial"/>
                <w:szCs w:val="20"/>
                <w:lang w:val="en-US"/>
              </w:rPr>
            </w:pPr>
          </w:p>
          <w:p w14:paraId="71CD6856" w14:textId="77777777" w:rsidR="00952554" w:rsidRDefault="00952554" w:rsidP="00B30FE4">
            <w:pPr>
              <w:jc w:val="right"/>
              <w:rPr>
                <w:rFonts w:cs="Arial"/>
                <w:szCs w:val="20"/>
                <w:lang w:val="en-US"/>
              </w:rPr>
            </w:pPr>
          </w:p>
          <w:p w14:paraId="7028AFA3" w14:textId="77777777" w:rsidR="00952554" w:rsidRDefault="00952554" w:rsidP="00B30FE4">
            <w:pPr>
              <w:jc w:val="right"/>
              <w:rPr>
                <w:rFonts w:cs="Arial"/>
                <w:szCs w:val="20"/>
                <w:lang w:val="en-US"/>
              </w:rPr>
            </w:pPr>
          </w:p>
          <w:p w14:paraId="303DDA35" w14:textId="28AD08AF" w:rsidR="00952554" w:rsidRPr="00B30FE4" w:rsidRDefault="00952554" w:rsidP="00B30FE4">
            <w:pPr>
              <w:jc w:val="right"/>
              <w:rPr>
                <w:rFonts w:cs="Arial"/>
                <w:szCs w:val="20"/>
                <w:lang w:val="en-US"/>
              </w:rPr>
            </w:pPr>
            <w:r>
              <w:rPr>
                <w:rFonts w:cs="Arial"/>
                <w:szCs w:val="20"/>
                <w:lang w:val="en-US"/>
              </w:rPr>
              <w:t>170</w:t>
            </w:r>
          </w:p>
        </w:tc>
      </w:tr>
      <w:tr w:rsidR="00B30FE4" w:rsidRPr="00B30FE4" w14:paraId="1F18B69D" w14:textId="77777777" w:rsidTr="00165A1A">
        <w:tc>
          <w:tcPr>
            <w:tcW w:w="1701" w:type="dxa"/>
          </w:tcPr>
          <w:p w14:paraId="34799EF9" w14:textId="3A47F85E" w:rsidR="00B30FE4" w:rsidRPr="00B30FE4" w:rsidRDefault="0001293D" w:rsidP="0001293D">
            <w:pPr>
              <w:rPr>
                <w:rFonts w:cs="Arial"/>
                <w:i/>
              </w:rPr>
            </w:pPr>
            <w:r w:rsidRPr="00451BC0">
              <w:rPr>
                <w:i/>
              </w:rPr>
              <w:t>Jurassic World: The Exhibition</w:t>
            </w:r>
          </w:p>
        </w:tc>
        <w:tc>
          <w:tcPr>
            <w:tcW w:w="2405" w:type="dxa"/>
          </w:tcPr>
          <w:p w14:paraId="38D49791" w14:textId="37582C9E" w:rsidR="00B30FE4" w:rsidRPr="00B30FE4" w:rsidRDefault="00952554" w:rsidP="0001293D">
            <w:pPr>
              <w:rPr>
                <w:rFonts w:cs="Arial"/>
              </w:rPr>
            </w:pPr>
            <w:r>
              <w:rPr>
                <w:color w:val="000000"/>
              </w:rPr>
              <w:t>Television, digital, tourism and prin</w:t>
            </w:r>
            <w:r w:rsidR="0001293D">
              <w:rPr>
                <w:color w:val="000000"/>
              </w:rPr>
              <w:t xml:space="preserve">t media campaign to support </w:t>
            </w:r>
            <w:r w:rsidR="0001293D" w:rsidRPr="00451BC0">
              <w:rPr>
                <w:i/>
              </w:rPr>
              <w:t>Jurassic World: The Exhibition</w:t>
            </w:r>
            <w:r w:rsidR="0001293D">
              <w:rPr>
                <w:color w:val="000000"/>
              </w:rPr>
              <w:t xml:space="preserve"> </w:t>
            </w:r>
            <w:r>
              <w:rPr>
                <w:color w:val="000000"/>
              </w:rPr>
              <w:t>at Melbourne Museum</w:t>
            </w:r>
          </w:p>
        </w:tc>
        <w:tc>
          <w:tcPr>
            <w:tcW w:w="1418" w:type="dxa"/>
          </w:tcPr>
          <w:p w14:paraId="4EC758BC" w14:textId="7215C87F" w:rsidR="00B30FE4" w:rsidRPr="00B30FE4" w:rsidRDefault="003611EA" w:rsidP="00B30FE4">
            <w:pPr>
              <w:rPr>
                <w:rFonts w:cs="Arial"/>
                <w:lang w:val="en-US"/>
              </w:rPr>
            </w:pPr>
            <w:r>
              <w:rPr>
                <w:rFonts w:cs="Arial"/>
                <w:lang w:val="en-US"/>
              </w:rPr>
              <w:t>November 2015 to October 2016</w:t>
            </w:r>
          </w:p>
        </w:tc>
        <w:tc>
          <w:tcPr>
            <w:tcW w:w="1701" w:type="dxa"/>
            <w:vAlign w:val="center"/>
          </w:tcPr>
          <w:p w14:paraId="50A413F0" w14:textId="52CCB704" w:rsidR="00B30FE4" w:rsidRPr="00B30FE4" w:rsidRDefault="00EC64B6" w:rsidP="00B30FE4">
            <w:pPr>
              <w:jc w:val="right"/>
              <w:rPr>
                <w:rFonts w:cs="Arial"/>
                <w:szCs w:val="20"/>
                <w:lang w:val="en-US"/>
              </w:rPr>
            </w:pPr>
            <w:r>
              <w:rPr>
                <w:rFonts w:cs="Arial"/>
                <w:szCs w:val="20"/>
                <w:lang w:val="en-US"/>
              </w:rPr>
              <w:t>280</w:t>
            </w:r>
          </w:p>
        </w:tc>
        <w:tc>
          <w:tcPr>
            <w:tcW w:w="1701" w:type="dxa"/>
            <w:vAlign w:val="center"/>
          </w:tcPr>
          <w:p w14:paraId="419DD0C1" w14:textId="7F1C3312" w:rsidR="00B30FE4" w:rsidRPr="00B30FE4" w:rsidRDefault="00EC64B6" w:rsidP="00B30FE4">
            <w:pPr>
              <w:jc w:val="right"/>
              <w:rPr>
                <w:rFonts w:cs="Arial"/>
                <w:szCs w:val="20"/>
                <w:lang w:val="en-US"/>
              </w:rPr>
            </w:pPr>
            <w:r>
              <w:rPr>
                <w:rFonts w:cs="Arial"/>
                <w:szCs w:val="20"/>
                <w:lang w:val="en-US"/>
              </w:rPr>
              <w:t>9</w:t>
            </w:r>
          </w:p>
        </w:tc>
        <w:tc>
          <w:tcPr>
            <w:tcW w:w="1701" w:type="dxa"/>
            <w:vAlign w:val="center"/>
          </w:tcPr>
          <w:p w14:paraId="5E5E4B89" w14:textId="327A5F76" w:rsidR="00B30FE4" w:rsidRPr="00B30FE4" w:rsidRDefault="00EC64B6" w:rsidP="00B30FE4">
            <w:pPr>
              <w:jc w:val="right"/>
              <w:rPr>
                <w:rFonts w:cs="Arial"/>
                <w:szCs w:val="20"/>
                <w:lang w:val="en-US"/>
              </w:rPr>
            </w:pPr>
            <w:r>
              <w:rPr>
                <w:rFonts w:cs="Arial"/>
                <w:szCs w:val="20"/>
                <w:lang w:val="en-US"/>
              </w:rPr>
              <w:t>0</w:t>
            </w:r>
          </w:p>
        </w:tc>
        <w:tc>
          <w:tcPr>
            <w:tcW w:w="1559" w:type="dxa"/>
            <w:vAlign w:val="center"/>
          </w:tcPr>
          <w:p w14:paraId="6284B549" w14:textId="51E6980A" w:rsidR="00B30FE4" w:rsidRPr="00B30FE4" w:rsidRDefault="00EC64B6" w:rsidP="00B30FE4">
            <w:pPr>
              <w:jc w:val="right"/>
              <w:rPr>
                <w:rFonts w:cs="Arial"/>
                <w:szCs w:val="20"/>
                <w:lang w:val="en-US"/>
              </w:rPr>
            </w:pPr>
            <w:r>
              <w:rPr>
                <w:rFonts w:cs="Arial"/>
                <w:szCs w:val="20"/>
                <w:lang w:val="en-US"/>
              </w:rPr>
              <w:t>13</w:t>
            </w:r>
          </w:p>
        </w:tc>
        <w:tc>
          <w:tcPr>
            <w:tcW w:w="1417" w:type="dxa"/>
          </w:tcPr>
          <w:p w14:paraId="166394B2" w14:textId="77777777" w:rsidR="00B30FE4" w:rsidRDefault="00B30FE4" w:rsidP="00B30FE4">
            <w:pPr>
              <w:jc w:val="right"/>
              <w:rPr>
                <w:rFonts w:cs="Arial"/>
                <w:szCs w:val="20"/>
                <w:lang w:val="en-US"/>
              </w:rPr>
            </w:pPr>
          </w:p>
          <w:p w14:paraId="305213AF" w14:textId="77777777" w:rsidR="00EC64B6" w:rsidRDefault="00EC64B6" w:rsidP="00B30FE4">
            <w:pPr>
              <w:jc w:val="right"/>
              <w:rPr>
                <w:rFonts w:cs="Arial"/>
                <w:szCs w:val="20"/>
                <w:lang w:val="en-US"/>
              </w:rPr>
            </w:pPr>
          </w:p>
          <w:p w14:paraId="5712F2E7" w14:textId="77777777" w:rsidR="00EC64B6" w:rsidRDefault="00EC64B6" w:rsidP="00B30FE4">
            <w:pPr>
              <w:jc w:val="right"/>
              <w:rPr>
                <w:rFonts w:cs="Arial"/>
                <w:szCs w:val="20"/>
                <w:lang w:val="en-US"/>
              </w:rPr>
            </w:pPr>
          </w:p>
          <w:p w14:paraId="182BAEA7" w14:textId="0CFD6D13" w:rsidR="00EC64B6" w:rsidRPr="00B30FE4" w:rsidRDefault="00EC64B6" w:rsidP="00B30FE4">
            <w:pPr>
              <w:jc w:val="right"/>
              <w:rPr>
                <w:rFonts w:cs="Arial"/>
                <w:szCs w:val="20"/>
                <w:lang w:val="en-US"/>
              </w:rPr>
            </w:pPr>
            <w:r>
              <w:rPr>
                <w:rFonts w:cs="Arial"/>
                <w:szCs w:val="20"/>
                <w:lang w:val="en-US"/>
              </w:rPr>
              <w:t>0</w:t>
            </w:r>
          </w:p>
        </w:tc>
        <w:tc>
          <w:tcPr>
            <w:tcW w:w="993" w:type="dxa"/>
          </w:tcPr>
          <w:p w14:paraId="714E2D9E" w14:textId="77777777" w:rsidR="00B30FE4" w:rsidRDefault="00B30FE4" w:rsidP="00B30FE4">
            <w:pPr>
              <w:jc w:val="right"/>
              <w:rPr>
                <w:rFonts w:cs="Arial"/>
                <w:szCs w:val="20"/>
                <w:lang w:val="en-US"/>
              </w:rPr>
            </w:pPr>
          </w:p>
          <w:p w14:paraId="5FA534CC" w14:textId="77777777" w:rsidR="00EC64B6" w:rsidRDefault="00EC64B6" w:rsidP="00B30FE4">
            <w:pPr>
              <w:jc w:val="right"/>
              <w:rPr>
                <w:rFonts w:cs="Arial"/>
                <w:szCs w:val="20"/>
                <w:lang w:val="en-US"/>
              </w:rPr>
            </w:pPr>
          </w:p>
          <w:p w14:paraId="555DDC30" w14:textId="77777777" w:rsidR="00EC64B6" w:rsidRDefault="00EC64B6" w:rsidP="00B30FE4">
            <w:pPr>
              <w:jc w:val="right"/>
              <w:rPr>
                <w:rFonts w:cs="Arial"/>
                <w:szCs w:val="20"/>
                <w:lang w:val="en-US"/>
              </w:rPr>
            </w:pPr>
          </w:p>
          <w:p w14:paraId="5ED7FD2E" w14:textId="3B7A8097" w:rsidR="00EC64B6" w:rsidRPr="00B30FE4" w:rsidRDefault="00EC64B6" w:rsidP="00B30FE4">
            <w:pPr>
              <w:jc w:val="right"/>
              <w:rPr>
                <w:rFonts w:cs="Arial"/>
                <w:szCs w:val="20"/>
                <w:lang w:val="en-US"/>
              </w:rPr>
            </w:pPr>
            <w:r>
              <w:rPr>
                <w:rFonts w:cs="Arial"/>
                <w:szCs w:val="20"/>
                <w:lang w:val="en-US"/>
              </w:rPr>
              <w:t>302</w:t>
            </w:r>
          </w:p>
        </w:tc>
      </w:tr>
    </w:tbl>
    <w:p w14:paraId="3DEE889F" w14:textId="77777777" w:rsidR="00B30FE4" w:rsidRPr="00B30FE4" w:rsidRDefault="00B30FE4" w:rsidP="00B30FE4"/>
    <w:p w14:paraId="02FC1D53" w14:textId="77777777" w:rsidR="00B30FE4" w:rsidRPr="00B30FE4" w:rsidRDefault="00B30FE4" w:rsidP="00B30FE4">
      <w:r w:rsidRPr="00B30FE4">
        <w:t xml:space="preserve">Notes: </w:t>
      </w:r>
    </w:p>
    <w:p w14:paraId="1CFD994D" w14:textId="37DEAC1D" w:rsidR="00B30FE4" w:rsidRPr="00600ADC" w:rsidRDefault="00B30FE4" w:rsidP="00B30FE4">
      <w:r w:rsidRPr="00B30FE4">
        <w:t xml:space="preserve">Information shown is for government advertising expenditure for campaigns of $100,000 or </w:t>
      </w:r>
      <w:r w:rsidRPr="00600ADC">
        <w:t>more.</w:t>
      </w:r>
    </w:p>
    <w:p w14:paraId="47EECF87" w14:textId="77777777" w:rsidR="00B30FE4" w:rsidRPr="00600ADC" w:rsidRDefault="00B30FE4" w:rsidP="00B30FE4">
      <w:r w:rsidRPr="00600ADC">
        <w:t>Research and evaluation was undertaken with existing internal resources.</w:t>
      </w:r>
    </w:p>
    <w:p w14:paraId="2F9C537F" w14:textId="2203F25B" w:rsidR="00B30FE4" w:rsidRPr="00B30FE4" w:rsidRDefault="00B30FE4" w:rsidP="00B30FE4">
      <w:r w:rsidRPr="00B30FE4">
        <w:t>Campaigns crossed financial years</w:t>
      </w:r>
      <w:r w:rsidR="005A4ABD">
        <w:t>; t</w:t>
      </w:r>
      <w:r w:rsidRPr="00B30FE4">
        <w:t>he figures above represent 2015–16 expenditure.</w:t>
      </w:r>
    </w:p>
    <w:p w14:paraId="33C5F78C" w14:textId="4CB68030" w:rsidR="00B30FE4" w:rsidRPr="00B30FE4" w:rsidRDefault="005A4ABD" w:rsidP="00B30FE4">
      <w:r>
        <w:t>C</w:t>
      </w:r>
      <w:r w:rsidRPr="00B30FE4">
        <w:t xml:space="preserve">reative work </w:t>
      </w:r>
      <w:r>
        <w:t xml:space="preserve">for </w:t>
      </w:r>
      <w:r w:rsidR="00B30FE4" w:rsidRPr="00B30FE4">
        <w:t>Museum Victoria communications is undertaken by a</w:t>
      </w:r>
      <w:r w:rsidR="00BC3C2E">
        <w:t>n external</w:t>
      </w:r>
      <w:r w:rsidR="00B30FE4" w:rsidRPr="00B30FE4">
        <w:t xml:space="preserve"> design firm on a monthly retainer</w:t>
      </w:r>
      <w:r>
        <w:t>; t</w:t>
      </w:r>
      <w:r w:rsidR="00B30FE4" w:rsidRPr="00B30FE4">
        <w:t xml:space="preserve">he </w:t>
      </w:r>
      <w:r>
        <w:t>figures</w:t>
      </w:r>
      <w:r w:rsidRPr="00B30FE4">
        <w:t xml:space="preserve"> </w:t>
      </w:r>
      <w:r w:rsidR="00B30FE4" w:rsidRPr="00B30FE4">
        <w:t>above are additional expenses for larger campaigns.</w:t>
      </w:r>
      <w:r w:rsidR="00B43021">
        <w:br w:type="page"/>
      </w:r>
    </w:p>
    <w:p w14:paraId="6B2457BA" w14:textId="77777777" w:rsidR="00B30FE4" w:rsidRDefault="00B30FE4" w:rsidP="00B43021">
      <w:pPr>
        <w:pStyle w:val="Heading3"/>
      </w:pPr>
      <w:r w:rsidRPr="000720D0">
        <w:t xml:space="preserve">ICT Expenditure </w:t>
      </w:r>
    </w:p>
    <w:p w14:paraId="63571CD6" w14:textId="77777777" w:rsidR="00833AAE" w:rsidRPr="00833AAE" w:rsidRDefault="00833AAE" w:rsidP="00136D74"/>
    <w:p w14:paraId="0ABC6E14" w14:textId="47E1304B" w:rsidR="00833AAE" w:rsidRDefault="0092253A" w:rsidP="00136D74">
      <w:r>
        <w:t xml:space="preserve">For the </w:t>
      </w:r>
      <w:r w:rsidRPr="00B30FE4">
        <w:t>2015–16</w:t>
      </w:r>
      <w:r w:rsidR="00833AAE">
        <w:t xml:space="preserve"> reporting period, Museum Victoria had a total ICT expenditure of $4,890,304, with the details shown below.</w:t>
      </w:r>
    </w:p>
    <w:p w14:paraId="38C50C0E" w14:textId="79D7B567" w:rsidR="0092253A" w:rsidRPr="0092253A" w:rsidRDefault="0092253A" w:rsidP="00136D74">
      <w:r>
        <w:t xml:space="preserve">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84"/>
        <w:gridCol w:w="3260"/>
        <w:gridCol w:w="3260"/>
        <w:gridCol w:w="3119"/>
      </w:tblGrid>
      <w:tr w:rsidR="00B30FE4" w:rsidRPr="00B30FE4" w14:paraId="34C5E8D6" w14:textId="77777777" w:rsidTr="00944749">
        <w:trPr>
          <w:trHeight w:val="435"/>
        </w:trPr>
        <w:tc>
          <w:tcPr>
            <w:tcW w:w="2977" w:type="dxa"/>
          </w:tcPr>
          <w:p w14:paraId="7E305B60" w14:textId="5F197F34" w:rsidR="00B30FE4" w:rsidRPr="00DE1B1B" w:rsidRDefault="00B30FE4" w:rsidP="00B30FE4">
            <w:pPr>
              <w:rPr>
                <w:b/>
                <w:szCs w:val="22"/>
              </w:rPr>
            </w:pPr>
            <w:r w:rsidRPr="00DE1B1B">
              <w:rPr>
                <w:b/>
                <w:szCs w:val="22"/>
              </w:rPr>
              <w:t>BAU</w:t>
            </w:r>
            <w:r w:rsidR="00705AC2">
              <w:rPr>
                <w:b/>
                <w:szCs w:val="22"/>
              </w:rPr>
              <w:t xml:space="preserve"> </w:t>
            </w:r>
            <w:r w:rsidRPr="00DE1B1B">
              <w:rPr>
                <w:b/>
                <w:szCs w:val="22"/>
              </w:rPr>
              <w:t>ICT Expenditure</w:t>
            </w:r>
          </w:p>
          <w:p w14:paraId="202E6E68" w14:textId="77777777" w:rsidR="00B30FE4" w:rsidRPr="00DE1B1B" w:rsidRDefault="00B30FE4" w:rsidP="00B30FE4">
            <w:pPr>
              <w:rPr>
                <w:szCs w:val="22"/>
              </w:rPr>
            </w:pPr>
          </w:p>
          <w:p w14:paraId="304E616D" w14:textId="6E3DE53C" w:rsidR="00B30FE4" w:rsidRPr="00DE1B1B" w:rsidRDefault="00B30FE4" w:rsidP="00B30FE4">
            <w:pPr>
              <w:rPr>
                <w:szCs w:val="22"/>
              </w:rPr>
            </w:pPr>
            <w:r w:rsidRPr="00DE1B1B">
              <w:rPr>
                <w:b/>
                <w:szCs w:val="22"/>
              </w:rPr>
              <w:t>$’000</w:t>
            </w:r>
          </w:p>
          <w:p w14:paraId="49FC5DAD" w14:textId="77777777" w:rsidR="00B30FE4" w:rsidRPr="00DE1B1B" w:rsidRDefault="00B30FE4" w:rsidP="00B30FE4">
            <w:pPr>
              <w:rPr>
                <w:szCs w:val="22"/>
              </w:rPr>
            </w:pPr>
          </w:p>
          <w:p w14:paraId="0474E45B" w14:textId="5853A607" w:rsidR="00B30FE4" w:rsidRPr="006C3944" w:rsidRDefault="00B30FE4" w:rsidP="00B30FE4">
            <w:pPr>
              <w:rPr>
                <w:i/>
                <w:szCs w:val="22"/>
              </w:rPr>
            </w:pPr>
          </w:p>
        </w:tc>
        <w:tc>
          <w:tcPr>
            <w:tcW w:w="284" w:type="dxa"/>
            <w:vMerge w:val="restart"/>
            <w:tcBorders>
              <w:top w:val="nil"/>
              <w:bottom w:val="nil"/>
            </w:tcBorders>
          </w:tcPr>
          <w:p w14:paraId="136921D8" w14:textId="77777777" w:rsidR="00B30FE4" w:rsidRPr="006C3944" w:rsidRDefault="00B30FE4" w:rsidP="00B30FE4">
            <w:pPr>
              <w:rPr>
                <w:szCs w:val="22"/>
              </w:rPr>
            </w:pPr>
          </w:p>
        </w:tc>
        <w:tc>
          <w:tcPr>
            <w:tcW w:w="3260" w:type="dxa"/>
          </w:tcPr>
          <w:p w14:paraId="43442A71" w14:textId="77777777" w:rsidR="00B30FE4" w:rsidRPr="00DE1B1B" w:rsidRDefault="00B30FE4" w:rsidP="00B30FE4">
            <w:pPr>
              <w:rPr>
                <w:b/>
                <w:szCs w:val="22"/>
              </w:rPr>
            </w:pPr>
            <w:r w:rsidRPr="00DE1B1B">
              <w:rPr>
                <w:b/>
                <w:szCs w:val="22"/>
              </w:rPr>
              <w:t>Non-BAU ICT Expenditure</w:t>
            </w:r>
          </w:p>
          <w:p w14:paraId="291D1C20" w14:textId="77777777" w:rsidR="00B30FE4" w:rsidRPr="00DE1B1B" w:rsidRDefault="00B30FE4" w:rsidP="00B30FE4">
            <w:pPr>
              <w:rPr>
                <w:szCs w:val="22"/>
              </w:rPr>
            </w:pPr>
          </w:p>
          <w:p w14:paraId="5CCCC0C1" w14:textId="77777777" w:rsidR="00B30FE4" w:rsidRPr="00DE1B1B" w:rsidRDefault="00B30FE4" w:rsidP="00B30FE4">
            <w:pPr>
              <w:rPr>
                <w:szCs w:val="22"/>
              </w:rPr>
            </w:pPr>
          </w:p>
          <w:p w14:paraId="360B90BE" w14:textId="57902B54" w:rsidR="00B30FE4" w:rsidRPr="00DE1B1B" w:rsidRDefault="00B30FE4" w:rsidP="00B30FE4">
            <w:pPr>
              <w:rPr>
                <w:szCs w:val="22"/>
              </w:rPr>
            </w:pPr>
            <w:r w:rsidRPr="00DE1B1B">
              <w:rPr>
                <w:b/>
                <w:szCs w:val="22"/>
              </w:rPr>
              <w:t>$’000</w:t>
            </w:r>
          </w:p>
          <w:p w14:paraId="74BCA0B0" w14:textId="77777777" w:rsidR="00B30FE4" w:rsidRPr="00DE1B1B" w:rsidRDefault="00B30FE4" w:rsidP="00B30FE4">
            <w:pPr>
              <w:rPr>
                <w:szCs w:val="22"/>
              </w:rPr>
            </w:pPr>
          </w:p>
          <w:p w14:paraId="036D6DB6" w14:textId="77777777" w:rsidR="00B30FE4" w:rsidRPr="00DE1B1B" w:rsidRDefault="00B30FE4" w:rsidP="00B30FE4">
            <w:pPr>
              <w:rPr>
                <w:i/>
                <w:szCs w:val="22"/>
              </w:rPr>
            </w:pPr>
          </w:p>
          <w:p w14:paraId="181696A4" w14:textId="1C15446B" w:rsidR="00B30FE4" w:rsidRPr="006C3944" w:rsidRDefault="00B30FE4" w:rsidP="00B30FE4">
            <w:pPr>
              <w:rPr>
                <w:i/>
                <w:szCs w:val="22"/>
              </w:rPr>
            </w:pPr>
          </w:p>
        </w:tc>
        <w:tc>
          <w:tcPr>
            <w:tcW w:w="3260" w:type="dxa"/>
          </w:tcPr>
          <w:p w14:paraId="359DDBE8" w14:textId="77777777" w:rsidR="00B30FE4" w:rsidRPr="00DE1B1B" w:rsidRDefault="00B30FE4" w:rsidP="00B30FE4">
            <w:pPr>
              <w:rPr>
                <w:b/>
                <w:szCs w:val="22"/>
              </w:rPr>
            </w:pPr>
            <w:r w:rsidRPr="00DE1B1B">
              <w:rPr>
                <w:b/>
                <w:szCs w:val="22"/>
              </w:rPr>
              <w:t>Operational Expenditure</w:t>
            </w:r>
          </w:p>
          <w:p w14:paraId="040A3451" w14:textId="77777777" w:rsidR="00B30FE4" w:rsidRPr="00DE1B1B" w:rsidRDefault="00B30FE4" w:rsidP="00B30FE4">
            <w:pPr>
              <w:rPr>
                <w:szCs w:val="22"/>
              </w:rPr>
            </w:pPr>
          </w:p>
          <w:p w14:paraId="1685C385" w14:textId="77777777" w:rsidR="00B30FE4" w:rsidRPr="00DE1B1B" w:rsidRDefault="00B30FE4" w:rsidP="00B30FE4">
            <w:pPr>
              <w:rPr>
                <w:szCs w:val="22"/>
              </w:rPr>
            </w:pPr>
          </w:p>
          <w:p w14:paraId="24AA92B8" w14:textId="50DB0B28" w:rsidR="00B30FE4" w:rsidRPr="00DE1B1B" w:rsidRDefault="00B30FE4" w:rsidP="00B30FE4">
            <w:pPr>
              <w:rPr>
                <w:szCs w:val="22"/>
              </w:rPr>
            </w:pPr>
            <w:r w:rsidRPr="00DE1B1B">
              <w:rPr>
                <w:b/>
                <w:szCs w:val="22"/>
              </w:rPr>
              <w:t>$’000</w:t>
            </w:r>
          </w:p>
          <w:p w14:paraId="3ECB68AC" w14:textId="77777777" w:rsidR="00B30FE4" w:rsidRPr="00DE1B1B" w:rsidRDefault="00B30FE4" w:rsidP="00B30FE4">
            <w:pPr>
              <w:rPr>
                <w:szCs w:val="22"/>
              </w:rPr>
            </w:pPr>
          </w:p>
          <w:p w14:paraId="1C7B616F" w14:textId="77777777" w:rsidR="00B30FE4" w:rsidRPr="00DE1B1B" w:rsidRDefault="00B30FE4" w:rsidP="00B30FE4">
            <w:pPr>
              <w:rPr>
                <w:szCs w:val="22"/>
              </w:rPr>
            </w:pPr>
          </w:p>
          <w:p w14:paraId="445595B9" w14:textId="76EE8998" w:rsidR="00B30FE4" w:rsidRPr="00DE1B1B" w:rsidRDefault="00B30FE4" w:rsidP="00B30FE4">
            <w:pPr>
              <w:rPr>
                <w:i/>
                <w:szCs w:val="22"/>
              </w:rPr>
            </w:pPr>
          </w:p>
        </w:tc>
        <w:tc>
          <w:tcPr>
            <w:tcW w:w="3119" w:type="dxa"/>
          </w:tcPr>
          <w:p w14:paraId="225DAF1A" w14:textId="77777777" w:rsidR="00B30FE4" w:rsidRPr="00DE1B1B" w:rsidRDefault="00B30FE4" w:rsidP="00B30FE4">
            <w:pPr>
              <w:rPr>
                <w:b/>
                <w:szCs w:val="22"/>
              </w:rPr>
            </w:pPr>
            <w:r w:rsidRPr="00DE1B1B">
              <w:rPr>
                <w:b/>
                <w:szCs w:val="22"/>
              </w:rPr>
              <w:t>Capital Expenditure</w:t>
            </w:r>
          </w:p>
          <w:p w14:paraId="7F134A90" w14:textId="77777777" w:rsidR="00B30FE4" w:rsidRPr="00DE1B1B" w:rsidRDefault="00B30FE4" w:rsidP="00B30FE4">
            <w:pPr>
              <w:rPr>
                <w:szCs w:val="22"/>
              </w:rPr>
            </w:pPr>
          </w:p>
          <w:p w14:paraId="22207984" w14:textId="77777777" w:rsidR="00B30FE4" w:rsidRPr="00DE1B1B" w:rsidRDefault="00B30FE4" w:rsidP="00B30FE4">
            <w:pPr>
              <w:rPr>
                <w:szCs w:val="22"/>
              </w:rPr>
            </w:pPr>
          </w:p>
          <w:p w14:paraId="52E27287" w14:textId="7E47EEF8" w:rsidR="00B30FE4" w:rsidRPr="00DE1B1B" w:rsidRDefault="00B30FE4" w:rsidP="00B30FE4">
            <w:pPr>
              <w:rPr>
                <w:szCs w:val="22"/>
              </w:rPr>
            </w:pPr>
            <w:r w:rsidRPr="00DE1B1B">
              <w:rPr>
                <w:b/>
                <w:szCs w:val="22"/>
              </w:rPr>
              <w:t>$’000</w:t>
            </w:r>
          </w:p>
          <w:p w14:paraId="54507A03" w14:textId="77777777" w:rsidR="00B30FE4" w:rsidRPr="00DE1B1B" w:rsidRDefault="00B30FE4" w:rsidP="00B30FE4">
            <w:pPr>
              <w:rPr>
                <w:szCs w:val="22"/>
              </w:rPr>
            </w:pPr>
          </w:p>
          <w:p w14:paraId="2E659E2E" w14:textId="77777777" w:rsidR="00B30FE4" w:rsidRPr="00DE1B1B" w:rsidRDefault="00B30FE4" w:rsidP="00B30FE4">
            <w:pPr>
              <w:rPr>
                <w:szCs w:val="22"/>
              </w:rPr>
            </w:pPr>
          </w:p>
          <w:p w14:paraId="0B72236E" w14:textId="38218C6C" w:rsidR="00B30FE4" w:rsidRPr="00DE1B1B" w:rsidRDefault="00B30FE4" w:rsidP="00B30FE4">
            <w:pPr>
              <w:rPr>
                <w:i/>
                <w:szCs w:val="22"/>
              </w:rPr>
            </w:pPr>
          </w:p>
        </w:tc>
      </w:tr>
      <w:tr w:rsidR="00B30FE4" w:rsidRPr="00B30FE4" w14:paraId="79298E1F" w14:textId="77777777" w:rsidTr="00944749">
        <w:trPr>
          <w:trHeight w:val="390"/>
        </w:trPr>
        <w:tc>
          <w:tcPr>
            <w:tcW w:w="2977" w:type="dxa"/>
          </w:tcPr>
          <w:p w14:paraId="27822439" w14:textId="2FB894F2" w:rsidR="00B30FE4" w:rsidRPr="00B30FE4" w:rsidRDefault="004348B0" w:rsidP="00B30FE4">
            <w:r>
              <w:t>4,744</w:t>
            </w:r>
          </w:p>
        </w:tc>
        <w:tc>
          <w:tcPr>
            <w:tcW w:w="284" w:type="dxa"/>
            <w:vMerge/>
            <w:tcBorders>
              <w:bottom w:val="nil"/>
            </w:tcBorders>
          </w:tcPr>
          <w:p w14:paraId="46B46750" w14:textId="77777777" w:rsidR="00B30FE4" w:rsidRPr="00B30FE4" w:rsidRDefault="00B30FE4" w:rsidP="00B30FE4"/>
        </w:tc>
        <w:tc>
          <w:tcPr>
            <w:tcW w:w="3260" w:type="dxa"/>
          </w:tcPr>
          <w:p w14:paraId="11EC4248" w14:textId="031FD86F" w:rsidR="00B30FE4" w:rsidRPr="00B30FE4" w:rsidRDefault="004348B0" w:rsidP="00B30FE4">
            <w:r>
              <w:t>146</w:t>
            </w:r>
          </w:p>
        </w:tc>
        <w:tc>
          <w:tcPr>
            <w:tcW w:w="3260" w:type="dxa"/>
          </w:tcPr>
          <w:p w14:paraId="2FB76BF2" w14:textId="7A56FDEA" w:rsidR="00B30FE4" w:rsidRPr="00B30FE4" w:rsidRDefault="004348B0" w:rsidP="00B30FE4">
            <w:r>
              <w:t>146</w:t>
            </w:r>
          </w:p>
        </w:tc>
        <w:tc>
          <w:tcPr>
            <w:tcW w:w="3119" w:type="dxa"/>
          </w:tcPr>
          <w:p w14:paraId="2AB4E7B3" w14:textId="46EB1D96" w:rsidR="00B30FE4" w:rsidRPr="00B30FE4" w:rsidRDefault="004348B0" w:rsidP="00B30FE4">
            <w:r>
              <w:t>0</w:t>
            </w:r>
          </w:p>
        </w:tc>
      </w:tr>
    </w:tbl>
    <w:p w14:paraId="67E78FD8" w14:textId="77777777" w:rsidR="00B30FE4" w:rsidRPr="00B30FE4" w:rsidRDefault="00B30FE4" w:rsidP="00B30FE4"/>
    <w:p w14:paraId="3B48EB0C" w14:textId="77777777" w:rsidR="00FB2589" w:rsidRDefault="00FB2589" w:rsidP="00B30FE4">
      <w:pPr>
        <w:keepNext/>
        <w:outlineLvl w:val="0"/>
        <w:sectPr w:rsidR="00FB2589" w:rsidSect="00665EED">
          <w:pgSz w:w="16838" w:h="11906" w:orient="landscape"/>
          <w:pgMar w:top="1797" w:right="1440" w:bottom="1797" w:left="1440" w:header="709" w:footer="709" w:gutter="0"/>
          <w:cols w:space="708"/>
          <w:docGrid w:linePitch="360"/>
        </w:sectPr>
      </w:pPr>
    </w:p>
    <w:p w14:paraId="4AFEECC4" w14:textId="77777777" w:rsidR="00B30FE4" w:rsidRPr="00B43021" w:rsidRDefault="00B30FE4" w:rsidP="00B43021">
      <w:pPr>
        <w:pStyle w:val="Heading2"/>
      </w:pPr>
      <w:r w:rsidRPr="00AE6E5C">
        <w:t>Disclosure Index</w:t>
      </w:r>
    </w:p>
    <w:p w14:paraId="30CDE7DB" w14:textId="77777777" w:rsidR="00B30FE4" w:rsidRPr="00AE6E5C" w:rsidRDefault="00B30FE4" w:rsidP="00B30FE4">
      <w:r w:rsidRPr="00AE6E5C">
        <w:t xml:space="preserve">This annual report has been prepared in accordance with all relevant Victorian legislation. The disclosure index has been prepared to facilitate identification of </w:t>
      </w:r>
      <w:r w:rsidRPr="00AE6E5C">
        <w:rPr>
          <w:rFonts w:cs="Arial"/>
        </w:rPr>
        <w:t>Museum Victoria’s</w:t>
      </w:r>
      <w:r w:rsidRPr="00AE6E5C">
        <w:t xml:space="preserve"> compliance with statutory disclosure requirements.</w:t>
      </w:r>
    </w:p>
    <w:p w14:paraId="66448F6D" w14:textId="77777777" w:rsidR="00B30FE4" w:rsidRPr="00AE6E5C" w:rsidRDefault="00B30FE4" w:rsidP="00B30FE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isclosure Index"/>
        <w:tblDescription w:val="This table shows the Disclosure Index for Museum Victoria's 2013–14 Annual Report."/>
      </w:tblPr>
      <w:tblGrid>
        <w:gridCol w:w="2088"/>
        <w:gridCol w:w="5400"/>
        <w:gridCol w:w="1440"/>
      </w:tblGrid>
      <w:tr w:rsidR="00B30FE4" w:rsidRPr="005904AB" w14:paraId="765CB8BB" w14:textId="77777777" w:rsidTr="00944749">
        <w:tc>
          <w:tcPr>
            <w:tcW w:w="7488" w:type="dxa"/>
            <w:gridSpan w:val="2"/>
          </w:tcPr>
          <w:p w14:paraId="6F3F44C0" w14:textId="77777777" w:rsidR="00B30FE4" w:rsidRPr="005904AB" w:rsidRDefault="00B30FE4" w:rsidP="00944749">
            <w:r w:rsidRPr="005904AB">
              <w:t>Ministerial Directions</w:t>
            </w:r>
          </w:p>
        </w:tc>
        <w:tc>
          <w:tcPr>
            <w:tcW w:w="1440" w:type="dxa"/>
            <w:vAlign w:val="center"/>
          </w:tcPr>
          <w:p w14:paraId="693D7920" w14:textId="77777777" w:rsidR="00B30FE4" w:rsidRPr="005904AB" w:rsidRDefault="00B30FE4" w:rsidP="00944749">
            <w:r w:rsidRPr="005904AB">
              <w:t>Page</w:t>
            </w:r>
          </w:p>
        </w:tc>
      </w:tr>
      <w:tr w:rsidR="00B30FE4" w:rsidRPr="005904AB" w14:paraId="3B7BCB49" w14:textId="77777777" w:rsidTr="00944749">
        <w:tc>
          <w:tcPr>
            <w:tcW w:w="8928" w:type="dxa"/>
            <w:gridSpan w:val="3"/>
          </w:tcPr>
          <w:p w14:paraId="5E27E4A7" w14:textId="77777777" w:rsidR="00B30FE4" w:rsidRPr="005904AB" w:rsidRDefault="00B30FE4" w:rsidP="00944749">
            <w:r w:rsidRPr="005904AB">
              <w:t>Report of Operations</w:t>
            </w:r>
          </w:p>
        </w:tc>
      </w:tr>
      <w:tr w:rsidR="00B30FE4" w:rsidRPr="005904AB" w14:paraId="08D4FFB6" w14:textId="77777777" w:rsidTr="00944749">
        <w:tc>
          <w:tcPr>
            <w:tcW w:w="8928" w:type="dxa"/>
            <w:gridSpan w:val="3"/>
          </w:tcPr>
          <w:p w14:paraId="17328996" w14:textId="7732D744" w:rsidR="00B30FE4" w:rsidRPr="005904AB" w:rsidRDefault="00B30FE4" w:rsidP="00944749">
            <w:r w:rsidRPr="005904AB">
              <w:t xml:space="preserve">Charter and </w:t>
            </w:r>
            <w:r w:rsidR="00C70491">
              <w:t>P</w:t>
            </w:r>
            <w:r w:rsidRPr="005904AB">
              <w:t>urpose</w:t>
            </w:r>
          </w:p>
        </w:tc>
      </w:tr>
      <w:tr w:rsidR="00B30FE4" w:rsidRPr="005904AB" w14:paraId="05C257C5" w14:textId="77777777" w:rsidTr="00944749">
        <w:tc>
          <w:tcPr>
            <w:tcW w:w="2088" w:type="dxa"/>
          </w:tcPr>
          <w:p w14:paraId="6E628FC7" w14:textId="61F93D8C" w:rsidR="00B30FE4" w:rsidRPr="005904AB" w:rsidRDefault="00B30FE4" w:rsidP="00944749">
            <w:r w:rsidRPr="005904AB">
              <w:t>FRD 22</w:t>
            </w:r>
            <w:r w:rsidR="00705AC2">
              <w:t>G</w:t>
            </w:r>
          </w:p>
        </w:tc>
        <w:tc>
          <w:tcPr>
            <w:tcW w:w="5400" w:type="dxa"/>
          </w:tcPr>
          <w:p w14:paraId="5632BB01" w14:textId="77777777" w:rsidR="00B30FE4" w:rsidRPr="005904AB" w:rsidRDefault="00B30FE4" w:rsidP="00944749">
            <w:r w:rsidRPr="005904AB">
              <w:t>Manner of establishment of the relevant ministers</w:t>
            </w:r>
          </w:p>
        </w:tc>
        <w:tc>
          <w:tcPr>
            <w:tcW w:w="1440" w:type="dxa"/>
          </w:tcPr>
          <w:p w14:paraId="733CFCFC" w14:textId="77FD2614" w:rsidR="00B30FE4" w:rsidRPr="005904AB" w:rsidRDefault="00C70CAC" w:rsidP="00944749">
            <w:r>
              <w:t>6-7, 27</w:t>
            </w:r>
          </w:p>
        </w:tc>
      </w:tr>
      <w:tr w:rsidR="00B30FE4" w:rsidRPr="005904AB" w14:paraId="25E04F56" w14:textId="77777777" w:rsidTr="00944749">
        <w:tc>
          <w:tcPr>
            <w:tcW w:w="2088" w:type="dxa"/>
          </w:tcPr>
          <w:p w14:paraId="0BADDCBD" w14:textId="31BB129B" w:rsidR="00B30FE4" w:rsidRPr="005904AB" w:rsidRDefault="00B30FE4" w:rsidP="00944749">
            <w:r w:rsidRPr="005904AB">
              <w:t>FRD 22</w:t>
            </w:r>
            <w:r w:rsidR="00705AC2">
              <w:t>G</w:t>
            </w:r>
          </w:p>
        </w:tc>
        <w:tc>
          <w:tcPr>
            <w:tcW w:w="5400" w:type="dxa"/>
          </w:tcPr>
          <w:p w14:paraId="27F9ECAB" w14:textId="77777777" w:rsidR="00B30FE4" w:rsidRPr="005904AB" w:rsidRDefault="00B30FE4" w:rsidP="00944749">
            <w:r>
              <w:t>Purpose</w:t>
            </w:r>
            <w:r w:rsidRPr="005904AB">
              <w:t>, functions, powers and duties</w:t>
            </w:r>
          </w:p>
        </w:tc>
        <w:tc>
          <w:tcPr>
            <w:tcW w:w="1440" w:type="dxa"/>
          </w:tcPr>
          <w:p w14:paraId="39F923D4" w14:textId="7DCDA8BA" w:rsidR="00B30FE4" w:rsidRPr="005904AB" w:rsidRDefault="00C70CAC" w:rsidP="00944749">
            <w:r>
              <w:t>6-7, 27</w:t>
            </w:r>
          </w:p>
        </w:tc>
      </w:tr>
      <w:tr w:rsidR="00B30FE4" w:rsidRPr="005904AB" w14:paraId="3F3C5263" w14:textId="77777777" w:rsidTr="00944749">
        <w:tc>
          <w:tcPr>
            <w:tcW w:w="2088" w:type="dxa"/>
          </w:tcPr>
          <w:p w14:paraId="29506F7C" w14:textId="70C5899D" w:rsidR="00B30FE4" w:rsidRPr="005904AB" w:rsidRDefault="00B30FE4" w:rsidP="00944749">
            <w:r>
              <w:t>FRD 22</w:t>
            </w:r>
            <w:r w:rsidR="00705AC2">
              <w:t>G</w:t>
            </w:r>
          </w:p>
        </w:tc>
        <w:tc>
          <w:tcPr>
            <w:tcW w:w="5400" w:type="dxa"/>
          </w:tcPr>
          <w:p w14:paraId="0DD1A857" w14:textId="117EDC77" w:rsidR="00B30FE4" w:rsidRPr="005904AB" w:rsidRDefault="00BE57A9" w:rsidP="00944749">
            <w:r>
              <w:t>Initiatives and key achie</w:t>
            </w:r>
            <w:r w:rsidR="00B30FE4">
              <w:t>vements</w:t>
            </w:r>
          </w:p>
        </w:tc>
        <w:tc>
          <w:tcPr>
            <w:tcW w:w="1440" w:type="dxa"/>
          </w:tcPr>
          <w:p w14:paraId="3F33BF3D" w14:textId="4C4DE50E" w:rsidR="00B30FE4" w:rsidRPr="005904AB" w:rsidRDefault="001377E4" w:rsidP="00944749">
            <w:r>
              <w:t>8-26</w:t>
            </w:r>
          </w:p>
        </w:tc>
      </w:tr>
      <w:tr w:rsidR="00B30FE4" w:rsidRPr="005904AB" w14:paraId="1F2272D2" w14:textId="77777777" w:rsidTr="00944749">
        <w:tc>
          <w:tcPr>
            <w:tcW w:w="2088" w:type="dxa"/>
          </w:tcPr>
          <w:p w14:paraId="083187E5" w14:textId="653D4CE9" w:rsidR="00B30FE4" w:rsidRPr="005904AB" w:rsidRDefault="00B30FE4" w:rsidP="00944749">
            <w:r w:rsidRPr="005904AB">
              <w:t>FRD 22</w:t>
            </w:r>
            <w:r w:rsidR="00705AC2">
              <w:t>G</w:t>
            </w:r>
          </w:p>
        </w:tc>
        <w:tc>
          <w:tcPr>
            <w:tcW w:w="5400" w:type="dxa"/>
          </w:tcPr>
          <w:p w14:paraId="6F370D31" w14:textId="77777777" w:rsidR="00B30FE4" w:rsidRPr="005904AB" w:rsidRDefault="00B30FE4" w:rsidP="00944749">
            <w:r w:rsidRPr="005904AB">
              <w:t>Nature and range of services provided</w:t>
            </w:r>
          </w:p>
        </w:tc>
        <w:tc>
          <w:tcPr>
            <w:tcW w:w="1440" w:type="dxa"/>
          </w:tcPr>
          <w:p w14:paraId="2E020910" w14:textId="2DB632FF" w:rsidR="00B30FE4" w:rsidRPr="005904AB" w:rsidRDefault="001377E4" w:rsidP="00944749">
            <w:r>
              <w:t>6-7, 12-26</w:t>
            </w:r>
          </w:p>
        </w:tc>
      </w:tr>
      <w:tr w:rsidR="00B30FE4" w:rsidRPr="005904AB" w14:paraId="7A008D04" w14:textId="77777777" w:rsidTr="00944749">
        <w:tc>
          <w:tcPr>
            <w:tcW w:w="8928" w:type="dxa"/>
            <w:gridSpan w:val="3"/>
          </w:tcPr>
          <w:p w14:paraId="079BAB20" w14:textId="77777777" w:rsidR="00B30FE4" w:rsidRPr="005904AB" w:rsidRDefault="00B30FE4" w:rsidP="00944749"/>
        </w:tc>
      </w:tr>
      <w:tr w:rsidR="00B30FE4" w:rsidRPr="005904AB" w14:paraId="55B9925E" w14:textId="77777777" w:rsidTr="00944749">
        <w:tc>
          <w:tcPr>
            <w:tcW w:w="8928" w:type="dxa"/>
            <w:gridSpan w:val="3"/>
          </w:tcPr>
          <w:p w14:paraId="022EBA9C" w14:textId="6C0FF197" w:rsidR="00B30FE4" w:rsidRPr="005904AB" w:rsidRDefault="00157703" w:rsidP="00944749">
            <w:r>
              <w:t>MANAGEMENT AND STRUCTURE</w:t>
            </w:r>
          </w:p>
        </w:tc>
      </w:tr>
      <w:tr w:rsidR="00B30FE4" w:rsidRPr="005904AB" w14:paraId="1F1120BE" w14:textId="77777777" w:rsidTr="00944749">
        <w:tc>
          <w:tcPr>
            <w:tcW w:w="2088" w:type="dxa"/>
          </w:tcPr>
          <w:p w14:paraId="4B30F39F" w14:textId="7BBC70AA" w:rsidR="00B30FE4" w:rsidRPr="005904AB" w:rsidRDefault="00B30FE4" w:rsidP="00944749">
            <w:r w:rsidRPr="005904AB">
              <w:t xml:space="preserve">FRD </w:t>
            </w:r>
            <w:r>
              <w:t>22</w:t>
            </w:r>
            <w:r w:rsidR="00705AC2">
              <w:t>G</w:t>
            </w:r>
          </w:p>
        </w:tc>
        <w:tc>
          <w:tcPr>
            <w:tcW w:w="5400" w:type="dxa"/>
          </w:tcPr>
          <w:p w14:paraId="2FFEF294" w14:textId="77777777" w:rsidR="00B30FE4" w:rsidRPr="005904AB" w:rsidRDefault="00B30FE4" w:rsidP="00944749">
            <w:r w:rsidRPr="005904AB">
              <w:t>Organisational structure</w:t>
            </w:r>
          </w:p>
        </w:tc>
        <w:tc>
          <w:tcPr>
            <w:tcW w:w="1440" w:type="dxa"/>
          </w:tcPr>
          <w:p w14:paraId="62ACED1B" w14:textId="673575E1" w:rsidR="00B30FE4" w:rsidRPr="005904AB" w:rsidRDefault="001377E4" w:rsidP="00944749">
            <w:r>
              <w:t>30</w:t>
            </w:r>
          </w:p>
        </w:tc>
      </w:tr>
      <w:tr w:rsidR="00B30FE4" w:rsidRPr="005904AB" w14:paraId="012D3F77" w14:textId="77777777" w:rsidTr="00944749">
        <w:tc>
          <w:tcPr>
            <w:tcW w:w="8928" w:type="dxa"/>
            <w:gridSpan w:val="3"/>
          </w:tcPr>
          <w:p w14:paraId="6F21DD21" w14:textId="77777777" w:rsidR="00B30FE4" w:rsidRPr="005904AB" w:rsidRDefault="00B30FE4" w:rsidP="00944749"/>
        </w:tc>
      </w:tr>
      <w:tr w:rsidR="00B30FE4" w:rsidRPr="005904AB" w14:paraId="5347C71D" w14:textId="77777777" w:rsidTr="00944749">
        <w:trPr>
          <w:trHeight w:val="335"/>
        </w:trPr>
        <w:tc>
          <w:tcPr>
            <w:tcW w:w="8928" w:type="dxa"/>
            <w:gridSpan w:val="3"/>
          </w:tcPr>
          <w:p w14:paraId="3FE8711A" w14:textId="6C4AD60F" w:rsidR="00B30FE4" w:rsidRPr="005904AB" w:rsidRDefault="00B30FE4" w:rsidP="00944749">
            <w:r w:rsidRPr="005904AB">
              <w:t xml:space="preserve">Financial and </w:t>
            </w:r>
            <w:r w:rsidR="00C70491">
              <w:t>O</w:t>
            </w:r>
            <w:r w:rsidRPr="005904AB">
              <w:t xml:space="preserve">ther </w:t>
            </w:r>
            <w:r w:rsidR="00C70491">
              <w:t>I</w:t>
            </w:r>
            <w:r w:rsidRPr="005904AB">
              <w:t>nformation</w:t>
            </w:r>
          </w:p>
        </w:tc>
      </w:tr>
      <w:tr w:rsidR="00B30FE4" w:rsidRPr="005904AB" w14:paraId="0A453F86" w14:textId="77777777" w:rsidTr="00944749">
        <w:tc>
          <w:tcPr>
            <w:tcW w:w="2088" w:type="dxa"/>
          </w:tcPr>
          <w:p w14:paraId="06085F81" w14:textId="2FDD66CC" w:rsidR="00B30FE4" w:rsidRPr="005904AB" w:rsidRDefault="00B30FE4" w:rsidP="00944749">
            <w:r w:rsidRPr="005904AB">
              <w:t>FRD 10</w:t>
            </w:r>
            <w:r w:rsidR="00705AC2">
              <w:t>A</w:t>
            </w:r>
          </w:p>
        </w:tc>
        <w:tc>
          <w:tcPr>
            <w:tcW w:w="5400" w:type="dxa"/>
          </w:tcPr>
          <w:p w14:paraId="0A447D68" w14:textId="77777777" w:rsidR="00B30FE4" w:rsidRPr="005904AB" w:rsidRDefault="00B30FE4" w:rsidP="00944749">
            <w:r w:rsidRPr="005904AB">
              <w:t>Disclosure index</w:t>
            </w:r>
          </w:p>
        </w:tc>
        <w:tc>
          <w:tcPr>
            <w:tcW w:w="1440" w:type="dxa"/>
          </w:tcPr>
          <w:p w14:paraId="008BB256" w14:textId="01230090" w:rsidR="00B30FE4" w:rsidRPr="005904AB" w:rsidRDefault="00CA0B75" w:rsidP="00944749">
            <w:r>
              <w:t>77-78</w:t>
            </w:r>
          </w:p>
        </w:tc>
      </w:tr>
      <w:tr w:rsidR="00B30FE4" w:rsidRPr="005904AB" w14:paraId="4813353B" w14:textId="77777777" w:rsidTr="00944749">
        <w:tc>
          <w:tcPr>
            <w:tcW w:w="2088" w:type="dxa"/>
          </w:tcPr>
          <w:p w14:paraId="1DA2A697" w14:textId="073B2ACA" w:rsidR="00B30FE4" w:rsidRPr="005904AB" w:rsidRDefault="00B30FE4" w:rsidP="00944749">
            <w:r w:rsidRPr="005904AB">
              <w:t xml:space="preserve">FRD </w:t>
            </w:r>
            <w:r>
              <w:t>22</w:t>
            </w:r>
            <w:r w:rsidR="00705AC2">
              <w:t>G</w:t>
            </w:r>
          </w:p>
        </w:tc>
        <w:tc>
          <w:tcPr>
            <w:tcW w:w="5400" w:type="dxa"/>
          </w:tcPr>
          <w:p w14:paraId="03DDA299" w14:textId="77777777" w:rsidR="00B30FE4" w:rsidRPr="005904AB" w:rsidRDefault="00B30FE4" w:rsidP="00944749">
            <w:r w:rsidRPr="005904AB">
              <w:t>Operational and budgetary objectives</w:t>
            </w:r>
            <w:r>
              <w:t>,</w:t>
            </w:r>
            <w:r w:rsidRPr="005904AB">
              <w:t xml:space="preserve"> and performance against objectives</w:t>
            </w:r>
          </w:p>
        </w:tc>
        <w:tc>
          <w:tcPr>
            <w:tcW w:w="1440" w:type="dxa"/>
          </w:tcPr>
          <w:p w14:paraId="68B37819" w14:textId="48A7CF28" w:rsidR="00B30FE4" w:rsidRPr="005904AB" w:rsidRDefault="00CA0B75" w:rsidP="00944749">
            <w:r>
              <w:t>8-11,</w:t>
            </w:r>
            <w:r w:rsidR="00555B70">
              <w:t xml:space="preserve"> 14</w:t>
            </w:r>
            <w:r>
              <w:t>-26</w:t>
            </w:r>
          </w:p>
        </w:tc>
      </w:tr>
      <w:tr w:rsidR="00B30FE4" w:rsidRPr="005904AB" w14:paraId="22F4BB31" w14:textId="77777777" w:rsidTr="00944749">
        <w:tc>
          <w:tcPr>
            <w:tcW w:w="2088" w:type="dxa"/>
          </w:tcPr>
          <w:p w14:paraId="23EDE802" w14:textId="03E532C5" w:rsidR="00B30FE4" w:rsidRPr="005904AB" w:rsidRDefault="00B30FE4" w:rsidP="00944749">
            <w:r>
              <w:t>FRD 22</w:t>
            </w:r>
            <w:r w:rsidR="00705AC2">
              <w:t>G</w:t>
            </w:r>
          </w:p>
        </w:tc>
        <w:tc>
          <w:tcPr>
            <w:tcW w:w="5400" w:type="dxa"/>
          </w:tcPr>
          <w:p w14:paraId="78EA6AD1" w14:textId="77777777" w:rsidR="00B30FE4" w:rsidRPr="005904AB" w:rsidRDefault="00B30FE4" w:rsidP="00944749">
            <w:r>
              <w:t>Employment and conduct principles</w:t>
            </w:r>
          </w:p>
        </w:tc>
        <w:tc>
          <w:tcPr>
            <w:tcW w:w="1440" w:type="dxa"/>
          </w:tcPr>
          <w:p w14:paraId="5410C8D0" w14:textId="342DBCEC" w:rsidR="00B30FE4" w:rsidRPr="005904AB" w:rsidRDefault="00555B70" w:rsidP="00944749">
            <w:r>
              <w:t>31-33, 73</w:t>
            </w:r>
          </w:p>
        </w:tc>
      </w:tr>
      <w:tr w:rsidR="00B30FE4" w:rsidRPr="005904AB" w14:paraId="67D51CAE" w14:textId="77777777" w:rsidTr="00944749">
        <w:tc>
          <w:tcPr>
            <w:tcW w:w="2088" w:type="dxa"/>
          </w:tcPr>
          <w:p w14:paraId="21BE024C" w14:textId="0AD96991" w:rsidR="00B30FE4" w:rsidRPr="005904AB" w:rsidRDefault="00B30FE4" w:rsidP="00944749">
            <w:r w:rsidRPr="005904AB">
              <w:t xml:space="preserve">FRD </w:t>
            </w:r>
            <w:r>
              <w:t>22</w:t>
            </w:r>
            <w:r w:rsidR="00705AC2">
              <w:t>G</w:t>
            </w:r>
          </w:p>
        </w:tc>
        <w:tc>
          <w:tcPr>
            <w:tcW w:w="5400" w:type="dxa"/>
          </w:tcPr>
          <w:p w14:paraId="116AD9A1" w14:textId="77777777" w:rsidR="00B30FE4" w:rsidRPr="005904AB" w:rsidRDefault="00B30FE4" w:rsidP="00944749">
            <w:r w:rsidRPr="005904AB">
              <w:t>Occupational health and safety</w:t>
            </w:r>
          </w:p>
        </w:tc>
        <w:tc>
          <w:tcPr>
            <w:tcW w:w="1440" w:type="dxa"/>
          </w:tcPr>
          <w:p w14:paraId="4B2BBBEC" w14:textId="6DF48C76" w:rsidR="00B30FE4" w:rsidRPr="005904AB" w:rsidRDefault="00B54631" w:rsidP="00944749">
            <w:r>
              <w:t>74</w:t>
            </w:r>
          </w:p>
        </w:tc>
      </w:tr>
      <w:tr w:rsidR="00B30FE4" w:rsidRPr="005904AB" w14:paraId="20D1C4E0" w14:textId="77777777" w:rsidTr="00944749">
        <w:tc>
          <w:tcPr>
            <w:tcW w:w="2088" w:type="dxa"/>
          </w:tcPr>
          <w:p w14:paraId="75BA3824" w14:textId="51B3836A" w:rsidR="00B30FE4" w:rsidRPr="005904AB" w:rsidRDefault="00B30FE4" w:rsidP="00944749">
            <w:r w:rsidRPr="005904AB">
              <w:t xml:space="preserve">FRD </w:t>
            </w:r>
            <w:r>
              <w:t>22</w:t>
            </w:r>
            <w:r w:rsidR="00705AC2">
              <w:t>G</w:t>
            </w:r>
          </w:p>
        </w:tc>
        <w:tc>
          <w:tcPr>
            <w:tcW w:w="5400" w:type="dxa"/>
          </w:tcPr>
          <w:p w14:paraId="0408C3BA" w14:textId="77777777" w:rsidR="00B30FE4" w:rsidRPr="005904AB" w:rsidRDefault="00B30FE4" w:rsidP="00944749">
            <w:r w:rsidRPr="005904AB">
              <w:t>Summary of the financial results for the year</w:t>
            </w:r>
          </w:p>
        </w:tc>
        <w:tc>
          <w:tcPr>
            <w:tcW w:w="1440" w:type="dxa"/>
          </w:tcPr>
          <w:p w14:paraId="5F4979C8" w14:textId="11AC2C3E" w:rsidR="00B30FE4" w:rsidRPr="005904AB" w:rsidRDefault="00B54631" w:rsidP="00944749">
            <w:r>
              <w:t>8-9</w:t>
            </w:r>
          </w:p>
        </w:tc>
      </w:tr>
      <w:tr w:rsidR="00B30FE4" w:rsidRPr="005904AB" w14:paraId="023ED478" w14:textId="77777777" w:rsidTr="00944749">
        <w:tc>
          <w:tcPr>
            <w:tcW w:w="2088" w:type="dxa"/>
          </w:tcPr>
          <w:p w14:paraId="2A7A8956" w14:textId="6EC56BFF" w:rsidR="00B30FE4" w:rsidRPr="005904AB" w:rsidRDefault="00B30FE4" w:rsidP="00944749">
            <w:r w:rsidRPr="005904AB">
              <w:t xml:space="preserve">FRD </w:t>
            </w:r>
            <w:r>
              <w:t>22</w:t>
            </w:r>
            <w:r w:rsidR="00705AC2">
              <w:t>G</w:t>
            </w:r>
          </w:p>
        </w:tc>
        <w:tc>
          <w:tcPr>
            <w:tcW w:w="5400" w:type="dxa"/>
          </w:tcPr>
          <w:p w14:paraId="39F3786B" w14:textId="77777777" w:rsidR="00B30FE4" w:rsidRPr="005904AB" w:rsidRDefault="00B30FE4" w:rsidP="00944749">
            <w:r w:rsidRPr="005904AB">
              <w:t>Significant changes in financial position during the year</w:t>
            </w:r>
          </w:p>
        </w:tc>
        <w:tc>
          <w:tcPr>
            <w:tcW w:w="1440" w:type="dxa"/>
          </w:tcPr>
          <w:p w14:paraId="4C5F61FC" w14:textId="10D01A59" w:rsidR="00B30FE4" w:rsidRPr="005904AB" w:rsidRDefault="00B54631" w:rsidP="00944749">
            <w:r>
              <w:t>8-9</w:t>
            </w:r>
          </w:p>
        </w:tc>
      </w:tr>
      <w:tr w:rsidR="00B30FE4" w:rsidRPr="005904AB" w14:paraId="7D3270AA" w14:textId="77777777" w:rsidTr="00944749">
        <w:tc>
          <w:tcPr>
            <w:tcW w:w="2088" w:type="dxa"/>
          </w:tcPr>
          <w:p w14:paraId="3F69C3DB" w14:textId="26CD0475" w:rsidR="00B30FE4" w:rsidRPr="005904AB" w:rsidRDefault="00B30FE4" w:rsidP="00944749">
            <w:r w:rsidRPr="005904AB">
              <w:t xml:space="preserve">FRD </w:t>
            </w:r>
            <w:r>
              <w:t>22</w:t>
            </w:r>
            <w:r w:rsidR="00705AC2">
              <w:t>G</w:t>
            </w:r>
          </w:p>
        </w:tc>
        <w:tc>
          <w:tcPr>
            <w:tcW w:w="5400" w:type="dxa"/>
          </w:tcPr>
          <w:p w14:paraId="578B6E3E" w14:textId="77777777" w:rsidR="00B30FE4" w:rsidRPr="005904AB" w:rsidRDefault="00B30FE4" w:rsidP="00944749">
            <w:r w:rsidRPr="005904AB">
              <w:t>Major changes or factors affecting performance</w:t>
            </w:r>
          </w:p>
        </w:tc>
        <w:tc>
          <w:tcPr>
            <w:tcW w:w="1440" w:type="dxa"/>
          </w:tcPr>
          <w:p w14:paraId="1B112E85" w14:textId="41FB38EC" w:rsidR="00B30FE4" w:rsidRPr="005904AB" w:rsidRDefault="00E37342" w:rsidP="00944749">
            <w:r>
              <w:t>8-9</w:t>
            </w:r>
          </w:p>
        </w:tc>
      </w:tr>
      <w:tr w:rsidR="00B30FE4" w:rsidRPr="005904AB" w14:paraId="73C4CAB7" w14:textId="77777777" w:rsidTr="00944749">
        <w:tc>
          <w:tcPr>
            <w:tcW w:w="2088" w:type="dxa"/>
          </w:tcPr>
          <w:p w14:paraId="13192D7C" w14:textId="2230C8DC" w:rsidR="00B30FE4" w:rsidRPr="005904AB" w:rsidRDefault="00B30FE4" w:rsidP="00944749">
            <w:r w:rsidRPr="005904AB">
              <w:t xml:space="preserve">FRD </w:t>
            </w:r>
            <w:r>
              <w:t>22</w:t>
            </w:r>
            <w:r w:rsidR="00705AC2">
              <w:t>G</w:t>
            </w:r>
          </w:p>
        </w:tc>
        <w:tc>
          <w:tcPr>
            <w:tcW w:w="5400" w:type="dxa"/>
          </w:tcPr>
          <w:p w14:paraId="47F2AE1C" w14:textId="77777777" w:rsidR="00B30FE4" w:rsidRPr="005904AB" w:rsidRDefault="00B30FE4" w:rsidP="00944749">
            <w:r w:rsidRPr="005904AB">
              <w:t>Subsequent events</w:t>
            </w:r>
          </w:p>
        </w:tc>
        <w:tc>
          <w:tcPr>
            <w:tcW w:w="1440" w:type="dxa"/>
          </w:tcPr>
          <w:p w14:paraId="440E4DA0" w14:textId="6ED6C592" w:rsidR="00B30FE4" w:rsidRPr="005904AB" w:rsidRDefault="00E37342" w:rsidP="00944749">
            <w:r>
              <w:t>66</w:t>
            </w:r>
          </w:p>
        </w:tc>
      </w:tr>
      <w:tr w:rsidR="00B30FE4" w:rsidRPr="005904AB" w14:paraId="4DFDC848" w14:textId="77777777" w:rsidTr="00944749">
        <w:tc>
          <w:tcPr>
            <w:tcW w:w="2088" w:type="dxa"/>
          </w:tcPr>
          <w:p w14:paraId="5FA1B548" w14:textId="449656EB" w:rsidR="00B30FE4" w:rsidRPr="005904AB" w:rsidRDefault="00B30FE4" w:rsidP="00944749">
            <w:r w:rsidRPr="005904AB">
              <w:t xml:space="preserve">FRD </w:t>
            </w:r>
            <w:r>
              <w:t>22</w:t>
            </w:r>
            <w:r w:rsidR="00705AC2">
              <w:t>G</w:t>
            </w:r>
          </w:p>
        </w:tc>
        <w:tc>
          <w:tcPr>
            <w:tcW w:w="5400" w:type="dxa"/>
          </w:tcPr>
          <w:p w14:paraId="59B46D16" w14:textId="77777777" w:rsidR="00B30FE4" w:rsidRPr="005904AB" w:rsidRDefault="00B30FE4" w:rsidP="00944749">
            <w:r w:rsidRPr="005904AB">
              <w:t xml:space="preserve">Application and operation of </w:t>
            </w:r>
            <w:r w:rsidRPr="00955493">
              <w:rPr>
                <w:i/>
              </w:rPr>
              <w:t>Freedom of Information Act 1982</w:t>
            </w:r>
          </w:p>
        </w:tc>
        <w:tc>
          <w:tcPr>
            <w:tcW w:w="1440" w:type="dxa"/>
          </w:tcPr>
          <w:p w14:paraId="79C9CE57" w14:textId="7619EAD0" w:rsidR="00B30FE4" w:rsidRPr="005904AB" w:rsidRDefault="00914482" w:rsidP="00944749">
            <w:r>
              <w:t>69-</w:t>
            </w:r>
            <w:r w:rsidR="00E37342">
              <w:t>70</w:t>
            </w:r>
          </w:p>
        </w:tc>
      </w:tr>
      <w:tr w:rsidR="00B30FE4" w:rsidRPr="005904AB" w14:paraId="1D087609" w14:textId="77777777" w:rsidTr="00944749">
        <w:tc>
          <w:tcPr>
            <w:tcW w:w="2088" w:type="dxa"/>
          </w:tcPr>
          <w:p w14:paraId="1BF9428F" w14:textId="56915BA6" w:rsidR="00B30FE4" w:rsidRPr="005904AB" w:rsidRDefault="00B30FE4" w:rsidP="00944749">
            <w:r w:rsidRPr="005904AB">
              <w:t xml:space="preserve">FRD </w:t>
            </w:r>
            <w:r>
              <w:t>22</w:t>
            </w:r>
            <w:r w:rsidR="00705AC2">
              <w:t>G</w:t>
            </w:r>
          </w:p>
        </w:tc>
        <w:tc>
          <w:tcPr>
            <w:tcW w:w="5400" w:type="dxa"/>
          </w:tcPr>
          <w:p w14:paraId="447B179B" w14:textId="77777777" w:rsidR="00B30FE4" w:rsidRPr="005904AB" w:rsidRDefault="00B30FE4" w:rsidP="00944749">
            <w:r w:rsidRPr="005904AB">
              <w:t xml:space="preserve">Compliance with building and maintenance provisions of </w:t>
            </w:r>
            <w:r w:rsidRPr="005904AB">
              <w:rPr>
                <w:i/>
              </w:rPr>
              <w:t>Building Act 1993</w:t>
            </w:r>
          </w:p>
        </w:tc>
        <w:tc>
          <w:tcPr>
            <w:tcW w:w="1440" w:type="dxa"/>
          </w:tcPr>
          <w:p w14:paraId="41455CDE" w14:textId="31DF4706" w:rsidR="00B30FE4" w:rsidRPr="005904AB" w:rsidRDefault="00E37342" w:rsidP="00944749">
            <w:r>
              <w:t>72</w:t>
            </w:r>
          </w:p>
        </w:tc>
      </w:tr>
      <w:tr w:rsidR="00B30FE4" w:rsidRPr="005904AB" w14:paraId="789FFE02" w14:textId="77777777" w:rsidTr="00944749">
        <w:tc>
          <w:tcPr>
            <w:tcW w:w="2088" w:type="dxa"/>
          </w:tcPr>
          <w:p w14:paraId="68A4F263" w14:textId="2175C6D3" w:rsidR="00B30FE4" w:rsidRPr="005904AB" w:rsidRDefault="00B30FE4" w:rsidP="00944749">
            <w:r w:rsidRPr="005904AB">
              <w:t xml:space="preserve">FRD </w:t>
            </w:r>
            <w:r>
              <w:t>22</w:t>
            </w:r>
            <w:r w:rsidR="00705AC2">
              <w:t>G</w:t>
            </w:r>
          </w:p>
        </w:tc>
        <w:tc>
          <w:tcPr>
            <w:tcW w:w="5400" w:type="dxa"/>
          </w:tcPr>
          <w:p w14:paraId="1AF3A5DF" w14:textId="77777777" w:rsidR="00B30FE4" w:rsidRPr="005904AB" w:rsidRDefault="00B30FE4" w:rsidP="00944749">
            <w:r w:rsidRPr="005904AB">
              <w:t>Statement on National Competition Policy</w:t>
            </w:r>
          </w:p>
        </w:tc>
        <w:tc>
          <w:tcPr>
            <w:tcW w:w="1440" w:type="dxa"/>
          </w:tcPr>
          <w:p w14:paraId="102F10B1" w14:textId="7967767C" w:rsidR="00B30FE4" w:rsidRPr="005904AB" w:rsidRDefault="00E37342" w:rsidP="00944749">
            <w:r>
              <w:t>71</w:t>
            </w:r>
          </w:p>
        </w:tc>
      </w:tr>
      <w:tr w:rsidR="00B30FE4" w:rsidRPr="005904AB" w14:paraId="20EDB020" w14:textId="77777777" w:rsidTr="00944749">
        <w:tc>
          <w:tcPr>
            <w:tcW w:w="2088" w:type="dxa"/>
          </w:tcPr>
          <w:p w14:paraId="2CE09D45" w14:textId="3E59461F" w:rsidR="00B30FE4" w:rsidRPr="005904AB" w:rsidRDefault="00B30FE4" w:rsidP="00944749">
            <w:r w:rsidRPr="005904AB">
              <w:t xml:space="preserve">FRD </w:t>
            </w:r>
            <w:r>
              <w:t>22</w:t>
            </w:r>
            <w:r w:rsidR="00705AC2">
              <w:t>G</w:t>
            </w:r>
          </w:p>
        </w:tc>
        <w:tc>
          <w:tcPr>
            <w:tcW w:w="5400" w:type="dxa"/>
          </w:tcPr>
          <w:p w14:paraId="3FFE345C" w14:textId="77777777" w:rsidR="00B30FE4" w:rsidRPr="005904AB" w:rsidRDefault="00B30FE4" w:rsidP="00944749">
            <w:r w:rsidRPr="005904AB">
              <w:t xml:space="preserve">Application and operation of the </w:t>
            </w:r>
            <w:r>
              <w:rPr>
                <w:i/>
              </w:rPr>
              <w:t>Protected Disclosure Act 2012</w:t>
            </w:r>
          </w:p>
        </w:tc>
        <w:tc>
          <w:tcPr>
            <w:tcW w:w="1440" w:type="dxa"/>
          </w:tcPr>
          <w:p w14:paraId="162B9487" w14:textId="3BFC4C52" w:rsidR="00B30FE4" w:rsidRPr="005904AB" w:rsidRDefault="00914482" w:rsidP="00944749">
            <w:r>
              <w:t>73</w:t>
            </w:r>
          </w:p>
        </w:tc>
      </w:tr>
      <w:tr w:rsidR="00B30FE4" w:rsidRPr="005904AB" w14:paraId="5C3BA478" w14:textId="77777777" w:rsidTr="00944749">
        <w:tc>
          <w:tcPr>
            <w:tcW w:w="2088" w:type="dxa"/>
          </w:tcPr>
          <w:p w14:paraId="598A6E20" w14:textId="01E3F951" w:rsidR="00B30FE4" w:rsidRPr="005904AB" w:rsidRDefault="00B30FE4" w:rsidP="00944749">
            <w:r w:rsidRPr="005904AB">
              <w:t xml:space="preserve">FRD </w:t>
            </w:r>
            <w:r>
              <w:t>22</w:t>
            </w:r>
            <w:r w:rsidR="00705AC2">
              <w:t>G</w:t>
            </w:r>
          </w:p>
        </w:tc>
        <w:tc>
          <w:tcPr>
            <w:tcW w:w="5400" w:type="dxa"/>
          </w:tcPr>
          <w:p w14:paraId="2EAFABCD" w14:textId="52F331DA" w:rsidR="00B30FE4" w:rsidRPr="005904AB" w:rsidRDefault="00B30FE4" w:rsidP="00175C66">
            <w:r w:rsidRPr="005904AB">
              <w:t xml:space="preserve">Details of consultancies </w:t>
            </w:r>
            <w:r w:rsidR="006F4C30">
              <w:t xml:space="preserve">of </w:t>
            </w:r>
            <w:r w:rsidR="00281C70">
              <w:t xml:space="preserve">less than and </w:t>
            </w:r>
            <w:r w:rsidR="006F4C30">
              <w:t>more than</w:t>
            </w:r>
            <w:r w:rsidR="007254A9" w:rsidRPr="005904AB">
              <w:t xml:space="preserve"> </w:t>
            </w:r>
            <w:r w:rsidRPr="005904AB">
              <w:t>$10,000</w:t>
            </w:r>
          </w:p>
        </w:tc>
        <w:tc>
          <w:tcPr>
            <w:tcW w:w="1440" w:type="dxa"/>
          </w:tcPr>
          <w:p w14:paraId="245E99B6" w14:textId="0679593B" w:rsidR="00B30FE4" w:rsidRPr="005904AB" w:rsidRDefault="00914482" w:rsidP="00944749">
            <w:r>
              <w:t>71</w:t>
            </w:r>
          </w:p>
        </w:tc>
      </w:tr>
      <w:tr w:rsidR="00B30FE4" w:rsidRPr="005904AB" w14:paraId="51CB6869" w14:textId="77777777" w:rsidTr="00944749">
        <w:tc>
          <w:tcPr>
            <w:tcW w:w="2088" w:type="dxa"/>
          </w:tcPr>
          <w:p w14:paraId="77218920" w14:textId="21E05B0A" w:rsidR="00B30FE4" w:rsidRPr="005904AB" w:rsidRDefault="00B30FE4" w:rsidP="00944749">
            <w:r w:rsidRPr="005904AB">
              <w:t xml:space="preserve">FRD </w:t>
            </w:r>
            <w:r>
              <w:t>22</w:t>
            </w:r>
            <w:r w:rsidR="00705AC2">
              <w:t>G</w:t>
            </w:r>
          </w:p>
        </w:tc>
        <w:tc>
          <w:tcPr>
            <w:tcW w:w="5400" w:type="dxa"/>
          </w:tcPr>
          <w:p w14:paraId="5C96824A" w14:textId="53477E80" w:rsidR="00B30FE4" w:rsidRPr="005904AB" w:rsidRDefault="00281C70">
            <w:r>
              <w:t>Environmental p</w:t>
            </w:r>
            <w:r w:rsidR="007254A9">
              <w:t>erformance</w:t>
            </w:r>
          </w:p>
        </w:tc>
        <w:tc>
          <w:tcPr>
            <w:tcW w:w="1440" w:type="dxa"/>
          </w:tcPr>
          <w:p w14:paraId="15113FDB" w14:textId="1C89E4B0" w:rsidR="00B30FE4" w:rsidRPr="005904AB" w:rsidRDefault="00914482" w:rsidP="00944749">
            <w:r>
              <w:t>11</w:t>
            </w:r>
          </w:p>
        </w:tc>
      </w:tr>
      <w:tr w:rsidR="007254A9" w:rsidRPr="005904AB" w14:paraId="238996C8" w14:textId="77777777" w:rsidTr="00944749">
        <w:tc>
          <w:tcPr>
            <w:tcW w:w="2088" w:type="dxa"/>
          </w:tcPr>
          <w:p w14:paraId="6031D6E0" w14:textId="7A155B10" w:rsidR="007254A9" w:rsidRPr="005904AB" w:rsidRDefault="007254A9" w:rsidP="00944749">
            <w:r w:rsidRPr="005904AB">
              <w:t xml:space="preserve">FRD </w:t>
            </w:r>
            <w:r>
              <w:t>22G</w:t>
            </w:r>
          </w:p>
        </w:tc>
        <w:tc>
          <w:tcPr>
            <w:tcW w:w="5400" w:type="dxa"/>
          </w:tcPr>
          <w:p w14:paraId="730D37E6" w14:textId="1C740161" w:rsidR="007254A9" w:rsidRPr="005904AB" w:rsidDel="007254A9" w:rsidRDefault="007254A9">
            <w:r>
              <w:t>Governm</w:t>
            </w:r>
            <w:r w:rsidR="00281C70">
              <w:t>ent advertising e</w:t>
            </w:r>
            <w:r>
              <w:t>xpenditure</w:t>
            </w:r>
          </w:p>
        </w:tc>
        <w:tc>
          <w:tcPr>
            <w:tcW w:w="1440" w:type="dxa"/>
          </w:tcPr>
          <w:p w14:paraId="5D265B4E" w14:textId="03484E5C" w:rsidR="007254A9" w:rsidRPr="005904AB" w:rsidRDefault="00914482" w:rsidP="00944749">
            <w:r>
              <w:t>75</w:t>
            </w:r>
          </w:p>
        </w:tc>
      </w:tr>
      <w:tr w:rsidR="007254A9" w:rsidRPr="005904AB" w14:paraId="7F8311E5" w14:textId="77777777" w:rsidTr="00944749">
        <w:tc>
          <w:tcPr>
            <w:tcW w:w="2088" w:type="dxa"/>
          </w:tcPr>
          <w:p w14:paraId="189BC92A" w14:textId="55D161E6" w:rsidR="007254A9" w:rsidRPr="005904AB" w:rsidRDefault="007254A9" w:rsidP="00944749">
            <w:r w:rsidRPr="005904AB">
              <w:t xml:space="preserve">FRD </w:t>
            </w:r>
            <w:r>
              <w:t>22G</w:t>
            </w:r>
          </w:p>
        </w:tc>
        <w:tc>
          <w:tcPr>
            <w:tcW w:w="5400" w:type="dxa"/>
          </w:tcPr>
          <w:p w14:paraId="2B811545" w14:textId="38ACB5F8" w:rsidR="007254A9" w:rsidRDefault="00281C70">
            <w:r>
              <w:t>ICT e</w:t>
            </w:r>
            <w:r w:rsidR="007254A9">
              <w:t>xpenditure</w:t>
            </w:r>
          </w:p>
        </w:tc>
        <w:tc>
          <w:tcPr>
            <w:tcW w:w="1440" w:type="dxa"/>
          </w:tcPr>
          <w:p w14:paraId="1219B6B6" w14:textId="33283FDC" w:rsidR="007254A9" w:rsidRPr="005904AB" w:rsidRDefault="00914482" w:rsidP="00944749">
            <w:r>
              <w:t>76</w:t>
            </w:r>
          </w:p>
        </w:tc>
      </w:tr>
      <w:tr w:rsidR="00B30FE4" w:rsidRPr="005904AB" w14:paraId="3D0411E4" w14:textId="77777777" w:rsidTr="00944749">
        <w:tc>
          <w:tcPr>
            <w:tcW w:w="2088" w:type="dxa"/>
          </w:tcPr>
          <w:p w14:paraId="0371524C" w14:textId="37115478" w:rsidR="00B30FE4" w:rsidRPr="005904AB" w:rsidRDefault="00B30FE4" w:rsidP="00944749">
            <w:r w:rsidRPr="005904AB">
              <w:t xml:space="preserve">FRD </w:t>
            </w:r>
            <w:r>
              <w:t>22</w:t>
            </w:r>
            <w:r w:rsidR="00705AC2">
              <w:t>G</w:t>
            </w:r>
          </w:p>
        </w:tc>
        <w:tc>
          <w:tcPr>
            <w:tcW w:w="5400" w:type="dxa"/>
          </w:tcPr>
          <w:p w14:paraId="2D6EF265" w14:textId="77777777" w:rsidR="00B30FE4" w:rsidRPr="005904AB" w:rsidRDefault="00B30FE4" w:rsidP="00944749">
            <w:r w:rsidRPr="005904AB">
              <w:t>Statement of availability of other information</w:t>
            </w:r>
          </w:p>
        </w:tc>
        <w:tc>
          <w:tcPr>
            <w:tcW w:w="1440" w:type="dxa"/>
          </w:tcPr>
          <w:p w14:paraId="1455DCCB" w14:textId="479E0D3F" w:rsidR="00B30FE4" w:rsidRPr="005904AB" w:rsidRDefault="00914482" w:rsidP="00944749">
            <w:r>
              <w:t>70</w:t>
            </w:r>
          </w:p>
        </w:tc>
      </w:tr>
      <w:tr w:rsidR="00B30FE4" w:rsidRPr="005904AB" w14:paraId="3AB04713" w14:textId="77777777" w:rsidTr="00944749">
        <w:tc>
          <w:tcPr>
            <w:tcW w:w="2088" w:type="dxa"/>
          </w:tcPr>
          <w:p w14:paraId="602F2FDE" w14:textId="77777777" w:rsidR="00B30FE4" w:rsidRPr="005904AB" w:rsidRDefault="00B30FE4" w:rsidP="00944749">
            <w:r>
              <w:t>FRD 25B</w:t>
            </w:r>
          </w:p>
        </w:tc>
        <w:tc>
          <w:tcPr>
            <w:tcW w:w="5400" w:type="dxa"/>
          </w:tcPr>
          <w:p w14:paraId="0D4C41E6" w14:textId="77777777" w:rsidR="00B30FE4" w:rsidRPr="005904AB" w:rsidRDefault="00B30FE4" w:rsidP="00944749">
            <w:r>
              <w:t>Victorian Industry Participation Policy disclosures</w:t>
            </w:r>
          </w:p>
        </w:tc>
        <w:tc>
          <w:tcPr>
            <w:tcW w:w="1440" w:type="dxa"/>
          </w:tcPr>
          <w:p w14:paraId="4188DDC3" w14:textId="390936A0" w:rsidR="00B30FE4" w:rsidRPr="005904AB" w:rsidRDefault="006B0EC0" w:rsidP="00944749">
            <w:r>
              <w:t>71</w:t>
            </w:r>
          </w:p>
        </w:tc>
      </w:tr>
      <w:tr w:rsidR="00B30FE4" w:rsidRPr="005904AB" w14:paraId="7D2ACF5A" w14:textId="77777777" w:rsidTr="00944749">
        <w:tc>
          <w:tcPr>
            <w:tcW w:w="2088" w:type="dxa"/>
          </w:tcPr>
          <w:p w14:paraId="17A37773" w14:textId="2EE2552A" w:rsidR="00B30FE4" w:rsidRPr="005904AB" w:rsidRDefault="00B30FE4" w:rsidP="00944749">
            <w:r w:rsidRPr="005904AB">
              <w:t xml:space="preserve">FRD </w:t>
            </w:r>
            <w:r>
              <w:t>22</w:t>
            </w:r>
            <w:r w:rsidR="00705AC2">
              <w:t>G</w:t>
            </w:r>
          </w:p>
        </w:tc>
        <w:tc>
          <w:tcPr>
            <w:tcW w:w="5400" w:type="dxa"/>
          </w:tcPr>
          <w:p w14:paraId="752A3E8E" w14:textId="77777777" w:rsidR="00B30FE4" w:rsidRPr="005904AB" w:rsidRDefault="00B30FE4" w:rsidP="00944749">
            <w:r w:rsidRPr="005904AB">
              <w:t>Statement of workforce data</w:t>
            </w:r>
            <w:r>
              <w:t>,</w:t>
            </w:r>
            <w:r w:rsidRPr="005904AB">
              <w:t xml:space="preserve"> and merit and equity</w:t>
            </w:r>
          </w:p>
        </w:tc>
        <w:tc>
          <w:tcPr>
            <w:tcW w:w="1440" w:type="dxa"/>
          </w:tcPr>
          <w:p w14:paraId="70AECE3C" w14:textId="67F16655" w:rsidR="00B30FE4" w:rsidRPr="005904AB" w:rsidRDefault="006B0EC0" w:rsidP="00944749">
            <w:r>
              <w:t>31-33, 73</w:t>
            </w:r>
          </w:p>
        </w:tc>
      </w:tr>
      <w:tr w:rsidR="00B30FE4" w:rsidRPr="005904AB" w14:paraId="6238D3C8" w14:textId="77777777" w:rsidTr="00944749">
        <w:tc>
          <w:tcPr>
            <w:tcW w:w="2088" w:type="dxa"/>
          </w:tcPr>
          <w:p w14:paraId="6E619DC3" w14:textId="77777777" w:rsidR="00B30FE4" w:rsidRDefault="00B30FE4" w:rsidP="00944749">
            <w:r>
              <w:t>SD 4.5.5</w:t>
            </w:r>
          </w:p>
        </w:tc>
        <w:tc>
          <w:tcPr>
            <w:tcW w:w="5400" w:type="dxa"/>
          </w:tcPr>
          <w:p w14:paraId="31EE3B99" w14:textId="77777777" w:rsidR="00B30FE4" w:rsidRDefault="00B30FE4" w:rsidP="00944749">
            <w:r>
              <w:t>Risk management compliance attestation</w:t>
            </w:r>
          </w:p>
        </w:tc>
        <w:tc>
          <w:tcPr>
            <w:tcW w:w="1440" w:type="dxa"/>
          </w:tcPr>
          <w:p w14:paraId="1B713CDE" w14:textId="78381777" w:rsidR="00B30FE4" w:rsidRPr="005904AB" w:rsidRDefault="006B0EC0" w:rsidP="00944749">
            <w:r>
              <w:t>71</w:t>
            </w:r>
          </w:p>
        </w:tc>
      </w:tr>
      <w:tr w:rsidR="00B30FE4" w:rsidRPr="005904AB" w14:paraId="24E520F2" w14:textId="77777777" w:rsidTr="00944749">
        <w:tc>
          <w:tcPr>
            <w:tcW w:w="2088" w:type="dxa"/>
          </w:tcPr>
          <w:p w14:paraId="39219645" w14:textId="77777777" w:rsidR="00B30FE4" w:rsidRDefault="00B30FE4" w:rsidP="00944749">
            <w:r>
              <w:t>SD 4.2(g)</w:t>
            </w:r>
          </w:p>
        </w:tc>
        <w:tc>
          <w:tcPr>
            <w:tcW w:w="5400" w:type="dxa"/>
          </w:tcPr>
          <w:p w14:paraId="588E9D25" w14:textId="7A1714FE" w:rsidR="00B30FE4" w:rsidRDefault="00B30FE4" w:rsidP="00944749">
            <w:r>
              <w:t xml:space="preserve">Specific </w:t>
            </w:r>
            <w:r w:rsidR="006F4C30">
              <w:t>i</w:t>
            </w:r>
            <w:r>
              <w:t xml:space="preserve">nformation </w:t>
            </w:r>
            <w:r w:rsidR="006F4C30">
              <w:t>r</w:t>
            </w:r>
            <w:r>
              <w:t>equirements</w:t>
            </w:r>
          </w:p>
        </w:tc>
        <w:tc>
          <w:tcPr>
            <w:tcW w:w="1440" w:type="dxa"/>
          </w:tcPr>
          <w:p w14:paraId="722F8A9A" w14:textId="37A7E014" w:rsidR="00B30FE4" w:rsidRPr="005904AB" w:rsidRDefault="00FB2B4A" w:rsidP="00944749">
            <w:r>
              <w:t>4-33</w:t>
            </w:r>
          </w:p>
        </w:tc>
      </w:tr>
      <w:tr w:rsidR="00B30FE4" w:rsidRPr="005904AB" w14:paraId="0C30B84D" w14:textId="77777777" w:rsidTr="00944749">
        <w:tc>
          <w:tcPr>
            <w:tcW w:w="2088" w:type="dxa"/>
          </w:tcPr>
          <w:p w14:paraId="052DA614" w14:textId="77777777" w:rsidR="00B30FE4" w:rsidRDefault="00B30FE4" w:rsidP="00944749">
            <w:r>
              <w:t>SD 4.2(j)</w:t>
            </w:r>
          </w:p>
        </w:tc>
        <w:tc>
          <w:tcPr>
            <w:tcW w:w="5400" w:type="dxa"/>
          </w:tcPr>
          <w:p w14:paraId="43490FA7" w14:textId="77777777" w:rsidR="00B30FE4" w:rsidRDefault="00B30FE4" w:rsidP="00944749">
            <w:r>
              <w:t>Sign-off requirements</w:t>
            </w:r>
          </w:p>
        </w:tc>
        <w:tc>
          <w:tcPr>
            <w:tcW w:w="1440" w:type="dxa"/>
          </w:tcPr>
          <w:p w14:paraId="64EA50F5" w14:textId="1DA44ADF" w:rsidR="00B30FE4" w:rsidRPr="005904AB" w:rsidRDefault="00671CAA" w:rsidP="00944749">
            <w:r>
              <w:t>34</w:t>
            </w:r>
          </w:p>
        </w:tc>
      </w:tr>
      <w:tr w:rsidR="00B30FE4" w:rsidRPr="005904AB" w14:paraId="5C01C63E" w14:textId="77777777" w:rsidTr="00944749">
        <w:tc>
          <w:tcPr>
            <w:tcW w:w="8928" w:type="dxa"/>
            <w:gridSpan w:val="3"/>
          </w:tcPr>
          <w:p w14:paraId="441B07A9" w14:textId="77777777" w:rsidR="00B30FE4" w:rsidRPr="005904AB" w:rsidRDefault="00B30FE4" w:rsidP="00944749"/>
        </w:tc>
      </w:tr>
      <w:tr w:rsidR="00B30FE4" w:rsidRPr="005904AB" w14:paraId="0C574AB1" w14:textId="77777777" w:rsidTr="00944749">
        <w:trPr>
          <w:trHeight w:val="375"/>
        </w:trPr>
        <w:tc>
          <w:tcPr>
            <w:tcW w:w="7488" w:type="dxa"/>
            <w:gridSpan w:val="2"/>
          </w:tcPr>
          <w:p w14:paraId="4B1F2F49" w14:textId="77777777" w:rsidR="00B30FE4" w:rsidRPr="005904AB" w:rsidRDefault="00B30FE4" w:rsidP="00944749">
            <w:r w:rsidRPr="005904AB">
              <w:t>Financial Statements</w:t>
            </w:r>
          </w:p>
        </w:tc>
        <w:tc>
          <w:tcPr>
            <w:tcW w:w="1440" w:type="dxa"/>
          </w:tcPr>
          <w:p w14:paraId="0665D98B" w14:textId="77777777" w:rsidR="00B30FE4" w:rsidRPr="005904AB" w:rsidRDefault="00B30FE4" w:rsidP="00944749"/>
        </w:tc>
      </w:tr>
      <w:tr w:rsidR="00B30FE4" w:rsidRPr="005904AB" w14:paraId="25BA740F" w14:textId="77777777" w:rsidTr="00944749">
        <w:tc>
          <w:tcPr>
            <w:tcW w:w="8928" w:type="dxa"/>
            <w:gridSpan w:val="3"/>
          </w:tcPr>
          <w:p w14:paraId="0BD92DB0" w14:textId="77777777" w:rsidR="00B30FE4" w:rsidRPr="005904AB" w:rsidRDefault="00B30FE4" w:rsidP="00944749"/>
        </w:tc>
      </w:tr>
      <w:tr w:rsidR="00B30FE4" w:rsidRPr="005904AB" w14:paraId="457E26D2" w14:textId="77777777" w:rsidTr="00944749">
        <w:tc>
          <w:tcPr>
            <w:tcW w:w="2088" w:type="dxa"/>
          </w:tcPr>
          <w:p w14:paraId="7D0322FC" w14:textId="77777777" w:rsidR="00B30FE4" w:rsidRPr="005904AB" w:rsidRDefault="00B30FE4" w:rsidP="00944749">
            <w:r>
              <w:t>SD 4.2(a)</w:t>
            </w:r>
          </w:p>
        </w:tc>
        <w:tc>
          <w:tcPr>
            <w:tcW w:w="5400" w:type="dxa"/>
          </w:tcPr>
          <w:p w14:paraId="7C621EF2" w14:textId="77777777" w:rsidR="00B30FE4" w:rsidRDefault="00B30FE4" w:rsidP="00944749">
            <w:r>
              <w:t>Statement of changes in equity</w:t>
            </w:r>
          </w:p>
        </w:tc>
        <w:tc>
          <w:tcPr>
            <w:tcW w:w="1440" w:type="dxa"/>
          </w:tcPr>
          <w:p w14:paraId="5B4A1E6D" w14:textId="59DFC4C8" w:rsidR="00B30FE4" w:rsidRPr="005904AB" w:rsidRDefault="00671CAA" w:rsidP="00944749">
            <w:r>
              <w:t>37</w:t>
            </w:r>
          </w:p>
        </w:tc>
      </w:tr>
      <w:tr w:rsidR="00B30FE4" w:rsidRPr="005904AB" w14:paraId="7EA70CBD" w14:textId="77777777" w:rsidTr="00944749">
        <w:tc>
          <w:tcPr>
            <w:tcW w:w="2088" w:type="dxa"/>
          </w:tcPr>
          <w:p w14:paraId="13A41D5C" w14:textId="77777777" w:rsidR="00B30FE4" w:rsidRPr="005904AB" w:rsidRDefault="00B30FE4" w:rsidP="00944749">
            <w:r w:rsidRPr="005904AB">
              <w:t>SD 4.2(b)</w:t>
            </w:r>
          </w:p>
        </w:tc>
        <w:tc>
          <w:tcPr>
            <w:tcW w:w="5400" w:type="dxa"/>
          </w:tcPr>
          <w:p w14:paraId="1A070873" w14:textId="77777777" w:rsidR="00B30FE4" w:rsidRPr="005904AB" w:rsidRDefault="00B30FE4" w:rsidP="00944749">
            <w:r w:rsidRPr="005904AB">
              <w:t>Operating statement</w:t>
            </w:r>
          </w:p>
        </w:tc>
        <w:tc>
          <w:tcPr>
            <w:tcW w:w="1440" w:type="dxa"/>
          </w:tcPr>
          <w:p w14:paraId="1ADBD5D5" w14:textId="2936BBA1" w:rsidR="00B30FE4" w:rsidRPr="005904AB" w:rsidRDefault="00671CAA" w:rsidP="00944749">
            <w:r>
              <w:t>35</w:t>
            </w:r>
          </w:p>
        </w:tc>
      </w:tr>
      <w:tr w:rsidR="00B30FE4" w:rsidRPr="005904AB" w14:paraId="7919D4BC" w14:textId="77777777" w:rsidTr="00944749">
        <w:tc>
          <w:tcPr>
            <w:tcW w:w="2088" w:type="dxa"/>
          </w:tcPr>
          <w:p w14:paraId="69A0AFFC" w14:textId="77777777" w:rsidR="00B30FE4" w:rsidRPr="005904AB" w:rsidRDefault="00B30FE4" w:rsidP="00944749">
            <w:r w:rsidRPr="005904AB">
              <w:t>SD 4.2(b)</w:t>
            </w:r>
          </w:p>
        </w:tc>
        <w:tc>
          <w:tcPr>
            <w:tcW w:w="5400" w:type="dxa"/>
          </w:tcPr>
          <w:p w14:paraId="548C442B" w14:textId="77777777" w:rsidR="00B30FE4" w:rsidRPr="005904AB" w:rsidRDefault="00B30FE4" w:rsidP="00944749">
            <w:r w:rsidRPr="005904AB">
              <w:t>Balance sheet</w:t>
            </w:r>
          </w:p>
        </w:tc>
        <w:tc>
          <w:tcPr>
            <w:tcW w:w="1440" w:type="dxa"/>
          </w:tcPr>
          <w:p w14:paraId="241FF57F" w14:textId="1BBB71DA" w:rsidR="00B30FE4" w:rsidRPr="005904AB" w:rsidRDefault="00671CAA" w:rsidP="00944749">
            <w:r>
              <w:t>36</w:t>
            </w:r>
          </w:p>
        </w:tc>
      </w:tr>
      <w:tr w:rsidR="00B30FE4" w:rsidRPr="005904AB" w14:paraId="49AC3A90" w14:textId="77777777" w:rsidTr="00944749">
        <w:tc>
          <w:tcPr>
            <w:tcW w:w="2088" w:type="dxa"/>
          </w:tcPr>
          <w:p w14:paraId="6F033B10" w14:textId="77777777" w:rsidR="00B30FE4" w:rsidRPr="005904AB" w:rsidRDefault="00B30FE4" w:rsidP="00944749">
            <w:r w:rsidRPr="005904AB">
              <w:t>SD 4.2(b)</w:t>
            </w:r>
          </w:p>
        </w:tc>
        <w:tc>
          <w:tcPr>
            <w:tcW w:w="5400" w:type="dxa"/>
          </w:tcPr>
          <w:p w14:paraId="69FDBDEF" w14:textId="77777777" w:rsidR="00B30FE4" w:rsidRPr="005904AB" w:rsidRDefault="00B30FE4" w:rsidP="00944749">
            <w:r>
              <w:t>Cash flow statement</w:t>
            </w:r>
          </w:p>
        </w:tc>
        <w:tc>
          <w:tcPr>
            <w:tcW w:w="1440" w:type="dxa"/>
          </w:tcPr>
          <w:p w14:paraId="466C7408" w14:textId="5702D4B1" w:rsidR="00B30FE4" w:rsidRPr="005904AB" w:rsidRDefault="00671CAA" w:rsidP="00944749">
            <w:r>
              <w:t>38</w:t>
            </w:r>
          </w:p>
        </w:tc>
      </w:tr>
      <w:tr w:rsidR="00B30FE4" w:rsidRPr="005904AB" w14:paraId="48184F22" w14:textId="77777777" w:rsidTr="00944749">
        <w:tc>
          <w:tcPr>
            <w:tcW w:w="2088" w:type="dxa"/>
          </w:tcPr>
          <w:p w14:paraId="6F4F701D" w14:textId="77777777" w:rsidR="00B30FE4" w:rsidRDefault="00B30FE4" w:rsidP="00944749"/>
          <w:p w14:paraId="558D0584" w14:textId="77777777" w:rsidR="00B30FE4" w:rsidRPr="005904AB" w:rsidRDefault="00B30FE4" w:rsidP="00944749">
            <w:r w:rsidRPr="005904AB">
              <w:t>SD 4.2(c)</w:t>
            </w:r>
          </w:p>
        </w:tc>
        <w:tc>
          <w:tcPr>
            <w:tcW w:w="5400" w:type="dxa"/>
          </w:tcPr>
          <w:p w14:paraId="1E1971E5" w14:textId="77777777" w:rsidR="00B30FE4" w:rsidRDefault="00B30FE4" w:rsidP="00944749"/>
          <w:p w14:paraId="513328F8" w14:textId="77777777" w:rsidR="00B30FE4" w:rsidRPr="005904AB" w:rsidRDefault="00B30FE4" w:rsidP="00944749">
            <w:r w:rsidRPr="005904AB">
              <w:t>Compliance with Australian accounting standards and other authoritative pronouncements</w:t>
            </w:r>
          </w:p>
        </w:tc>
        <w:tc>
          <w:tcPr>
            <w:tcW w:w="1440" w:type="dxa"/>
          </w:tcPr>
          <w:p w14:paraId="32B79693" w14:textId="6859044D" w:rsidR="00B30FE4" w:rsidRPr="005904AB" w:rsidRDefault="00671CAA" w:rsidP="00944749">
            <w:r>
              <w:t>39</w:t>
            </w:r>
          </w:p>
        </w:tc>
      </w:tr>
      <w:tr w:rsidR="00B30FE4" w:rsidRPr="005904AB" w14:paraId="103721FC" w14:textId="77777777" w:rsidTr="00944749">
        <w:tc>
          <w:tcPr>
            <w:tcW w:w="2088" w:type="dxa"/>
          </w:tcPr>
          <w:p w14:paraId="67A09B00" w14:textId="77777777" w:rsidR="00B30FE4" w:rsidRPr="005904AB" w:rsidRDefault="00B30FE4" w:rsidP="00944749">
            <w:r w:rsidRPr="005904AB">
              <w:t>SD 4.2(c)</w:t>
            </w:r>
          </w:p>
        </w:tc>
        <w:tc>
          <w:tcPr>
            <w:tcW w:w="5400" w:type="dxa"/>
          </w:tcPr>
          <w:p w14:paraId="17672C10" w14:textId="77777777" w:rsidR="00B30FE4" w:rsidRPr="005904AB" w:rsidRDefault="00B30FE4" w:rsidP="00944749">
            <w:r w:rsidRPr="005904AB">
              <w:t>Compliance with ministerial directions</w:t>
            </w:r>
          </w:p>
        </w:tc>
        <w:tc>
          <w:tcPr>
            <w:tcW w:w="1440" w:type="dxa"/>
          </w:tcPr>
          <w:p w14:paraId="6C122C37" w14:textId="66B29CB5" w:rsidR="00B30FE4" w:rsidRPr="005904AB" w:rsidRDefault="00671CAA" w:rsidP="00944749">
            <w:r>
              <w:t>39</w:t>
            </w:r>
          </w:p>
        </w:tc>
      </w:tr>
      <w:tr w:rsidR="00B30FE4" w:rsidRPr="005904AB" w14:paraId="7E43FBE1" w14:textId="77777777" w:rsidTr="00944749">
        <w:tc>
          <w:tcPr>
            <w:tcW w:w="2088" w:type="dxa"/>
          </w:tcPr>
          <w:p w14:paraId="2E1F7885" w14:textId="77777777" w:rsidR="00B30FE4" w:rsidRPr="005904AB" w:rsidRDefault="00B30FE4" w:rsidP="00944749">
            <w:r w:rsidRPr="005904AB">
              <w:t>SD 4.2(d)</w:t>
            </w:r>
          </w:p>
        </w:tc>
        <w:tc>
          <w:tcPr>
            <w:tcW w:w="5400" w:type="dxa"/>
          </w:tcPr>
          <w:p w14:paraId="085F5418" w14:textId="77777777" w:rsidR="00B30FE4" w:rsidRPr="005904AB" w:rsidRDefault="00B30FE4" w:rsidP="00944749">
            <w:r w:rsidRPr="005904AB">
              <w:t>Rounding of amounts</w:t>
            </w:r>
          </w:p>
        </w:tc>
        <w:tc>
          <w:tcPr>
            <w:tcW w:w="1440" w:type="dxa"/>
          </w:tcPr>
          <w:p w14:paraId="4C29E506" w14:textId="357A4506" w:rsidR="00B30FE4" w:rsidRPr="005904AB" w:rsidRDefault="00671CAA" w:rsidP="00944749">
            <w:r>
              <w:t>44</w:t>
            </w:r>
          </w:p>
        </w:tc>
      </w:tr>
      <w:tr w:rsidR="00B30FE4" w:rsidRPr="005904AB" w14:paraId="56457D2D" w14:textId="77777777" w:rsidTr="00944749">
        <w:tc>
          <w:tcPr>
            <w:tcW w:w="2088" w:type="dxa"/>
          </w:tcPr>
          <w:p w14:paraId="1122EBBD" w14:textId="77777777" w:rsidR="00B30FE4" w:rsidRPr="005904AB" w:rsidRDefault="00B30FE4" w:rsidP="00944749">
            <w:r w:rsidRPr="005904AB">
              <w:t>SD 4.2(c)</w:t>
            </w:r>
          </w:p>
        </w:tc>
        <w:tc>
          <w:tcPr>
            <w:tcW w:w="5400" w:type="dxa"/>
          </w:tcPr>
          <w:p w14:paraId="03BA7506" w14:textId="77777777" w:rsidR="00B30FE4" w:rsidRPr="005904AB" w:rsidRDefault="00B30FE4" w:rsidP="00944749">
            <w:r w:rsidRPr="005904AB">
              <w:t>Accountable officer’s declaration</w:t>
            </w:r>
          </w:p>
        </w:tc>
        <w:tc>
          <w:tcPr>
            <w:tcW w:w="1440" w:type="dxa"/>
          </w:tcPr>
          <w:p w14:paraId="232825F9" w14:textId="4C1F99D5" w:rsidR="00B30FE4" w:rsidRPr="005904AB" w:rsidRDefault="001F7378" w:rsidP="00944749">
            <w:r>
              <w:t>34</w:t>
            </w:r>
          </w:p>
        </w:tc>
      </w:tr>
      <w:tr w:rsidR="00B30FE4" w:rsidRPr="005904AB" w14:paraId="1EB33494" w14:textId="77777777" w:rsidTr="00944749">
        <w:tc>
          <w:tcPr>
            <w:tcW w:w="8928" w:type="dxa"/>
            <w:gridSpan w:val="3"/>
          </w:tcPr>
          <w:p w14:paraId="02EB79FB" w14:textId="77777777" w:rsidR="00B30FE4" w:rsidRPr="005904AB" w:rsidRDefault="00B30FE4" w:rsidP="00944749"/>
        </w:tc>
      </w:tr>
      <w:tr w:rsidR="00B30FE4" w:rsidRPr="005904AB" w14:paraId="5A64CB7F" w14:textId="77777777" w:rsidTr="00944749">
        <w:tc>
          <w:tcPr>
            <w:tcW w:w="8928" w:type="dxa"/>
            <w:gridSpan w:val="3"/>
          </w:tcPr>
          <w:p w14:paraId="5BF4D38E" w14:textId="495738F8" w:rsidR="00B30FE4" w:rsidRPr="005904AB" w:rsidRDefault="00B30FE4" w:rsidP="00944749">
            <w:r w:rsidRPr="005904AB">
              <w:t xml:space="preserve">Other </w:t>
            </w:r>
            <w:r w:rsidR="006F4C30">
              <w:t>D</w:t>
            </w:r>
            <w:r w:rsidRPr="005904AB">
              <w:t xml:space="preserve">isclosures in </w:t>
            </w:r>
            <w:r w:rsidR="006F4C30">
              <w:t>N</w:t>
            </w:r>
            <w:r w:rsidRPr="005904AB">
              <w:t xml:space="preserve">otes to the </w:t>
            </w:r>
            <w:r w:rsidR="006F4C30">
              <w:t>F</w:t>
            </w:r>
            <w:r w:rsidRPr="005904AB">
              <w:t xml:space="preserve">inancial </w:t>
            </w:r>
            <w:r w:rsidR="006F4C30">
              <w:t>S</w:t>
            </w:r>
            <w:r w:rsidRPr="005904AB">
              <w:t>tatements</w:t>
            </w:r>
          </w:p>
        </w:tc>
      </w:tr>
      <w:tr w:rsidR="00B30FE4" w:rsidRPr="005904AB" w14:paraId="184E96B0" w14:textId="77777777" w:rsidTr="00944749">
        <w:tc>
          <w:tcPr>
            <w:tcW w:w="2088" w:type="dxa"/>
          </w:tcPr>
          <w:p w14:paraId="0F504515" w14:textId="443B55A2" w:rsidR="00B30FE4" w:rsidRDefault="00B30FE4" w:rsidP="00944749">
            <w:r>
              <w:t>FRD 10</w:t>
            </w:r>
            <w:r w:rsidR="00705AC2">
              <w:t>A</w:t>
            </w:r>
          </w:p>
        </w:tc>
        <w:tc>
          <w:tcPr>
            <w:tcW w:w="5400" w:type="dxa"/>
          </w:tcPr>
          <w:p w14:paraId="1576F13A" w14:textId="32314CA6" w:rsidR="00B30FE4" w:rsidRDefault="00B30FE4" w:rsidP="00944749">
            <w:r>
              <w:t xml:space="preserve">Disclosure </w:t>
            </w:r>
            <w:r w:rsidR="0034608F">
              <w:t>i</w:t>
            </w:r>
            <w:r>
              <w:t>ndex</w:t>
            </w:r>
          </w:p>
        </w:tc>
        <w:tc>
          <w:tcPr>
            <w:tcW w:w="1440" w:type="dxa"/>
          </w:tcPr>
          <w:p w14:paraId="0F10F333" w14:textId="0510A99F" w:rsidR="00B30FE4" w:rsidRPr="005904AB" w:rsidRDefault="00977B39" w:rsidP="00944749">
            <w:r>
              <w:t>77-78</w:t>
            </w:r>
          </w:p>
        </w:tc>
      </w:tr>
      <w:tr w:rsidR="00B30FE4" w:rsidRPr="005904AB" w14:paraId="3360238F" w14:textId="77777777" w:rsidTr="00944749">
        <w:tc>
          <w:tcPr>
            <w:tcW w:w="2088" w:type="dxa"/>
          </w:tcPr>
          <w:p w14:paraId="19F7A965" w14:textId="77777777" w:rsidR="00B30FE4" w:rsidRPr="0038143B" w:rsidRDefault="00B30FE4" w:rsidP="00944749">
            <w:r w:rsidRPr="0038143B">
              <w:t>FRD 21</w:t>
            </w:r>
            <w:r>
              <w:t>B</w:t>
            </w:r>
          </w:p>
        </w:tc>
        <w:tc>
          <w:tcPr>
            <w:tcW w:w="5400" w:type="dxa"/>
          </w:tcPr>
          <w:p w14:paraId="4D2A37CB" w14:textId="11A9CCD6" w:rsidR="00B30FE4" w:rsidRDefault="00B30FE4" w:rsidP="00944749">
            <w:pPr>
              <w:rPr>
                <w:b/>
              </w:rPr>
            </w:pPr>
            <w:r>
              <w:t>Disclosures of r</w:t>
            </w:r>
            <w:r w:rsidRPr="0038143B">
              <w:t xml:space="preserve">esponsible </w:t>
            </w:r>
            <w:r>
              <w:t>p</w:t>
            </w:r>
            <w:r w:rsidRPr="0038143B">
              <w:t>erson</w:t>
            </w:r>
            <w:r>
              <w:t>s,</w:t>
            </w:r>
            <w:r w:rsidRPr="0038143B">
              <w:t xml:space="preserve"> </w:t>
            </w:r>
            <w:r>
              <w:t>e</w:t>
            </w:r>
            <w:r w:rsidRPr="0038143B">
              <w:t xml:space="preserve">xecutive </w:t>
            </w:r>
            <w:r>
              <w:t>o</w:t>
            </w:r>
            <w:r w:rsidRPr="0038143B">
              <w:t>fficer</w:t>
            </w:r>
            <w:r>
              <w:t xml:space="preserve">s and other personnel (contractors with significant management responsibilities) in the </w:t>
            </w:r>
            <w:r w:rsidR="0034608F">
              <w:t>f</w:t>
            </w:r>
            <w:r>
              <w:t xml:space="preserve">inancial </w:t>
            </w:r>
            <w:r w:rsidR="0034608F">
              <w:t>r</w:t>
            </w:r>
            <w:r>
              <w:t>eport</w:t>
            </w:r>
          </w:p>
        </w:tc>
        <w:tc>
          <w:tcPr>
            <w:tcW w:w="1440" w:type="dxa"/>
          </w:tcPr>
          <w:p w14:paraId="67AB581C" w14:textId="5B4309DA" w:rsidR="00B30FE4" w:rsidRPr="005904AB" w:rsidRDefault="00977B39" w:rsidP="00944749">
            <w:r>
              <w:t>57-58</w:t>
            </w:r>
          </w:p>
        </w:tc>
      </w:tr>
      <w:tr w:rsidR="00B30FE4" w:rsidRPr="005904AB" w14:paraId="63B6F891" w14:textId="77777777" w:rsidTr="00944749">
        <w:tc>
          <w:tcPr>
            <w:tcW w:w="2088" w:type="dxa"/>
          </w:tcPr>
          <w:p w14:paraId="0A40E252" w14:textId="77777777" w:rsidR="00B30FE4" w:rsidRPr="0038143B" w:rsidRDefault="00B30FE4" w:rsidP="00944749">
            <w:r>
              <w:t>FRD 102</w:t>
            </w:r>
          </w:p>
        </w:tc>
        <w:tc>
          <w:tcPr>
            <w:tcW w:w="5400" w:type="dxa"/>
          </w:tcPr>
          <w:p w14:paraId="76370E32" w14:textId="77777777" w:rsidR="00B30FE4" w:rsidRDefault="00B30FE4" w:rsidP="00944749">
            <w:r>
              <w:t>Inventories</w:t>
            </w:r>
          </w:p>
        </w:tc>
        <w:tc>
          <w:tcPr>
            <w:tcW w:w="1440" w:type="dxa"/>
          </w:tcPr>
          <w:p w14:paraId="39288D06" w14:textId="1067038C" w:rsidR="00B30FE4" w:rsidRPr="005904AB" w:rsidRDefault="00977B39" w:rsidP="00944749">
            <w:r>
              <w:t>36</w:t>
            </w:r>
          </w:p>
        </w:tc>
      </w:tr>
      <w:tr w:rsidR="00B30FE4" w:rsidRPr="005904AB" w14:paraId="1A447270" w14:textId="77777777" w:rsidTr="00944749">
        <w:tc>
          <w:tcPr>
            <w:tcW w:w="2088" w:type="dxa"/>
          </w:tcPr>
          <w:p w14:paraId="7D6AC743" w14:textId="3BE9F05E" w:rsidR="00B30FE4" w:rsidRPr="0038143B" w:rsidRDefault="00B30FE4" w:rsidP="00944749">
            <w:r>
              <w:t>FRD 103</w:t>
            </w:r>
            <w:r w:rsidR="00705AC2">
              <w:t>F</w:t>
            </w:r>
          </w:p>
        </w:tc>
        <w:tc>
          <w:tcPr>
            <w:tcW w:w="5400" w:type="dxa"/>
          </w:tcPr>
          <w:p w14:paraId="046B4776" w14:textId="77777777" w:rsidR="00B30FE4" w:rsidRDefault="00B30FE4" w:rsidP="00944749">
            <w:pPr>
              <w:rPr>
                <w:b/>
              </w:rPr>
            </w:pPr>
            <w:r>
              <w:t>Non-current physical assets</w:t>
            </w:r>
          </w:p>
        </w:tc>
        <w:tc>
          <w:tcPr>
            <w:tcW w:w="1440" w:type="dxa"/>
          </w:tcPr>
          <w:p w14:paraId="22A11F8F" w14:textId="16C9E3A6" w:rsidR="00B30FE4" w:rsidRPr="005904AB" w:rsidRDefault="00BF7077" w:rsidP="00944749">
            <w:r>
              <w:t>48-53</w:t>
            </w:r>
          </w:p>
        </w:tc>
      </w:tr>
      <w:tr w:rsidR="00B30FE4" w:rsidRPr="005904AB" w14:paraId="6A2F78B0" w14:textId="77777777" w:rsidTr="00944749">
        <w:tc>
          <w:tcPr>
            <w:tcW w:w="2088" w:type="dxa"/>
          </w:tcPr>
          <w:p w14:paraId="4EE70316" w14:textId="5DCE9861" w:rsidR="00B30FE4" w:rsidRPr="0038143B" w:rsidRDefault="00B30FE4" w:rsidP="00944749">
            <w:r>
              <w:t>FRD 106</w:t>
            </w:r>
            <w:r w:rsidR="00705AC2">
              <w:t>A</w:t>
            </w:r>
          </w:p>
        </w:tc>
        <w:tc>
          <w:tcPr>
            <w:tcW w:w="5400" w:type="dxa"/>
          </w:tcPr>
          <w:p w14:paraId="0F6E3903" w14:textId="77777777" w:rsidR="00B30FE4" w:rsidRDefault="00B30FE4" w:rsidP="00944749">
            <w:pPr>
              <w:rPr>
                <w:b/>
              </w:rPr>
            </w:pPr>
            <w:r>
              <w:t>Impairment of assets</w:t>
            </w:r>
          </w:p>
        </w:tc>
        <w:tc>
          <w:tcPr>
            <w:tcW w:w="1440" w:type="dxa"/>
          </w:tcPr>
          <w:p w14:paraId="128DEFA6" w14:textId="72B25FC8" w:rsidR="00B30FE4" w:rsidRPr="005904AB" w:rsidRDefault="00BF7077" w:rsidP="00944749">
            <w:r>
              <w:t>42</w:t>
            </w:r>
          </w:p>
        </w:tc>
      </w:tr>
      <w:tr w:rsidR="00B30FE4" w:rsidRPr="005904AB" w14:paraId="108AC12C" w14:textId="77777777" w:rsidTr="00944749">
        <w:tc>
          <w:tcPr>
            <w:tcW w:w="2088" w:type="dxa"/>
          </w:tcPr>
          <w:p w14:paraId="3A35D96B" w14:textId="0BF3B872" w:rsidR="00B30FE4" w:rsidRDefault="00B30FE4" w:rsidP="00944749">
            <w:r>
              <w:t>FRD 109</w:t>
            </w:r>
            <w:r w:rsidR="00705AC2">
              <w:t>A</w:t>
            </w:r>
          </w:p>
        </w:tc>
        <w:tc>
          <w:tcPr>
            <w:tcW w:w="5400" w:type="dxa"/>
          </w:tcPr>
          <w:p w14:paraId="3EE2C3C6" w14:textId="77777777" w:rsidR="00B30FE4" w:rsidRDefault="00B30FE4" w:rsidP="00944749">
            <w:r>
              <w:t>Intangible assets</w:t>
            </w:r>
          </w:p>
        </w:tc>
        <w:tc>
          <w:tcPr>
            <w:tcW w:w="1440" w:type="dxa"/>
          </w:tcPr>
          <w:p w14:paraId="1C7D5DF8" w14:textId="4E3A6311" w:rsidR="00B30FE4" w:rsidRPr="005904AB" w:rsidRDefault="00BF7077" w:rsidP="00944749">
            <w:r>
              <w:t>40</w:t>
            </w:r>
          </w:p>
        </w:tc>
      </w:tr>
      <w:tr w:rsidR="00B30FE4" w:rsidRPr="005904AB" w14:paraId="66D5B1E2" w14:textId="77777777" w:rsidTr="00944749">
        <w:tc>
          <w:tcPr>
            <w:tcW w:w="2088" w:type="dxa"/>
          </w:tcPr>
          <w:p w14:paraId="362172CD" w14:textId="0E3E0C45" w:rsidR="00B30FE4" w:rsidRDefault="00B30FE4" w:rsidP="00944749">
            <w:r>
              <w:t>FRD 110</w:t>
            </w:r>
            <w:r w:rsidR="00705AC2">
              <w:t>A</w:t>
            </w:r>
          </w:p>
        </w:tc>
        <w:tc>
          <w:tcPr>
            <w:tcW w:w="5400" w:type="dxa"/>
          </w:tcPr>
          <w:p w14:paraId="3C3DF6B1" w14:textId="77777777" w:rsidR="00B30FE4" w:rsidRDefault="00B30FE4" w:rsidP="00944749">
            <w:r>
              <w:t>Cash flow statements</w:t>
            </w:r>
          </w:p>
        </w:tc>
        <w:tc>
          <w:tcPr>
            <w:tcW w:w="1440" w:type="dxa"/>
          </w:tcPr>
          <w:p w14:paraId="302DC46F" w14:textId="4DF0696C" w:rsidR="00B30FE4" w:rsidRPr="005904AB" w:rsidRDefault="003C4B4F" w:rsidP="00944749">
            <w:r>
              <w:t>38</w:t>
            </w:r>
          </w:p>
        </w:tc>
      </w:tr>
      <w:tr w:rsidR="00B30FE4" w:rsidRPr="005904AB" w14:paraId="315D607A" w14:textId="77777777" w:rsidTr="00944749">
        <w:tc>
          <w:tcPr>
            <w:tcW w:w="2088" w:type="dxa"/>
          </w:tcPr>
          <w:p w14:paraId="2F1629F5" w14:textId="77777777" w:rsidR="00B30FE4" w:rsidRPr="005904AB" w:rsidRDefault="00B30FE4" w:rsidP="00944749">
            <w:r>
              <w:t>FRD 112D</w:t>
            </w:r>
          </w:p>
        </w:tc>
        <w:tc>
          <w:tcPr>
            <w:tcW w:w="5400" w:type="dxa"/>
          </w:tcPr>
          <w:p w14:paraId="00546357" w14:textId="77777777" w:rsidR="00B30FE4" w:rsidRDefault="00B30FE4" w:rsidP="00944749">
            <w:r>
              <w:t>Defined benefit superannuation obligations</w:t>
            </w:r>
          </w:p>
        </w:tc>
        <w:tc>
          <w:tcPr>
            <w:tcW w:w="1440" w:type="dxa"/>
          </w:tcPr>
          <w:p w14:paraId="4073B116" w14:textId="6F3A461A" w:rsidR="00B30FE4" w:rsidRPr="005904AB" w:rsidRDefault="003B71AA" w:rsidP="00944749">
            <w:r>
              <w:t>59</w:t>
            </w:r>
          </w:p>
        </w:tc>
      </w:tr>
      <w:tr w:rsidR="00B30FE4" w:rsidRPr="005904AB" w14:paraId="6540CB1E" w14:textId="77777777" w:rsidTr="00944749">
        <w:tc>
          <w:tcPr>
            <w:tcW w:w="2088" w:type="dxa"/>
          </w:tcPr>
          <w:p w14:paraId="664AF51F" w14:textId="18B72443" w:rsidR="00B30FE4" w:rsidRPr="005904AB" w:rsidRDefault="00B30FE4" w:rsidP="00944749">
            <w:r>
              <w:t>FRD 114</w:t>
            </w:r>
            <w:r w:rsidR="00705AC2">
              <w:t>B</w:t>
            </w:r>
          </w:p>
        </w:tc>
        <w:tc>
          <w:tcPr>
            <w:tcW w:w="5400" w:type="dxa"/>
          </w:tcPr>
          <w:p w14:paraId="64AA8711" w14:textId="77777777" w:rsidR="00B30FE4" w:rsidRDefault="00B30FE4" w:rsidP="00944749">
            <w:r>
              <w:t>Financial instruments – general government entities and public non-financial corporations</w:t>
            </w:r>
          </w:p>
        </w:tc>
        <w:tc>
          <w:tcPr>
            <w:tcW w:w="1440" w:type="dxa"/>
          </w:tcPr>
          <w:p w14:paraId="7D0C8B16" w14:textId="75C28A5A" w:rsidR="00B30FE4" w:rsidRPr="005904AB" w:rsidRDefault="003C4B4F" w:rsidP="00944749">
            <w:r>
              <w:t>61-65</w:t>
            </w:r>
          </w:p>
        </w:tc>
      </w:tr>
      <w:tr w:rsidR="00B30FE4" w:rsidRPr="005904AB" w14:paraId="0B333090" w14:textId="77777777" w:rsidTr="00944749">
        <w:tc>
          <w:tcPr>
            <w:tcW w:w="2088" w:type="dxa"/>
          </w:tcPr>
          <w:p w14:paraId="01BD2F1F" w14:textId="77777777" w:rsidR="00B30FE4" w:rsidRPr="005904AB" w:rsidRDefault="00B30FE4" w:rsidP="00944749">
            <w:r>
              <w:t>FRD 119A</w:t>
            </w:r>
          </w:p>
        </w:tc>
        <w:tc>
          <w:tcPr>
            <w:tcW w:w="5400" w:type="dxa"/>
          </w:tcPr>
          <w:p w14:paraId="51C556FB" w14:textId="77777777" w:rsidR="00B30FE4" w:rsidRDefault="00B30FE4" w:rsidP="00944749">
            <w:r>
              <w:t>Transfers through contributed capital</w:t>
            </w:r>
          </w:p>
        </w:tc>
        <w:tc>
          <w:tcPr>
            <w:tcW w:w="1440" w:type="dxa"/>
          </w:tcPr>
          <w:p w14:paraId="1AA6C729" w14:textId="06D010D1" w:rsidR="00B30FE4" w:rsidRPr="005904AB" w:rsidRDefault="00F47860" w:rsidP="00944749">
            <w:r>
              <w:t>44</w:t>
            </w:r>
          </w:p>
        </w:tc>
      </w:tr>
      <w:tr w:rsidR="00B30FE4" w:rsidRPr="005904AB" w14:paraId="71624238" w14:textId="77777777" w:rsidTr="00944749">
        <w:tc>
          <w:tcPr>
            <w:tcW w:w="8928" w:type="dxa"/>
            <w:gridSpan w:val="3"/>
          </w:tcPr>
          <w:p w14:paraId="45DAAE6C" w14:textId="77777777" w:rsidR="00B30FE4" w:rsidRPr="005904AB" w:rsidRDefault="00B30FE4" w:rsidP="00944749"/>
        </w:tc>
      </w:tr>
      <w:tr w:rsidR="00B30FE4" w:rsidRPr="005904AB" w14:paraId="398D777D" w14:textId="77777777" w:rsidTr="00944749">
        <w:tc>
          <w:tcPr>
            <w:tcW w:w="7488" w:type="dxa"/>
            <w:gridSpan w:val="2"/>
          </w:tcPr>
          <w:p w14:paraId="61934824" w14:textId="77777777" w:rsidR="00B30FE4" w:rsidRPr="005904AB" w:rsidRDefault="00B30FE4" w:rsidP="00944749">
            <w:pPr>
              <w:rPr>
                <w:i/>
                <w:sz w:val="20"/>
              </w:rPr>
            </w:pPr>
            <w:r w:rsidRPr="005904AB">
              <w:t>Legislation</w:t>
            </w:r>
          </w:p>
        </w:tc>
        <w:tc>
          <w:tcPr>
            <w:tcW w:w="1440" w:type="dxa"/>
          </w:tcPr>
          <w:p w14:paraId="6A437933" w14:textId="77777777" w:rsidR="00B30FE4" w:rsidRPr="005904AB" w:rsidRDefault="00B30FE4" w:rsidP="00944749">
            <w:r w:rsidRPr="005904AB">
              <w:t>Page</w:t>
            </w:r>
          </w:p>
        </w:tc>
      </w:tr>
      <w:tr w:rsidR="00B30FE4" w:rsidRPr="005904AB" w14:paraId="2BF12798" w14:textId="77777777" w:rsidTr="00944749">
        <w:tc>
          <w:tcPr>
            <w:tcW w:w="7488" w:type="dxa"/>
            <w:gridSpan w:val="2"/>
          </w:tcPr>
          <w:p w14:paraId="032DC7B6" w14:textId="77777777" w:rsidR="00B30FE4" w:rsidRPr="006B27C3" w:rsidRDefault="00B30FE4" w:rsidP="00944749">
            <w:pPr>
              <w:rPr>
                <w:i/>
              </w:rPr>
            </w:pPr>
            <w:r w:rsidRPr="00955493">
              <w:rPr>
                <w:i/>
              </w:rPr>
              <w:t>Freedom of Information Act 1982</w:t>
            </w:r>
          </w:p>
        </w:tc>
        <w:tc>
          <w:tcPr>
            <w:tcW w:w="1440" w:type="dxa"/>
          </w:tcPr>
          <w:p w14:paraId="0E5347AB" w14:textId="5AADA525" w:rsidR="00B30FE4" w:rsidRPr="005904AB" w:rsidRDefault="00F47860" w:rsidP="00944749">
            <w:r>
              <w:t>69</w:t>
            </w:r>
          </w:p>
        </w:tc>
      </w:tr>
      <w:tr w:rsidR="00B30FE4" w:rsidRPr="005904AB" w14:paraId="401BF15B" w14:textId="77777777" w:rsidTr="00944749">
        <w:tc>
          <w:tcPr>
            <w:tcW w:w="7488" w:type="dxa"/>
            <w:gridSpan w:val="2"/>
          </w:tcPr>
          <w:p w14:paraId="5D88ACBC" w14:textId="77777777" w:rsidR="00B30FE4" w:rsidRPr="006B27C3" w:rsidRDefault="00B30FE4" w:rsidP="00944749">
            <w:pPr>
              <w:rPr>
                <w:i/>
              </w:rPr>
            </w:pPr>
            <w:r w:rsidRPr="00955493">
              <w:rPr>
                <w:i/>
              </w:rPr>
              <w:t>Building Act 1993</w:t>
            </w:r>
          </w:p>
        </w:tc>
        <w:tc>
          <w:tcPr>
            <w:tcW w:w="1440" w:type="dxa"/>
          </w:tcPr>
          <w:p w14:paraId="5F57A32D" w14:textId="5531FF75" w:rsidR="00B30FE4" w:rsidRPr="005904AB" w:rsidRDefault="00F47860" w:rsidP="00944749">
            <w:r>
              <w:t>72</w:t>
            </w:r>
          </w:p>
        </w:tc>
      </w:tr>
      <w:tr w:rsidR="00B30FE4" w:rsidRPr="005904AB" w14:paraId="3514A400" w14:textId="77777777" w:rsidTr="00944749">
        <w:tc>
          <w:tcPr>
            <w:tcW w:w="7488" w:type="dxa"/>
            <w:gridSpan w:val="2"/>
          </w:tcPr>
          <w:p w14:paraId="0B06FB24" w14:textId="77777777" w:rsidR="00B30FE4" w:rsidRPr="006B27C3" w:rsidRDefault="00B30FE4" w:rsidP="00944749">
            <w:pPr>
              <w:rPr>
                <w:i/>
              </w:rPr>
            </w:pPr>
            <w:r>
              <w:rPr>
                <w:i/>
              </w:rPr>
              <w:t>Protected Disclosure Act 2012</w:t>
            </w:r>
          </w:p>
        </w:tc>
        <w:tc>
          <w:tcPr>
            <w:tcW w:w="1440" w:type="dxa"/>
          </w:tcPr>
          <w:p w14:paraId="25DD47B5" w14:textId="6C19DF14" w:rsidR="00B30FE4" w:rsidRPr="005904AB" w:rsidRDefault="00F47860" w:rsidP="00944749">
            <w:r>
              <w:t>73</w:t>
            </w:r>
          </w:p>
        </w:tc>
      </w:tr>
      <w:tr w:rsidR="00B30FE4" w:rsidRPr="005904AB" w14:paraId="27C78A84" w14:textId="77777777" w:rsidTr="00944749">
        <w:tc>
          <w:tcPr>
            <w:tcW w:w="7488" w:type="dxa"/>
            <w:gridSpan w:val="2"/>
          </w:tcPr>
          <w:p w14:paraId="73E46525" w14:textId="747DAF7F" w:rsidR="00B30FE4" w:rsidRPr="00955493" w:rsidRDefault="00B30FE4" w:rsidP="00944749">
            <w:pPr>
              <w:rPr>
                <w:i/>
              </w:rPr>
            </w:pPr>
            <w:r>
              <w:rPr>
                <w:i/>
              </w:rPr>
              <w:t>Carers Recognition Act 2012</w:t>
            </w:r>
          </w:p>
        </w:tc>
        <w:tc>
          <w:tcPr>
            <w:tcW w:w="1440" w:type="dxa"/>
          </w:tcPr>
          <w:p w14:paraId="1C0931C8" w14:textId="67CA3CCF" w:rsidR="00B30FE4" w:rsidRPr="005904AB" w:rsidRDefault="00F47860" w:rsidP="00944749">
            <w:r>
              <w:t>74</w:t>
            </w:r>
          </w:p>
        </w:tc>
      </w:tr>
      <w:tr w:rsidR="00B30FE4" w:rsidRPr="008D42FC" w14:paraId="5FE3D84E" w14:textId="77777777" w:rsidTr="00944749">
        <w:tc>
          <w:tcPr>
            <w:tcW w:w="7488" w:type="dxa"/>
            <w:gridSpan w:val="2"/>
          </w:tcPr>
          <w:p w14:paraId="2D19C105" w14:textId="77777777" w:rsidR="00B30FE4" w:rsidRPr="006B27C3" w:rsidRDefault="00B30FE4" w:rsidP="00944749">
            <w:pPr>
              <w:rPr>
                <w:i/>
              </w:rPr>
            </w:pPr>
            <w:r w:rsidRPr="00955493">
              <w:rPr>
                <w:i/>
              </w:rPr>
              <w:t>Disability Act 2006</w:t>
            </w:r>
          </w:p>
        </w:tc>
        <w:tc>
          <w:tcPr>
            <w:tcW w:w="1440" w:type="dxa"/>
          </w:tcPr>
          <w:p w14:paraId="500EB934" w14:textId="469941DA" w:rsidR="00B30FE4" w:rsidRPr="008D42FC" w:rsidRDefault="00B419A2" w:rsidP="00944749">
            <w:r>
              <w:t>70</w:t>
            </w:r>
          </w:p>
        </w:tc>
      </w:tr>
      <w:tr w:rsidR="00B30FE4" w:rsidRPr="008D42FC" w14:paraId="3231A067" w14:textId="77777777" w:rsidTr="00944749">
        <w:tc>
          <w:tcPr>
            <w:tcW w:w="7488" w:type="dxa"/>
            <w:gridSpan w:val="2"/>
          </w:tcPr>
          <w:p w14:paraId="42EE0F10" w14:textId="77777777" w:rsidR="00B30FE4" w:rsidRPr="00955493" w:rsidRDefault="00B30FE4" w:rsidP="00944749">
            <w:pPr>
              <w:rPr>
                <w:i/>
              </w:rPr>
            </w:pPr>
            <w:r>
              <w:rPr>
                <w:i/>
              </w:rPr>
              <w:t>Financial Management Act 1994</w:t>
            </w:r>
          </w:p>
        </w:tc>
        <w:tc>
          <w:tcPr>
            <w:tcW w:w="1440" w:type="dxa"/>
          </w:tcPr>
          <w:p w14:paraId="41C4B3C7" w14:textId="0C247335" w:rsidR="00B30FE4" w:rsidRPr="008D42FC" w:rsidRDefault="00B419A2" w:rsidP="00944749">
            <w:r>
              <w:t>34-67</w:t>
            </w:r>
          </w:p>
        </w:tc>
      </w:tr>
      <w:tr w:rsidR="00B30FE4" w:rsidRPr="008D42FC" w14:paraId="2997F893" w14:textId="77777777" w:rsidTr="00944749">
        <w:tc>
          <w:tcPr>
            <w:tcW w:w="7488" w:type="dxa"/>
            <w:gridSpan w:val="2"/>
          </w:tcPr>
          <w:p w14:paraId="34E3515B" w14:textId="77777777" w:rsidR="00B30FE4" w:rsidRDefault="00B30FE4" w:rsidP="00944749">
            <w:pPr>
              <w:rPr>
                <w:i/>
              </w:rPr>
            </w:pPr>
            <w:r>
              <w:rPr>
                <w:i/>
              </w:rPr>
              <w:t>Victorian Industry Participation Policy 2003</w:t>
            </w:r>
          </w:p>
        </w:tc>
        <w:tc>
          <w:tcPr>
            <w:tcW w:w="1440" w:type="dxa"/>
          </w:tcPr>
          <w:p w14:paraId="0FB4E3E8" w14:textId="1682C57E" w:rsidR="00B30FE4" w:rsidRPr="008D42FC" w:rsidRDefault="00BC7699" w:rsidP="00944749">
            <w:r>
              <w:t>71</w:t>
            </w:r>
          </w:p>
        </w:tc>
      </w:tr>
      <w:tr w:rsidR="00B30FE4" w:rsidRPr="008D42FC" w14:paraId="6A9F7FF3" w14:textId="77777777" w:rsidTr="00944749">
        <w:tc>
          <w:tcPr>
            <w:tcW w:w="7488" w:type="dxa"/>
            <w:gridSpan w:val="2"/>
            <w:tcBorders>
              <w:top w:val="single" w:sz="4" w:space="0" w:color="auto"/>
              <w:left w:val="single" w:sz="4" w:space="0" w:color="auto"/>
              <w:bottom w:val="single" w:sz="4" w:space="0" w:color="auto"/>
              <w:right w:val="single" w:sz="4" w:space="0" w:color="auto"/>
            </w:tcBorders>
          </w:tcPr>
          <w:p w14:paraId="4627E935" w14:textId="77777777" w:rsidR="00B30FE4" w:rsidRDefault="00B30FE4" w:rsidP="00944749">
            <w:pPr>
              <w:rPr>
                <w:i/>
              </w:rPr>
            </w:pPr>
            <w:r>
              <w:rPr>
                <w:i/>
              </w:rPr>
              <w:t>Public Administration Act 2004</w:t>
            </w:r>
          </w:p>
        </w:tc>
        <w:tc>
          <w:tcPr>
            <w:tcW w:w="1440" w:type="dxa"/>
            <w:tcBorders>
              <w:top w:val="single" w:sz="4" w:space="0" w:color="auto"/>
              <w:left w:val="single" w:sz="4" w:space="0" w:color="auto"/>
              <w:bottom w:val="single" w:sz="4" w:space="0" w:color="auto"/>
              <w:right w:val="single" w:sz="4" w:space="0" w:color="auto"/>
            </w:tcBorders>
          </w:tcPr>
          <w:p w14:paraId="042A6CE0" w14:textId="31DF274D" w:rsidR="00B30FE4" w:rsidRPr="008D42FC" w:rsidRDefault="00BC7699" w:rsidP="00944749">
            <w:r>
              <w:t>73</w:t>
            </w:r>
          </w:p>
        </w:tc>
      </w:tr>
    </w:tbl>
    <w:p w14:paraId="44A020D4" w14:textId="77777777" w:rsidR="00B43021" w:rsidRDefault="00B43021">
      <w:pPr>
        <w:sectPr w:rsidR="00B43021" w:rsidSect="00665EED">
          <w:pgSz w:w="11906" w:h="16838"/>
          <w:pgMar w:top="1440" w:right="1797" w:bottom="1440" w:left="1797" w:header="708" w:footer="708" w:gutter="0"/>
          <w:cols w:space="708"/>
          <w:docGrid w:linePitch="360"/>
        </w:sectPr>
      </w:pPr>
    </w:p>
    <w:p w14:paraId="107DD492" w14:textId="77777777" w:rsidR="00B30FE4" w:rsidRPr="00B30FE4" w:rsidRDefault="00B30FE4" w:rsidP="00B30FE4">
      <w:pPr>
        <w:rPr>
          <w:b/>
        </w:rPr>
      </w:pPr>
      <w:r w:rsidRPr="00B30FE4">
        <w:rPr>
          <w:b/>
        </w:rPr>
        <w:t>Website</w:t>
      </w:r>
    </w:p>
    <w:p w14:paraId="4650B00B" w14:textId="77777777" w:rsidR="00B30FE4" w:rsidRPr="00B30FE4" w:rsidRDefault="00B30FE4" w:rsidP="00B30FE4">
      <w:r w:rsidRPr="00B30FE4">
        <w:t xml:space="preserve">www.museumvictoria.com.au </w:t>
      </w:r>
    </w:p>
    <w:p w14:paraId="207E6905" w14:textId="77777777" w:rsidR="00B30FE4" w:rsidRPr="00B30FE4" w:rsidRDefault="00B30FE4" w:rsidP="00B30FE4"/>
    <w:p w14:paraId="2C8FA22F" w14:textId="77777777" w:rsidR="00B30FE4" w:rsidRPr="00B30FE4" w:rsidRDefault="00B30FE4" w:rsidP="00B30FE4">
      <w:pPr>
        <w:rPr>
          <w:b/>
        </w:rPr>
      </w:pPr>
      <w:r w:rsidRPr="00B30FE4">
        <w:rPr>
          <w:b/>
        </w:rPr>
        <w:t>Museum Victoria</w:t>
      </w:r>
    </w:p>
    <w:p w14:paraId="1D4DB5D9" w14:textId="77777777" w:rsidR="00B30FE4" w:rsidRPr="00B30FE4" w:rsidRDefault="00B30FE4" w:rsidP="00B30FE4">
      <w:r w:rsidRPr="00B30FE4">
        <w:t>GPO Box 666</w:t>
      </w:r>
    </w:p>
    <w:p w14:paraId="49461854" w14:textId="77777777" w:rsidR="00B30FE4" w:rsidRPr="00B30FE4" w:rsidRDefault="00B30FE4" w:rsidP="00B30FE4">
      <w:r w:rsidRPr="00B30FE4">
        <w:t>Melbourne 3001</w:t>
      </w:r>
    </w:p>
    <w:p w14:paraId="212027D5" w14:textId="77777777" w:rsidR="00B30FE4" w:rsidRPr="00B30FE4" w:rsidRDefault="00B30FE4" w:rsidP="00B30FE4">
      <w:r w:rsidRPr="00B30FE4">
        <w:t>Victoria, Australia</w:t>
      </w:r>
    </w:p>
    <w:p w14:paraId="69A4DDA2" w14:textId="77777777" w:rsidR="00B30FE4" w:rsidRPr="00B30FE4" w:rsidRDefault="00B30FE4" w:rsidP="00B30FE4">
      <w:r w:rsidRPr="00B30FE4">
        <w:t>Telephone: (+61 3) 8341 7777</w:t>
      </w:r>
    </w:p>
    <w:p w14:paraId="74D78616" w14:textId="77777777" w:rsidR="00B30FE4" w:rsidRPr="00B30FE4" w:rsidRDefault="00B30FE4" w:rsidP="00B30FE4">
      <w:r w:rsidRPr="00B30FE4">
        <w:t>Fax: (+61 3) 8341 7778</w:t>
      </w:r>
    </w:p>
    <w:p w14:paraId="0B3FEBF6" w14:textId="77777777" w:rsidR="00B30FE4" w:rsidRPr="00B30FE4" w:rsidRDefault="00B30FE4" w:rsidP="00B30FE4"/>
    <w:p w14:paraId="2E4BFA7C" w14:textId="77777777" w:rsidR="00B30FE4" w:rsidRPr="00B30FE4" w:rsidRDefault="00B30FE4" w:rsidP="00B30FE4">
      <w:pPr>
        <w:rPr>
          <w:b/>
        </w:rPr>
      </w:pPr>
      <w:r w:rsidRPr="00B30FE4">
        <w:rPr>
          <w:b/>
        </w:rPr>
        <w:t>Immigration Museum</w:t>
      </w:r>
    </w:p>
    <w:p w14:paraId="33D530C7" w14:textId="77777777" w:rsidR="00B30FE4" w:rsidRPr="00B30FE4" w:rsidRDefault="00B30FE4" w:rsidP="00B30FE4">
      <w:r w:rsidRPr="00B30FE4">
        <w:t>Old Customs House</w:t>
      </w:r>
    </w:p>
    <w:p w14:paraId="14BD11F2" w14:textId="77777777" w:rsidR="00B30FE4" w:rsidRPr="00B30FE4" w:rsidRDefault="00B30FE4" w:rsidP="00B30FE4">
      <w:r w:rsidRPr="00B30FE4">
        <w:t>400 Flinders Street</w:t>
      </w:r>
    </w:p>
    <w:p w14:paraId="3466279D" w14:textId="77777777" w:rsidR="00B30FE4" w:rsidRPr="00B30FE4" w:rsidRDefault="00B30FE4" w:rsidP="00B30FE4">
      <w:r w:rsidRPr="00B30FE4">
        <w:t>Melbourne 3000</w:t>
      </w:r>
    </w:p>
    <w:p w14:paraId="4E0A7C70" w14:textId="77777777" w:rsidR="00B30FE4" w:rsidRPr="00B30FE4" w:rsidRDefault="00B30FE4" w:rsidP="00B30FE4">
      <w:r w:rsidRPr="00B30FE4">
        <w:t>Victoria, Australia</w:t>
      </w:r>
    </w:p>
    <w:p w14:paraId="0354BCB1" w14:textId="77777777" w:rsidR="00B30FE4" w:rsidRPr="00B30FE4" w:rsidRDefault="00B30FE4" w:rsidP="00B30FE4">
      <w:r w:rsidRPr="00B30FE4">
        <w:t>Telephone: (+61 3) 9927 2700</w:t>
      </w:r>
    </w:p>
    <w:p w14:paraId="64D78A45" w14:textId="77777777" w:rsidR="00B30FE4" w:rsidRPr="00B30FE4" w:rsidRDefault="00B30FE4" w:rsidP="00B30FE4">
      <w:r w:rsidRPr="00B30FE4">
        <w:t>Fax: (+61 3) 9927 2728</w:t>
      </w:r>
    </w:p>
    <w:p w14:paraId="3BE06D35" w14:textId="77777777" w:rsidR="00B30FE4" w:rsidRPr="00B30FE4" w:rsidRDefault="00B30FE4" w:rsidP="00B30FE4"/>
    <w:p w14:paraId="2BCA6990" w14:textId="77777777" w:rsidR="00B30FE4" w:rsidRPr="00B30FE4" w:rsidRDefault="00B30FE4" w:rsidP="00B30FE4">
      <w:pPr>
        <w:rPr>
          <w:b/>
        </w:rPr>
      </w:pPr>
      <w:r w:rsidRPr="00B30FE4">
        <w:rPr>
          <w:b/>
        </w:rPr>
        <w:t>Scienceworks Museum</w:t>
      </w:r>
    </w:p>
    <w:p w14:paraId="0F4094F4" w14:textId="77777777" w:rsidR="00B30FE4" w:rsidRPr="00B30FE4" w:rsidRDefault="00B30FE4" w:rsidP="00B30FE4">
      <w:r w:rsidRPr="00B30FE4">
        <w:t>2 Booker Street</w:t>
      </w:r>
    </w:p>
    <w:p w14:paraId="3B9F0DBD" w14:textId="77777777" w:rsidR="00B30FE4" w:rsidRPr="00B30FE4" w:rsidRDefault="00B30FE4" w:rsidP="00B30FE4">
      <w:r w:rsidRPr="00B30FE4">
        <w:t>Spotswood 3015</w:t>
      </w:r>
    </w:p>
    <w:p w14:paraId="5FDECEDF" w14:textId="77777777" w:rsidR="00B30FE4" w:rsidRPr="00B30FE4" w:rsidRDefault="00B30FE4" w:rsidP="00B30FE4">
      <w:r w:rsidRPr="00B30FE4">
        <w:t>Victoria, Australia</w:t>
      </w:r>
    </w:p>
    <w:p w14:paraId="01B3183B" w14:textId="77777777" w:rsidR="00B30FE4" w:rsidRPr="00B30FE4" w:rsidRDefault="00B30FE4" w:rsidP="00B30FE4">
      <w:r w:rsidRPr="00B30FE4">
        <w:t>Telephone: (+61 3) 9392 4800</w:t>
      </w:r>
    </w:p>
    <w:p w14:paraId="4EB55365" w14:textId="77777777" w:rsidR="00B30FE4" w:rsidRPr="00B30FE4" w:rsidRDefault="00B30FE4" w:rsidP="00B30FE4">
      <w:r w:rsidRPr="00B30FE4">
        <w:t>Fax: (+61 3) 9391 0100</w:t>
      </w:r>
    </w:p>
    <w:p w14:paraId="1D4D19DF" w14:textId="7F9190CB" w:rsidR="00B30FE4" w:rsidRPr="00B30FE4" w:rsidDel="0034608F" w:rsidRDefault="00B30FE4" w:rsidP="00B30FE4"/>
    <w:p w14:paraId="31E631C4" w14:textId="0E6CC05F" w:rsidR="00B30FE4" w:rsidRPr="00B30FE4" w:rsidDel="0034608F" w:rsidRDefault="00B30FE4" w:rsidP="00B30FE4">
      <w:pPr>
        <w:rPr>
          <w:b/>
        </w:rPr>
      </w:pPr>
      <w:r w:rsidRPr="00B30FE4" w:rsidDel="0034608F">
        <w:rPr>
          <w:b/>
        </w:rPr>
        <w:t>Melbourne Museum</w:t>
      </w:r>
    </w:p>
    <w:p w14:paraId="670FF70E" w14:textId="7D1CC377" w:rsidR="00B30FE4" w:rsidRPr="00B30FE4" w:rsidDel="0034608F" w:rsidRDefault="00B30FE4" w:rsidP="00B30FE4">
      <w:r w:rsidRPr="00B30FE4" w:rsidDel="0034608F">
        <w:t>11 Nicholson Street</w:t>
      </w:r>
    </w:p>
    <w:p w14:paraId="6A85BF88" w14:textId="5383ACF5" w:rsidR="00B30FE4" w:rsidRPr="00B30FE4" w:rsidDel="0034608F" w:rsidRDefault="00B30FE4" w:rsidP="00B30FE4">
      <w:r w:rsidRPr="00B30FE4" w:rsidDel="0034608F">
        <w:t>Carlton 3053</w:t>
      </w:r>
    </w:p>
    <w:p w14:paraId="2811B061" w14:textId="7D8F0F3D" w:rsidR="00B30FE4" w:rsidRPr="00B30FE4" w:rsidDel="0034608F" w:rsidRDefault="00B30FE4" w:rsidP="00B30FE4">
      <w:r w:rsidRPr="00B30FE4" w:rsidDel="0034608F">
        <w:t>Victoria, Australia</w:t>
      </w:r>
    </w:p>
    <w:p w14:paraId="49A84943" w14:textId="74488800" w:rsidR="00B30FE4" w:rsidRPr="00B30FE4" w:rsidDel="0034608F" w:rsidRDefault="00B30FE4" w:rsidP="00B30FE4">
      <w:r w:rsidRPr="00B30FE4" w:rsidDel="0034608F">
        <w:t>Telephone: (+61 3) 8341 7777</w:t>
      </w:r>
    </w:p>
    <w:p w14:paraId="580F68E1" w14:textId="2B990220" w:rsidR="00B30FE4" w:rsidRPr="00B30FE4" w:rsidDel="0034608F" w:rsidRDefault="00B30FE4" w:rsidP="00B30FE4">
      <w:r w:rsidRPr="00B30FE4" w:rsidDel="0034608F">
        <w:t>Fax: (+61 3) 8341 7778</w:t>
      </w:r>
    </w:p>
    <w:p w14:paraId="62375BE6" w14:textId="77777777" w:rsidR="00B30FE4" w:rsidRPr="00B30FE4" w:rsidRDefault="00B30FE4" w:rsidP="00B30FE4"/>
    <w:p w14:paraId="00CD706F" w14:textId="735020D7" w:rsidR="00B30FE4" w:rsidRPr="00B30FE4" w:rsidRDefault="00F74873" w:rsidP="00B30FE4">
      <w:r>
        <w:t>ISSN 1835-369X</w:t>
      </w:r>
    </w:p>
    <w:p w14:paraId="645EF8B0" w14:textId="77777777" w:rsidR="00B30FE4" w:rsidRPr="00B30FE4" w:rsidRDefault="00B30FE4" w:rsidP="00B30FE4"/>
    <w:p w14:paraId="2A7751C8" w14:textId="3483405B" w:rsidR="00B30FE4" w:rsidRPr="00B30FE4" w:rsidRDefault="00B30FE4" w:rsidP="00B30FE4">
      <w:r w:rsidRPr="00B30FE4">
        <w:t xml:space="preserve">Environmental </w:t>
      </w:r>
      <w:r w:rsidR="0034608F">
        <w:t xml:space="preserve">and copyright </w:t>
      </w:r>
      <w:r w:rsidRPr="00B30FE4">
        <w:t>statement</w:t>
      </w:r>
      <w:r w:rsidR="0034608F">
        <w:t>s</w:t>
      </w:r>
    </w:p>
    <w:p w14:paraId="3E891C6E" w14:textId="77777777" w:rsidR="00B30FE4" w:rsidRPr="00B30FE4" w:rsidRDefault="00B30FE4" w:rsidP="00B30FE4"/>
    <w:p w14:paraId="2D147956" w14:textId="77777777" w:rsidR="00B30FE4" w:rsidRPr="00B30FE4" w:rsidRDefault="00B30FE4" w:rsidP="00B30FE4">
      <w:r w:rsidRPr="00B30FE4">
        <w:t>Logos:</w:t>
      </w:r>
    </w:p>
    <w:p w14:paraId="057F95C3" w14:textId="77777777" w:rsidR="00B30FE4" w:rsidRPr="00B30FE4" w:rsidRDefault="00B30FE4" w:rsidP="00B30FE4">
      <w:r w:rsidRPr="00B30FE4">
        <w:t>MV</w:t>
      </w:r>
    </w:p>
    <w:p w14:paraId="0AA11231" w14:textId="77777777" w:rsidR="00B30FE4" w:rsidRPr="00B30FE4" w:rsidRDefault="00B30FE4" w:rsidP="00B30FE4">
      <w:r w:rsidRPr="00B30FE4">
        <w:t>Vic Government</w:t>
      </w:r>
    </w:p>
    <w:p w14:paraId="196CB15E" w14:textId="77777777" w:rsidR="00B30FE4" w:rsidRDefault="00B30FE4"/>
    <w:sectPr w:rsidR="00B30FE4" w:rsidSect="00665EED">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FEC5" w14:textId="77777777" w:rsidR="00316BFD" w:rsidRDefault="00316BFD">
      <w:r>
        <w:separator/>
      </w:r>
    </w:p>
  </w:endnote>
  <w:endnote w:type="continuationSeparator" w:id="0">
    <w:p w14:paraId="4D07CD7A" w14:textId="77777777" w:rsidR="00316BFD" w:rsidRDefault="003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0225"/>
      <w:docPartObj>
        <w:docPartGallery w:val="Page Numbers (Bottom of Page)"/>
        <w:docPartUnique/>
      </w:docPartObj>
    </w:sdtPr>
    <w:sdtEndPr>
      <w:rPr>
        <w:noProof/>
      </w:rPr>
    </w:sdtEndPr>
    <w:sdtContent>
      <w:p w14:paraId="3C4F91CC" w14:textId="7C63FE8F" w:rsidR="0097090C" w:rsidRPr="00B31932" w:rsidRDefault="0097090C" w:rsidP="00B31932">
        <w:pPr>
          <w:pStyle w:val="Footer"/>
          <w:jc w:val="right"/>
        </w:pPr>
        <w:r>
          <w:fldChar w:fldCharType="begin"/>
        </w:r>
        <w:r>
          <w:instrText xml:space="preserve"> PAGE   \* MERGEFORMAT </w:instrText>
        </w:r>
        <w:r>
          <w:fldChar w:fldCharType="separate"/>
        </w:r>
        <w:r w:rsidR="00F301A1">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13893258"/>
      <w:docPartObj>
        <w:docPartGallery w:val="Page Numbers (Bottom of Page)"/>
        <w:docPartUnique/>
      </w:docPartObj>
    </w:sdtPr>
    <w:sdtEndPr/>
    <w:sdtContent>
      <w:sdt>
        <w:sdtPr>
          <w:rPr>
            <w:sz w:val="18"/>
            <w:szCs w:val="18"/>
          </w:rPr>
          <w:id w:val="-1398974252"/>
          <w:docPartObj>
            <w:docPartGallery w:val="Page Numbers (Top of Page)"/>
            <w:docPartUnique/>
          </w:docPartObj>
        </w:sdtPr>
        <w:sdtEndPr/>
        <w:sdtContent>
          <w:p w14:paraId="18A211B2" w14:textId="77777777" w:rsidR="0097090C" w:rsidRPr="00C161DC" w:rsidRDefault="0097090C">
            <w:pPr>
              <w:pStyle w:val="Footer"/>
              <w:jc w:val="right"/>
              <w:rPr>
                <w:sz w:val="18"/>
                <w:szCs w:val="18"/>
              </w:rPr>
            </w:pPr>
            <w:r w:rsidRPr="00C161DC">
              <w:rPr>
                <w:sz w:val="18"/>
                <w:szCs w:val="18"/>
              </w:rPr>
              <w:t xml:space="preserve">Page </w:t>
            </w:r>
            <w:r w:rsidRPr="00C161DC">
              <w:rPr>
                <w:bCs/>
                <w:sz w:val="18"/>
                <w:szCs w:val="18"/>
              </w:rPr>
              <w:fldChar w:fldCharType="begin"/>
            </w:r>
            <w:r w:rsidRPr="00C161DC">
              <w:rPr>
                <w:bCs/>
                <w:sz w:val="18"/>
                <w:szCs w:val="18"/>
              </w:rPr>
              <w:instrText xml:space="preserve"> PAGE </w:instrText>
            </w:r>
            <w:r w:rsidRPr="00C161DC">
              <w:rPr>
                <w:bCs/>
                <w:sz w:val="18"/>
                <w:szCs w:val="18"/>
              </w:rPr>
              <w:fldChar w:fldCharType="separate"/>
            </w:r>
            <w:r w:rsidR="00F301A1">
              <w:rPr>
                <w:bCs/>
                <w:noProof/>
                <w:sz w:val="18"/>
                <w:szCs w:val="18"/>
              </w:rPr>
              <w:t>39</w:t>
            </w:r>
            <w:r w:rsidRPr="00C161DC">
              <w:rPr>
                <w:bCs/>
                <w:sz w:val="18"/>
                <w:szCs w:val="18"/>
              </w:rPr>
              <w:fldChar w:fldCharType="end"/>
            </w:r>
            <w:r w:rsidRPr="00C161DC">
              <w:rPr>
                <w:sz w:val="18"/>
                <w:szCs w:val="18"/>
              </w:rPr>
              <w:t xml:space="preserve"> of </w:t>
            </w:r>
            <w:r w:rsidRPr="00C161DC">
              <w:rPr>
                <w:bCs/>
                <w:sz w:val="18"/>
                <w:szCs w:val="18"/>
              </w:rPr>
              <w:fldChar w:fldCharType="begin"/>
            </w:r>
            <w:r w:rsidRPr="00C161DC">
              <w:rPr>
                <w:bCs/>
                <w:sz w:val="18"/>
                <w:szCs w:val="18"/>
              </w:rPr>
              <w:instrText xml:space="preserve"> NUMPAGES  </w:instrText>
            </w:r>
            <w:r w:rsidRPr="00C161DC">
              <w:rPr>
                <w:bCs/>
                <w:sz w:val="18"/>
                <w:szCs w:val="18"/>
              </w:rPr>
              <w:fldChar w:fldCharType="separate"/>
            </w:r>
            <w:r w:rsidR="00F301A1">
              <w:rPr>
                <w:bCs/>
                <w:noProof/>
                <w:sz w:val="18"/>
                <w:szCs w:val="18"/>
              </w:rPr>
              <w:t>39</w:t>
            </w:r>
            <w:r w:rsidRPr="00C161DC">
              <w:rPr>
                <w:bCs/>
                <w:sz w:val="18"/>
                <w:szCs w:val="18"/>
              </w:rPr>
              <w:fldChar w:fldCharType="end"/>
            </w:r>
          </w:p>
        </w:sdtContent>
      </w:sdt>
    </w:sdtContent>
  </w:sdt>
  <w:p w14:paraId="1C8D9995" w14:textId="77777777" w:rsidR="0097090C" w:rsidRDefault="00970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2D69" w14:textId="77777777" w:rsidR="0097090C" w:rsidRPr="00E539F9" w:rsidRDefault="0097090C" w:rsidP="0097090C">
    <w:pPr>
      <w:pStyle w:val="Footer"/>
      <w:jc w:val="right"/>
      <w:rPr>
        <w:rFonts w:cs="Arial"/>
        <w:sz w:val="20"/>
        <w:szCs w:val="20"/>
      </w:rPr>
    </w:pPr>
    <w:r w:rsidRPr="00E539F9">
      <w:rPr>
        <w:rStyle w:val="PageNumber"/>
        <w:rFonts w:cs="Arial"/>
        <w:sz w:val="20"/>
        <w:szCs w:val="20"/>
      </w:rPr>
      <w:fldChar w:fldCharType="begin"/>
    </w:r>
    <w:r w:rsidRPr="00E539F9">
      <w:rPr>
        <w:rStyle w:val="PageNumber"/>
        <w:rFonts w:cs="Arial"/>
        <w:sz w:val="20"/>
        <w:szCs w:val="20"/>
      </w:rPr>
      <w:instrText xml:space="preserve"> PAGE </w:instrText>
    </w:r>
    <w:r w:rsidRPr="00E539F9">
      <w:rPr>
        <w:rStyle w:val="PageNumber"/>
        <w:rFonts w:cs="Arial"/>
        <w:sz w:val="20"/>
        <w:szCs w:val="20"/>
      </w:rPr>
      <w:fldChar w:fldCharType="separate"/>
    </w:r>
    <w:r w:rsidR="003D67A4">
      <w:rPr>
        <w:rStyle w:val="PageNumber"/>
        <w:rFonts w:cs="Arial"/>
        <w:noProof/>
        <w:sz w:val="20"/>
        <w:szCs w:val="20"/>
      </w:rPr>
      <w:t>79</w:t>
    </w:r>
    <w:r w:rsidRPr="00E539F9">
      <w:rPr>
        <w:rStyle w:val="PageNumbe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5558" w14:textId="77777777" w:rsidR="00316BFD" w:rsidRDefault="00316BFD">
      <w:r>
        <w:separator/>
      </w:r>
    </w:p>
  </w:footnote>
  <w:footnote w:type="continuationSeparator" w:id="0">
    <w:p w14:paraId="4DB30876" w14:textId="77777777" w:rsidR="00316BFD" w:rsidRDefault="0031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9BFD" w14:textId="77777777" w:rsidR="0097090C" w:rsidRDefault="0097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8C36" w14:textId="77777777" w:rsidR="0097090C" w:rsidRDefault="00970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FA9A" w14:textId="77777777" w:rsidR="0097090C" w:rsidRDefault="0097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0126"/>
    <w:multiLevelType w:val="hybridMultilevel"/>
    <w:tmpl w:val="6A3C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256E1"/>
    <w:multiLevelType w:val="hybridMultilevel"/>
    <w:tmpl w:val="5CE0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E580B"/>
    <w:multiLevelType w:val="hybridMultilevel"/>
    <w:tmpl w:val="4C1C4A74"/>
    <w:lvl w:ilvl="0" w:tplc="0C09000F">
      <w:start w:val="1"/>
      <w:numFmt w:val="decimal"/>
      <w:lvlText w:val="%1."/>
      <w:lvlJc w:val="left"/>
      <w:pPr>
        <w:tabs>
          <w:tab w:val="num" w:pos="720"/>
        </w:tabs>
        <w:ind w:left="720" w:hanging="360"/>
      </w:pPr>
      <w:rPr>
        <w:rFonts w:cs="Times New Roman"/>
      </w:rPr>
    </w:lvl>
    <w:lvl w:ilvl="1" w:tplc="A48897A8">
      <w:start w:val="15"/>
      <w:numFmt w:val="decimal"/>
      <w:lvlText w:val="%2"/>
      <w:lvlJc w:val="left"/>
      <w:pPr>
        <w:tabs>
          <w:tab w:val="num" w:pos="1440"/>
        </w:tabs>
        <w:ind w:left="1440" w:hanging="360"/>
      </w:pPr>
      <w:rPr>
        <w:rFonts w:cs="Times New Roman" w:hint="default"/>
      </w:rPr>
    </w:lvl>
    <w:lvl w:ilvl="2" w:tplc="D90AF366">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52E8A"/>
    <w:multiLevelType w:val="hybridMultilevel"/>
    <w:tmpl w:val="37E0E378"/>
    <w:lvl w:ilvl="0" w:tplc="D90AF36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000ED"/>
    <w:multiLevelType w:val="hybridMultilevel"/>
    <w:tmpl w:val="74E4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11D14"/>
    <w:multiLevelType w:val="hybridMultilevel"/>
    <w:tmpl w:val="7394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85E4A"/>
    <w:multiLevelType w:val="hybridMultilevel"/>
    <w:tmpl w:val="01E61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3407A0"/>
    <w:multiLevelType w:val="hybridMultilevel"/>
    <w:tmpl w:val="90FA3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24E6B"/>
    <w:multiLevelType w:val="multilevel"/>
    <w:tmpl w:val="A238C01E"/>
    <w:lvl w:ilvl="0">
      <w:start w:val="1"/>
      <w:numFmt w:val="lowerLetter"/>
      <w:lvlText w:val="(%1)"/>
      <w:lvlJc w:val="left"/>
      <w:pPr>
        <w:tabs>
          <w:tab w:val="num" w:pos="360"/>
        </w:tabs>
        <w:ind w:left="360" w:hanging="360"/>
      </w:pPr>
      <w:rPr>
        <w:rFonts w:ascii="Arial" w:hAnsi="Arial"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19825307"/>
    <w:multiLevelType w:val="hybridMultilevel"/>
    <w:tmpl w:val="99D4E4C6"/>
    <w:lvl w:ilvl="0" w:tplc="6BCCC8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1D648F"/>
    <w:multiLevelType w:val="hybridMultilevel"/>
    <w:tmpl w:val="04628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834E91"/>
    <w:multiLevelType w:val="hybridMultilevel"/>
    <w:tmpl w:val="9486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772AC"/>
    <w:multiLevelType w:val="hybridMultilevel"/>
    <w:tmpl w:val="0BEC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E33B9B"/>
    <w:multiLevelType w:val="hybridMultilevel"/>
    <w:tmpl w:val="CB925F3E"/>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5956CE"/>
    <w:multiLevelType w:val="hybridMultilevel"/>
    <w:tmpl w:val="E06A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049FC"/>
    <w:multiLevelType w:val="hybridMultilevel"/>
    <w:tmpl w:val="2F32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06B9B"/>
    <w:multiLevelType w:val="hybridMultilevel"/>
    <w:tmpl w:val="B0125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D07D0A"/>
    <w:multiLevelType w:val="hybridMultilevel"/>
    <w:tmpl w:val="40649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674ABD"/>
    <w:multiLevelType w:val="hybridMultilevel"/>
    <w:tmpl w:val="274AABFE"/>
    <w:lvl w:ilvl="0" w:tplc="904AF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C67C5C"/>
    <w:multiLevelType w:val="hybridMultilevel"/>
    <w:tmpl w:val="49D49CAE"/>
    <w:lvl w:ilvl="0" w:tplc="6C72D1D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70781"/>
    <w:multiLevelType w:val="hybridMultilevel"/>
    <w:tmpl w:val="0ADAB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09527F"/>
    <w:multiLevelType w:val="hybridMultilevel"/>
    <w:tmpl w:val="1006F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27E01"/>
    <w:multiLevelType w:val="hybridMultilevel"/>
    <w:tmpl w:val="7584A9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555C88"/>
    <w:multiLevelType w:val="hybridMultilevel"/>
    <w:tmpl w:val="1EAE5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F66180"/>
    <w:multiLevelType w:val="hybridMultilevel"/>
    <w:tmpl w:val="726E5A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093C06"/>
    <w:multiLevelType w:val="hybridMultilevel"/>
    <w:tmpl w:val="0BB6BF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2122F6"/>
    <w:multiLevelType w:val="hybridMultilevel"/>
    <w:tmpl w:val="EB8CE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83298F"/>
    <w:multiLevelType w:val="hybridMultilevel"/>
    <w:tmpl w:val="16F2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A418A0"/>
    <w:multiLevelType w:val="hybridMultilevel"/>
    <w:tmpl w:val="35A089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EA2055"/>
    <w:multiLevelType w:val="hybridMultilevel"/>
    <w:tmpl w:val="3F90ED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7E651A1"/>
    <w:multiLevelType w:val="hybridMultilevel"/>
    <w:tmpl w:val="8366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9859B7"/>
    <w:multiLevelType w:val="hybridMultilevel"/>
    <w:tmpl w:val="0BAA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7D2888"/>
    <w:multiLevelType w:val="hybridMultilevel"/>
    <w:tmpl w:val="36F8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175EEC"/>
    <w:multiLevelType w:val="hybridMultilevel"/>
    <w:tmpl w:val="E8C20A42"/>
    <w:lvl w:ilvl="0" w:tplc="CC94F88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4" w15:restartNumberingAfterBreak="0">
    <w:nsid w:val="6B376DCC"/>
    <w:multiLevelType w:val="hybridMultilevel"/>
    <w:tmpl w:val="2408B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8E5570"/>
    <w:multiLevelType w:val="hybridMultilevel"/>
    <w:tmpl w:val="CAE8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2D5F72"/>
    <w:multiLevelType w:val="hybridMultilevel"/>
    <w:tmpl w:val="F348D25C"/>
    <w:lvl w:ilvl="0" w:tplc="B9D0D914">
      <w:start w:val="1"/>
      <w:numFmt w:val="bullet"/>
      <w:pStyle w:val="Bullet"/>
      <w:lvlText w:val=""/>
      <w:lvlJc w:val="left"/>
      <w:pPr>
        <w:tabs>
          <w:tab w:val="num" w:pos="786"/>
        </w:tabs>
        <w:ind w:left="786"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DD707EE"/>
    <w:multiLevelType w:val="hybridMultilevel"/>
    <w:tmpl w:val="FA4A9FD0"/>
    <w:lvl w:ilvl="0" w:tplc="A1166A9A">
      <w:start w:val="1"/>
      <w:numFmt w:val="bullet"/>
      <w:pStyle w:val="Heading7"/>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E25C3C"/>
    <w:multiLevelType w:val="hybridMultilevel"/>
    <w:tmpl w:val="7B1EAF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31"/>
  </w:num>
  <w:num w:numId="5">
    <w:abstractNumId w:val="7"/>
  </w:num>
  <w:num w:numId="6">
    <w:abstractNumId w:val="14"/>
  </w:num>
  <w:num w:numId="7">
    <w:abstractNumId w:val="10"/>
  </w:num>
  <w:num w:numId="8">
    <w:abstractNumId w:val="21"/>
  </w:num>
  <w:num w:numId="9">
    <w:abstractNumId w:val="25"/>
  </w:num>
  <w:num w:numId="10">
    <w:abstractNumId w:val="5"/>
  </w:num>
  <w:num w:numId="11">
    <w:abstractNumId w:val="34"/>
  </w:num>
  <w:num w:numId="12">
    <w:abstractNumId w:val="20"/>
  </w:num>
  <w:num w:numId="13">
    <w:abstractNumId w:val="33"/>
  </w:num>
  <w:num w:numId="14">
    <w:abstractNumId w:val="36"/>
  </w:num>
  <w:num w:numId="15">
    <w:abstractNumId w:val="1"/>
  </w:num>
  <w:num w:numId="16">
    <w:abstractNumId w:val="0"/>
  </w:num>
  <w:num w:numId="17">
    <w:abstractNumId w:val="11"/>
  </w:num>
  <w:num w:numId="18">
    <w:abstractNumId w:val="15"/>
  </w:num>
  <w:num w:numId="19">
    <w:abstractNumId w:val="35"/>
  </w:num>
  <w:num w:numId="20">
    <w:abstractNumId w:val="5"/>
  </w:num>
  <w:num w:numId="21">
    <w:abstractNumId w:val="8"/>
  </w:num>
  <w:num w:numId="22">
    <w:abstractNumId w:val="2"/>
  </w:num>
  <w:num w:numId="23">
    <w:abstractNumId w:val="30"/>
  </w:num>
  <w:num w:numId="24">
    <w:abstractNumId w:val="32"/>
  </w:num>
  <w:num w:numId="25">
    <w:abstractNumId w:val="9"/>
  </w:num>
  <w:num w:numId="26">
    <w:abstractNumId w:val="28"/>
  </w:num>
  <w:num w:numId="27">
    <w:abstractNumId w:val="23"/>
  </w:num>
  <w:num w:numId="28">
    <w:abstractNumId w:val="18"/>
  </w:num>
  <w:num w:numId="29">
    <w:abstractNumId w:val="38"/>
  </w:num>
  <w:num w:numId="30">
    <w:abstractNumId w:val="24"/>
  </w:num>
  <w:num w:numId="31">
    <w:abstractNumId w:val="17"/>
  </w:num>
  <w:num w:numId="32">
    <w:abstractNumId w:val="13"/>
  </w:num>
  <w:num w:numId="33">
    <w:abstractNumId w:val="37"/>
  </w:num>
  <w:num w:numId="34">
    <w:abstractNumId w:val="22"/>
  </w:num>
  <w:num w:numId="35">
    <w:abstractNumId w:val="19"/>
  </w:num>
  <w:num w:numId="36">
    <w:abstractNumId w:val="3"/>
  </w:num>
  <w:num w:numId="37">
    <w:abstractNumId w:val="27"/>
  </w:num>
  <w:num w:numId="38">
    <w:abstractNumId w:val="29"/>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001D1A"/>
    <w:rsid w:val="0001293D"/>
    <w:rsid w:val="00015E7D"/>
    <w:rsid w:val="00016276"/>
    <w:rsid w:val="000256D7"/>
    <w:rsid w:val="00031FF5"/>
    <w:rsid w:val="00035754"/>
    <w:rsid w:val="00040976"/>
    <w:rsid w:val="000445BA"/>
    <w:rsid w:val="00054676"/>
    <w:rsid w:val="00057777"/>
    <w:rsid w:val="000617EF"/>
    <w:rsid w:val="000720D0"/>
    <w:rsid w:val="0007359D"/>
    <w:rsid w:val="00076444"/>
    <w:rsid w:val="00082032"/>
    <w:rsid w:val="000837B5"/>
    <w:rsid w:val="0008526F"/>
    <w:rsid w:val="00092458"/>
    <w:rsid w:val="000933E5"/>
    <w:rsid w:val="000B1B9D"/>
    <w:rsid w:val="000B2131"/>
    <w:rsid w:val="000B6248"/>
    <w:rsid w:val="000B7FA4"/>
    <w:rsid w:val="000C66F1"/>
    <w:rsid w:val="000D2F0F"/>
    <w:rsid w:val="000E2A9E"/>
    <w:rsid w:val="000E30B7"/>
    <w:rsid w:val="000F0215"/>
    <w:rsid w:val="0010399B"/>
    <w:rsid w:val="00105DED"/>
    <w:rsid w:val="00107D19"/>
    <w:rsid w:val="0011015F"/>
    <w:rsid w:val="00113E37"/>
    <w:rsid w:val="00116056"/>
    <w:rsid w:val="0011610C"/>
    <w:rsid w:val="0011677C"/>
    <w:rsid w:val="00117321"/>
    <w:rsid w:val="00117F83"/>
    <w:rsid w:val="00122804"/>
    <w:rsid w:val="001268E2"/>
    <w:rsid w:val="00130981"/>
    <w:rsid w:val="00136D74"/>
    <w:rsid w:val="001377E4"/>
    <w:rsid w:val="00145280"/>
    <w:rsid w:val="00147ECC"/>
    <w:rsid w:val="001506A4"/>
    <w:rsid w:val="00150C95"/>
    <w:rsid w:val="00153FF3"/>
    <w:rsid w:val="00157703"/>
    <w:rsid w:val="001579CD"/>
    <w:rsid w:val="001606ED"/>
    <w:rsid w:val="00165052"/>
    <w:rsid w:val="00165A1A"/>
    <w:rsid w:val="001727A5"/>
    <w:rsid w:val="0017394E"/>
    <w:rsid w:val="00175C66"/>
    <w:rsid w:val="001858B1"/>
    <w:rsid w:val="00194F50"/>
    <w:rsid w:val="001A05D2"/>
    <w:rsid w:val="001A0ADF"/>
    <w:rsid w:val="001B26BC"/>
    <w:rsid w:val="001B4B21"/>
    <w:rsid w:val="001C44B4"/>
    <w:rsid w:val="001C7B47"/>
    <w:rsid w:val="001F067A"/>
    <w:rsid w:val="001F1EC3"/>
    <w:rsid w:val="001F30FA"/>
    <w:rsid w:val="001F4BAE"/>
    <w:rsid w:val="001F56DC"/>
    <w:rsid w:val="001F6566"/>
    <w:rsid w:val="001F7378"/>
    <w:rsid w:val="0020116B"/>
    <w:rsid w:val="0020281A"/>
    <w:rsid w:val="002031AF"/>
    <w:rsid w:val="00204A35"/>
    <w:rsid w:val="0021095D"/>
    <w:rsid w:val="002110AB"/>
    <w:rsid w:val="002112B1"/>
    <w:rsid w:val="00214D8C"/>
    <w:rsid w:val="00215F05"/>
    <w:rsid w:val="00217A4E"/>
    <w:rsid w:val="002268CD"/>
    <w:rsid w:val="00230AD0"/>
    <w:rsid w:val="002324E6"/>
    <w:rsid w:val="00237D69"/>
    <w:rsid w:val="0024506E"/>
    <w:rsid w:val="00245DAD"/>
    <w:rsid w:val="00253BF8"/>
    <w:rsid w:val="00261104"/>
    <w:rsid w:val="002656A7"/>
    <w:rsid w:val="0027220D"/>
    <w:rsid w:val="00276963"/>
    <w:rsid w:val="00277FF8"/>
    <w:rsid w:val="00280AA6"/>
    <w:rsid w:val="002811F9"/>
    <w:rsid w:val="00281C70"/>
    <w:rsid w:val="0028517B"/>
    <w:rsid w:val="002A64FC"/>
    <w:rsid w:val="002C560F"/>
    <w:rsid w:val="002C698A"/>
    <w:rsid w:val="002D057A"/>
    <w:rsid w:val="002D726A"/>
    <w:rsid w:val="002E0907"/>
    <w:rsid w:val="002E7005"/>
    <w:rsid w:val="002F4874"/>
    <w:rsid w:val="003053DC"/>
    <w:rsid w:val="003060C2"/>
    <w:rsid w:val="00314E70"/>
    <w:rsid w:val="00316BFD"/>
    <w:rsid w:val="00321F23"/>
    <w:rsid w:val="00326A42"/>
    <w:rsid w:val="003306E1"/>
    <w:rsid w:val="0034453E"/>
    <w:rsid w:val="0034608F"/>
    <w:rsid w:val="00346273"/>
    <w:rsid w:val="003611EA"/>
    <w:rsid w:val="003707AE"/>
    <w:rsid w:val="00375180"/>
    <w:rsid w:val="0038325B"/>
    <w:rsid w:val="003857CD"/>
    <w:rsid w:val="00394621"/>
    <w:rsid w:val="00395810"/>
    <w:rsid w:val="003973D0"/>
    <w:rsid w:val="003B71AA"/>
    <w:rsid w:val="003C4B4F"/>
    <w:rsid w:val="003D5195"/>
    <w:rsid w:val="003D67A4"/>
    <w:rsid w:val="003D6B66"/>
    <w:rsid w:val="003E17C7"/>
    <w:rsid w:val="003E5B2D"/>
    <w:rsid w:val="003F49E5"/>
    <w:rsid w:val="003F6C72"/>
    <w:rsid w:val="003F6CE1"/>
    <w:rsid w:val="003F6D55"/>
    <w:rsid w:val="003F77AA"/>
    <w:rsid w:val="00412561"/>
    <w:rsid w:val="00414DC7"/>
    <w:rsid w:val="004211A0"/>
    <w:rsid w:val="00425FBA"/>
    <w:rsid w:val="00427B40"/>
    <w:rsid w:val="004348B0"/>
    <w:rsid w:val="00435076"/>
    <w:rsid w:val="00440373"/>
    <w:rsid w:val="00441E71"/>
    <w:rsid w:val="00451BC0"/>
    <w:rsid w:val="00467D5B"/>
    <w:rsid w:val="0047085F"/>
    <w:rsid w:val="004719E1"/>
    <w:rsid w:val="004754E1"/>
    <w:rsid w:val="00483AA1"/>
    <w:rsid w:val="00484A85"/>
    <w:rsid w:val="004927DC"/>
    <w:rsid w:val="004A1342"/>
    <w:rsid w:val="004A2C81"/>
    <w:rsid w:val="004B03D2"/>
    <w:rsid w:val="004C7F43"/>
    <w:rsid w:val="004D1BB6"/>
    <w:rsid w:val="004E7076"/>
    <w:rsid w:val="004E7764"/>
    <w:rsid w:val="004F207A"/>
    <w:rsid w:val="004F6727"/>
    <w:rsid w:val="004F688F"/>
    <w:rsid w:val="005130EF"/>
    <w:rsid w:val="00521C8E"/>
    <w:rsid w:val="005266BB"/>
    <w:rsid w:val="0053517C"/>
    <w:rsid w:val="0053553A"/>
    <w:rsid w:val="00541EB8"/>
    <w:rsid w:val="005440AC"/>
    <w:rsid w:val="005469FE"/>
    <w:rsid w:val="00550418"/>
    <w:rsid w:val="00555B70"/>
    <w:rsid w:val="00561CDC"/>
    <w:rsid w:val="00562AD2"/>
    <w:rsid w:val="00563A34"/>
    <w:rsid w:val="005664B1"/>
    <w:rsid w:val="00570DD8"/>
    <w:rsid w:val="005722A0"/>
    <w:rsid w:val="00573C15"/>
    <w:rsid w:val="00575FC2"/>
    <w:rsid w:val="005801C4"/>
    <w:rsid w:val="0058485A"/>
    <w:rsid w:val="0059648E"/>
    <w:rsid w:val="005A0736"/>
    <w:rsid w:val="005A0D86"/>
    <w:rsid w:val="005A4ABD"/>
    <w:rsid w:val="005C4F3C"/>
    <w:rsid w:val="005C550D"/>
    <w:rsid w:val="005F12EF"/>
    <w:rsid w:val="005F5C34"/>
    <w:rsid w:val="005F66F1"/>
    <w:rsid w:val="005F7DF7"/>
    <w:rsid w:val="00600ADC"/>
    <w:rsid w:val="00600B42"/>
    <w:rsid w:val="00601626"/>
    <w:rsid w:val="00622EEC"/>
    <w:rsid w:val="00623B17"/>
    <w:rsid w:val="00640EC3"/>
    <w:rsid w:val="0064290B"/>
    <w:rsid w:val="00643667"/>
    <w:rsid w:val="00652968"/>
    <w:rsid w:val="00656490"/>
    <w:rsid w:val="00661E92"/>
    <w:rsid w:val="00665EED"/>
    <w:rsid w:val="00671CAA"/>
    <w:rsid w:val="006767E0"/>
    <w:rsid w:val="006802BE"/>
    <w:rsid w:val="006818A1"/>
    <w:rsid w:val="006829A0"/>
    <w:rsid w:val="00684A44"/>
    <w:rsid w:val="006928E8"/>
    <w:rsid w:val="006B0EC0"/>
    <w:rsid w:val="006B296F"/>
    <w:rsid w:val="006B4E97"/>
    <w:rsid w:val="006B71EF"/>
    <w:rsid w:val="006C0536"/>
    <w:rsid w:val="006C3944"/>
    <w:rsid w:val="006D31BC"/>
    <w:rsid w:val="006D3B17"/>
    <w:rsid w:val="006D45F7"/>
    <w:rsid w:val="006E08BB"/>
    <w:rsid w:val="006E6249"/>
    <w:rsid w:val="006F4C30"/>
    <w:rsid w:val="006F733B"/>
    <w:rsid w:val="006F7F8C"/>
    <w:rsid w:val="00705AC2"/>
    <w:rsid w:val="0071076F"/>
    <w:rsid w:val="00714B6C"/>
    <w:rsid w:val="00724513"/>
    <w:rsid w:val="00724F96"/>
    <w:rsid w:val="007254A9"/>
    <w:rsid w:val="00727740"/>
    <w:rsid w:val="00732BD0"/>
    <w:rsid w:val="00737BB4"/>
    <w:rsid w:val="00744B08"/>
    <w:rsid w:val="007559FB"/>
    <w:rsid w:val="00760324"/>
    <w:rsid w:val="00762F99"/>
    <w:rsid w:val="007657D6"/>
    <w:rsid w:val="00771EC9"/>
    <w:rsid w:val="00776B0A"/>
    <w:rsid w:val="00777C06"/>
    <w:rsid w:val="0078098E"/>
    <w:rsid w:val="00791B87"/>
    <w:rsid w:val="00794AA1"/>
    <w:rsid w:val="00795150"/>
    <w:rsid w:val="007A26F3"/>
    <w:rsid w:val="007A770C"/>
    <w:rsid w:val="007B4A5B"/>
    <w:rsid w:val="007B52BE"/>
    <w:rsid w:val="007B7282"/>
    <w:rsid w:val="007D3AF6"/>
    <w:rsid w:val="007D693B"/>
    <w:rsid w:val="007E1465"/>
    <w:rsid w:val="007E3763"/>
    <w:rsid w:val="007E7C9C"/>
    <w:rsid w:val="007F353B"/>
    <w:rsid w:val="007F3A14"/>
    <w:rsid w:val="00800B9D"/>
    <w:rsid w:val="0080468F"/>
    <w:rsid w:val="0080594F"/>
    <w:rsid w:val="00807C6E"/>
    <w:rsid w:val="00810014"/>
    <w:rsid w:val="008124E4"/>
    <w:rsid w:val="008140BF"/>
    <w:rsid w:val="0083327A"/>
    <w:rsid w:val="00833AAE"/>
    <w:rsid w:val="00840D25"/>
    <w:rsid w:val="00842E05"/>
    <w:rsid w:val="0085529A"/>
    <w:rsid w:val="008554C7"/>
    <w:rsid w:val="00871E87"/>
    <w:rsid w:val="008755F4"/>
    <w:rsid w:val="008964B8"/>
    <w:rsid w:val="008A0F73"/>
    <w:rsid w:val="008B097D"/>
    <w:rsid w:val="008C38A9"/>
    <w:rsid w:val="008D5955"/>
    <w:rsid w:val="008E71BF"/>
    <w:rsid w:val="008F4EB1"/>
    <w:rsid w:val="00901325"/>
    <w:rsid w:val="00903D8A"/>
    <w:rsid w:val="0090792D"/>
    <w:rsid w:val="009105EC"/>
    <w:rsid w:val="00914482"/>
    <w:rsid w:val="0092253A"/>
    <w:rsid w:val="0092592D"/>
    <w:rsid w:val="0093099D"/>
    <w:rsid w:val="0093206F"/>
    <w:rsid w:val="00936284"/>
    <w:rsid w:val="0094180C"/>
    <w:rsid w:val="00944749"/>
    <w:rsid w:val="009468AB"/>
    <w:rsid w:val="00950A26"/>
    <w:rsid w:val="00950AF2"/>
    <w:rsid w:val="00951630"/>
    <w:rsid w:val="0095230A"/>
    <w:rsid w:val="00952554"/>
    <w:rsid w:val="00954936"/>
    <w:rsid w:val="00964CB9"/>
    <w:rsid w:val="0097090C"/>
    <w:rsid w:val="00975332"/>
    <w:rsid w:val="00976BF5"/>
    <w:rsid w:val="00977B39"/>
    <w:rsid w:val="00991AFA"/>
    <w:rsid w:val="00992717"/>
    <w:rsid w:val="00995257"/>
    <w:rsid w:val="00997003"/>
    <w:rsid w:val="009A7244"/>
    <w:rsid w:val="009C4D8A"/>
    <w:rsid w:val="009D4E8D"/>
    <w:rsid w:val="009D595E"/>
    <w:rsid w:val="009D6A19"/>
    <w:rsid w:val="009E51A8"/>
    <w:rsid w:val="009E68A8"/>
    <w:rsid w:val="009F324B"/>
    <w:rsid w:val="00A00892"/>
    <w:rsid w:val="00A02203"/>
    <w:rsid w:val="00A073A7"/>
    <w:rsid w:val="00A110C2"/>
    <w:rsid w:val="00A1180B"/>
    <w:rsid w:val="00A226DC"/>
    <w:rsid w:val="00A318DB"/>
    <w:rsid w:val="00A3359A"/>
    <w:rsid w:val="00A52229"/>
    <w:rsid w:val="00A52770"/>
    <w:rsid w:val="00A54161"/>
    <w:rsid w:val="00A619AC"/>
    <w:rsid w:val="00A6706F"/>
    <w:rsid w:val="00A70DC9"/>
    <w:rsid w:val="00A74250"/>
    <w:rsid w:val="00A8565D"/>
    <w:rsid w:val="00A90DEA"/>
    <w:rsid w:val="00AA1D8D"/>
    <w:rsid w:val="00AA6704"/>
    <w:rsid w:val="00AB5546"/>
    <w:rsid w:val="00AC351D"/>
    <w:rsid w:val="00AC36D0"/>
    <w:rsid w:val="00AD092F"/>
    <w:rsid w:val="00AD7C69"/>
    <w:rsid w:val="00AE25A3"/>
    <w:rsid w:val="00AE4C71"/>
    <w:rsid w:val="00AF18F0"/>
    <w:rsid w:val="00AF41D1"/>
    <w:rsid w:val="00B13D91"/>
    <w:rsid w:val="00B2131F"/>
    <w:rsid w:val="00B235B1"/>
    <w:rsid w:val="00B25D36"/>
    <w:rsid w:val="00B30EDF"/>
    <w:rsid w:val="00B30FE4"/>
    <w:rsid w:val="00B31932"/>
    <w:rsid w:val="00B35099"/>
    <w:rsid w:val="00B4104F"/>
    <w:rsid w:val="00B419A2"/>
    <w:rsid w:val="00B43021"/>
    <w:rsid w:val="00B43149"/>
    <w:rsid w:val="00B471ED"/>
    <w:rsid w:val="00B5063F"/>
    <w:rsid w:val="00B54631"/>
    <w:rsid w:val="00B549A3"/>
    <w:rsid w:val="00B564C7"/>
    <w:rsid w:val="00B65182"/>
    <w:rsid w:val="00B67617"/>
    <w:rsid w:val="00B7688C"/>
    <w:rsid w:val="00B93D41"/>
    <w:rsid w:val="00BA2CA4"/>
    <w:rsid w:val="00BB0397"/>
    <w:rsid w:val="00BB0712"/>
    <w:rsid w:val="00BB1149"/>
    <w:rsid w:val="00BB40FC"/>
    <w:rsid w:val="00BC3C2E"/>
    <w:rsid w:val="00BC7699"/>
    <w:rsid w:val="00BD5146"/>
    <w:rsid w:val="00BE4CEC"/>
    <w:rsid w:val="00BE57A9"/>
    <w:rsid w:val="00BF7077"/>
    <w:rsid w:val="00C00EBC"/>
    <w:rsid w:val="00C110C4"/>
    <w:rsid w:val="00C1142C"/>
    <w:rsid w:val="00C1719A"/>
    <w:rsid w:val="00C20FCA"/>
    <w:rsid w:val="00C30F9C"/>
    <w:rsid w:val="00C32DB8"/>
    <w:rsid w:val="00C336A5"/>
    <w:rsid w:val="00C347E2"/>
    <w:rsid w:val="00C37F15"/>
    <w:rsid w:val="00C424F2"/>
    <w:rsid w:val="00C52225"/>
    <w:rsid w:val="00C625A2"/>
    <w:rsid w:val="00C70491"/>
    <w:rsid w:val="00C70CAC"/>
    <w:rsid w:val="00C77140"/>
    <w:rsid w:val="00C80C6C"/>
    <w:rsid w:val="00C80CE8"/>
    <w:rsid w:val="00C81418"/>
    <w:rsid w:val="00C83A84"/>
    <w:rsid w:val="00C87C84"/>
    <w:rsid w:val="00C9424C"/>
    <w:rsid w:val="00CA0B75"/>
    <w:rsid w:val="00CA0C70"/>
    <w:rsid w:val="00CA18B0"/>
    <w:rsid w:val="00CA39EA"/>
    <w:rsid w:val="00CC1075"/>
    <w:rsid w:val="00CD03A5"/>
    <w:rsid w:val="00CD4C2E"/>
    <w:rsid w:val="00CD6339"/>
    <w:rsid w:val="00CE40EA"/>
    <w:rsid w:val="00D11029"/>
    <w:rsid w:val="00D13151"/>
    <w:rsid w:val="00D13D2D"/>
    <w:rsid w:val="00D22B95"/>
    <w:rsid w:val="00D2661C"/>
    <w:rsid w:val="00D32683"/>
    <w:rsid w:val="00D458EC"/>
    <w:rsid w:val="00D47C7C"/>
    <w:rsid w:val="00D530A1"/>
    <w:rsid w:val="00D53DB8"/>
    <w:rsid w:val="00D54968"/>
    <w:rsid w:val="00D63DAF"/>
    <w:rsid w:val="00D64D54"/>
    <w:rsid w:val="00D70420"/>
    <w:rsid w:val="00D72A78"/>
    <w:rsid w:val="00D804FC"/>
    <w:rsid w:val="00D80CF3"/>
    <w:rsid w:val="00D858D4"/>
    <w:rsid w:val="00D93495"/>
    <w:rsid w:val="00D97640"/>
    <w:rsid w:val="00DA0C12"/>
    <w:rsid w:val="00DA43D9"/>
    <w:rsid w:val="00DB7ED0"/>
    <w:rsid w:val="00DC364A"/>
    <w:rsid w:val="00DC5236"/>
    <w:rsid w:val="00DD2176"/>
    <w:rsid w:val="00DD2802"/>
    <w:rsid w:val="00DD29CF"/>
    <w:rsid w:val="00DD7596"/>
    <w:rsid w:val="00DE19CF"/>
    <w:rsid w:val="00DE1B1B"/>
    <w:rsid w:val="00DE5971"/>
    <w:rsid w:val="00DF4B13"/>
    <w:rsid w:val="00E05C0E"/>
    <w:rsid w:val="00E1200A"/>
    <w:rsid w:val="00E14893"/>
    <w:rsid w:val="00E16037"/>
    <w:rsid w:val="00E2234B"/>
    <w:rsid w:val="00E22461"/>
    <w:rsid w:val="00E257DC"/>
    <w:rsid w:val="00E25FE8"/>
    <w:rsid w:val="00E37342"/>
    <w:rsid w:val="00E43775"/>
    <w:rsid w:val="00E46CB3"/>
    <w:rsid w:val="00E550A4"/>
    <w:rsid w:val="00E6167D"/>
    <w:rsid w:val="00E6737A"/>
    <w:rsid w:val="00E73197"/>
    <w:rsid w:val="00E742A2"/>
    <w:rsid w:val="00E75830"/>
    <w:rsid w:val="00E809BC"/>
    <w:rsid w:val="00E81824"/>
    <w:rsid w:val="00E851DE"/>
    <w:rsid w:val="00E86D03"/>
    <w:rsid w:val="00EA1C58"/>
    <w:rsid w:val="00EA2F0D"/>
    <w:rsid w:val="00EA5FC3"/>
    <w:rsid w:val="00EA66B8"/>
    <w:rsid w:val="00EB0EE4"/>
    <w:rsid w:val="00EB0F4A"/>
    <w:rsid w:val="00EB17C3"/>
    <w:rsid w:val="00EB3E14"/>
    <w:rsid w:val="00EC02E2"/>
    <w:rsid w:val="00EC346F"/>
    <w:rsid w:val="00EC39E5"/>
    <w:rsid w:val="00EC3C5D"/>
    <w:rsid w:val="00EC59C9"/>
    <w:rsid w:val="00EC5E82"/>
    <w:rsid w:val="00EC64B6"/>
    <w:rsid w:val="00EE341D"/>
    <w:rsid w:val="00EE591B"/>
    <w:rsid w:val="00EF0620"/>
    <w:rsid w:val="00F04B18"/>
    <w:rsid w:val="00F131C1"/>
    <w:rsid w:val="00F14D1E"/>
    <w:rsid w:val="00F26889"/>
    <w:rsid w:val="00F301A1"/>
    <w:rsid w:val="00F3527B"/>
    <w:rsid w:val="00F358F8"/>
    <w:rsid w:val="00F4504C"/>
    <w:rsid w:val="00F47860"/>
    <w:rsid w:val="00F50F9A"/>
    <w:rsid w:val="00F53516"/>
    <w:rsid w:val="00F64F97"/>
    <w:rsid w:val="00F70F25"/>
    <w:rsid w:val="00F74873"/>
    <w:rsid w:val="00F77EA0"/>
    <w:rsid w:val="00F83822"/>
    <w:rsid w:val="00FA2195"/>
    <w:rsid w:val="00FA72E6"/>
    <w:rsid w:val="00FB0E34"/>
    <w:rsid w:val="00FB2589"/>
    <w:rsid w:val="00FB2B4A"/>
    <w:rsid w:val="00FB6481"/>
    <w:rsid w:val="00FB78DA"/>
    <w:rsid w:val="00FC1990"/>
    <w:rsid w:val="00FC4DD4"/>
    <w:rsid w:val="00FC7B05"/>
    <w:rsid w:val="00FD2196"/>
    <w:rsid w:val="00FD558C"/>
    <w:rsid w:val="00FE0FFB"/>
    <w:rsid w:val="00FF25DE"/>
    <w:rsid w:val="00FF7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348D"/>
  <w15:docId w15:val="{57754EB2-2F64-422A-A325-5B98BEC1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05"/>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A00892"/>
    <w:pPr>
      <w:keepNext/>
      <w:spacing w:line="360" w:lineRule="auto"/>
      <w:outlineLvl w:val="0"/>
    </w:pPr>
    <w:rPr>
      <w:b/>
      <w:sz w:val="56"/>
    </w:rPr>
  </w:style>
  <w:style w:type="paragraph" w:styleId="Heading2">
    <w:name w:val="heading 2"/>
    <w:basedOn w:val="Normal"/>
    <w:next w:val="Normal"/>
    <w:link w:val="Heading2Char"/>
    <w:uiPriority w:val="9"/>
    <w:qFormat/>
    <w:rsid w:val="00842E05"/>
    <w:pPr>
      <w:keepNext/>
      <w:spacing w:after="120"/>
      <w:outlineLvl w:val="1"/>
    </w:pPr>
    <w:rPr>
      <w:b/>
      <w:sz w:val="36"/>
    </w:rPr>
  </w:style>
  <w:style w:type="paragraph" w:styleId="Heading3">
    <w:name w:val="heading 3"/>
    <w:basedOn w:val="Normal"/>
    <w:next w:val="Normal"/>
    <w:link w:val="Heading3Char"/>
    <w:uiPriority w:val="99"/>
    <w:unhideWhenUsed/>
    <w:qFormat/>
    <w:rsid w:val="00A00892"/>
    <w:pPr>
      <w:keepNext/>
      <w:keepLines/>
      <w:spacing w:before="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10399B"/>
    <w:pPr>
      <w:keepNext/>
      <w:keepLines/>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F131C1"/>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B93D41"/>
    <w:pPr>
      <w:keepNext/>
      <w:keepLines/>
      <w:spacing w:before="40"/>
      <w:outlineLvl w:val="5"/>
    </w:pPr>
    <w:rPr>
      <w:rFonts w:eastAsiaTheme="majorEastAsia" w:cstheme="majorBidi"/>
      <w:i/>
    </w:rPr>
  </w:style>
  <w:style w:type="paragraph" w:styleId="Heading7">
    <w:name w:val="heading 7"/>
    <w:basedOn w:val="ListParagraph"/>
    <w:next w:val="Normal"/>
    <w:link w:val="Heading7Char"/>
    <w:uiPriority w:val="9"/>
    <w:unhideWhenUsed/>
    <w:qFormat/>
    <w:rsid w:val="00B93D41"/>
    <w:pPr>
      <w:numPr>
        <w:numId w:val="33"/>
      </w:numPr>
      <w:spacing w:after="200" w:line="276" w:lineRule="auto"/>
      <w:outlineLvl w:val="6"/>
    </w:pPr>
    <w:rPr>
      <w:rFonts w:eastAsiaTheme="minorHAns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892"/>
    <w:rPr>
      <w:rFonts w:ascii="Arial" w:eastAsia="Times New Roman" w:hAnsi="Arial" w:cs="Times New Roman"/>
      <w:b/>
      <w:sz w:val="56"/>
      <w:szCs w:val="24"/>
      <w:lang w:eastAsia="en-AU"/>
    </w:rPr>
  </w:style>
  <w:style w:type="character" w:customStyle="1" w:styleId="Heading2Char">
    <w:name w:val="Heading 2 Char"/>
    <w:basedOn w:val="DefaultParagraphFont"/>
    <w:link w:val="Heading2"/>
    <w:uiPriority w:val="9"/>
    <w:rsid w:val="00842E05"/>
    <w:rPr>
      <w:rFonts w:ascii="Arial" w:eastAsia="Times New Roman" w:hAnsi="Arial" w:cs="Times New Roman"/>
      <w:b/>
      <w:sz w:val="36"/>
      <w:szCs w:val="24"/>
      <w:lang w:eastAsia="en-AU"/>
    </w:rPr>
  </w:style>
  <w:style w:type="character" w:styleId="Hyperlink">
    <w:name w:val="Hyperlink"/>
    <w:basedOn w:val="DefaultParagraphFont"/>
    <w:unhideWhenUsed/>
    <w:rsid w:val="00842E05"/>
    <w:rPr>
      <w:color w:val="0000FF" w:themeColor="hyperlink"/>
      <w:u w:val="single"/>
    </w:rPr>
  </w:style>
  <w:style w:type="character" w:customStyle="1" w:styleId="Heading3Char">
    <w:name w:val="Heading 3 Char"/>
    <w:basedOn w:val="DefaultParagraphFont"/>
    <w:link w:val="Heading3"/>
    <w:uiPriority w:val="99"/>
    <w:rsid w:val="00A00892"/>
    <w:rPr>
      <w:rFonts w:ascii="Arial" w:eastAsiaTheme="majorEastAsia" w:hAnsi="Arial" w:cstheme="majorBidi"/>
      <w:b/>
      <w:sz w:val="32"/>
      <w:szCs w:val="24"/>
      <w:lang w:eastAsia="en-AU"/>
    </w:rPr>
  </w:style>
  <w:style w:type="character" w:customStyle="1" w:styleId="Heading4Char">
    <w:name w:val="Heading 4 Char"/>
    <w:basedOn w:val="DefaultParagraphFont"/>
    <w:link w:val="Heading4"/>
    <w:uiPriority w:val="9"/>
    <w:rsid w:val="0010399B"/>
    <w:rPr>
      <w:rFonts w:ascii="Arial" w:eastAsiaTheme="majorEastAsia" w:hAnsi="Arial" w:cstheme="majorBidi"/>
      <w:b/>
      <w:iCs/>
      <w:sz w:val="24"/>
      <w:szCs w:val="24"/>
      <w:lang w:eastAsia="en-AU"/>
    </w:rPr>
  </w:style>
  <w:style w:type="character" w:styleId="CommentReference">
    <w:name w:val="annotation reference"/>
    <w:basedOn w:val="DefaultParagraphFont"/>
    <w:uiPriority w:val="99"/>
    <w:semiHidden/>
    <w:unhideWhenUsed/>
    <w:rsid w:val="00BA2CA4"/>
    <w:rPr>
      <w:sz w:val="16"/>
      <w:szCs w:val="16"/>
    </w:rPr>
  </w:style>
  <w:style w:type="paragraph" w:styleId="CommentText">
    <w:name w:val="annotation text"/>
    <w:basedOn w:val="Normal"/>
    <w:link w:val="CommentTextChar"/>
    <w:uiPriority w:val="99"/>
    <w:semiHidden/>
    <w:unhideWhenUsed/>
    <w:rsid w:val="00BA2CA4"/>
    <w:rPr>
      <w:sz w:val="20"/>
      <w:szCs w:val="20"/>
    </w:rPr>
  </w:style>
  <w:style w:type="character" w:customStyle="1" w:styleId="CommentTextChar">
    <w:name w:val="Comment Text Char"/>
    <w:basedOn w:val="DefaultParagraphFont"/>
    <w:link w:val="CommentText"/>
    <w:uiPriority w:val="99"/>
    <w:semiHidden/>
    <w:rsid w:val="00BA2CA4"/>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BA2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A4"/>
    <w:rPr>
      <w:rFonts w:ascii="Segoe UI" w:eastAsia="Times New Roman" w:hAnsi="Segoe UI" w:cs="Segoe UI"/>
      <w:sz w:val="18"/>
      <w:szCs w:val="18"/>
      <w:lang w:eastAsia="en-AU"/>
    </w:rPr>
  </w:style>
  <w:style w:type="paragraph" w:styleId="Footer">
    <w:name w:val="footer"/>
    <w:basedOn w:val="Normal"/>
    <w:link w:val="FooterChar"/>
    <w:uiPriority w:val="99"/>
    <w:unhideWhenUsed/>
    <w:rsid w:val="00B30FE4"/>
    <w:pPr>
      <w:tabs>
        <w:tab w:val="center" w:pos="4513"/>
        <w:tab w:val="right" w:pos="9026"/>
      </w:tabs>
    </w:pPr>
  </w:style>
  <w:style w:type="character" w:customStyle="1" w:styleId="FooterChar">
    <w:name w:val="Footer Char"/>
    <w:basedOn w:val="DefaultParagraphFont"/>
    <w:link w:val="Footer"/>
    <w:uiPriority w:val="99"/>
    <w:rsid w:val="00B30FE4"/>
    <w:rPr>
      <w:rFonts w:ascii="Arial" w:eastAsia="Times New Roman" w:hAnsi="Arial" w:cs="Times New Roman"/>
      <w:szCs w:val="24"/>
      <w:lang w:eastAsia="en-AU"/>
    </w:rPr>
  </w:style>
  <w:style w:type="character" w:styleId="PageNumber">
    <w:name w:val="page number"/>
    <w:basedOn w:val="DefaultParagraphFont"/>
    <w:rsid w:val="00B30FE4"/>
  </w:style>
  <w:style w:type="table" w:styleId="TableGrid">
    <w:name w:val="Table Grid"/>
    <w:basedOn w:val="TableNormal"/>
    <w:uiPriority w:val="99"/>
    <w:rsid w:val="00B30FE4"/>
    <w:pPr>
      <w:spacing w:after="0" w:line="240" w:lineRule="auto"/>
    </w:pPr>
    <w:rPr>
      <w:rFonts w:ascii="Calibri" w:eastAsia="ヒラギノ角ゴ Pro W3"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66B8"/>
    <w:rPr>
      <w:b/>
      <w:bCs/>
    </w:rPr>
  </w:style>
  <w:style w:type="character" w:customStyle="1" w:styleId="CommentSubjectChar">
    <w:name w:val="Comment Subject Char"/>
    <w:basedOn w:val="CommentTextChar"/>
    <w:link w:val="CommentSubject"/>
    <w:uiPriority w:val="99"/>
    <w:semiHidden/>
    <w:rsid w:val="00EA66B8"/>
    <w:rPr>
      <w:rFonts w:ascii="Arial" w:eastAsia="Times New Roman" w:hAnsi="Arial" w:cs="Times New Roman"/>
      <w:b/>
      <w:bCs/>
      <w:sz w:val="20"/>
      <w:szCs w:val="20"/>
      <w:lang w:eastAsia="en-AU"/>
    </w:rPr>
  </w:style>
  <w:style w:type="paragraph" w:styleId="Revision">
    <w:name w:val="Revision"/>
    <w:hidden/>
    <w:uiPriority w:val="99"/>
    <w:semiHidden/>
    <w:rsid w:val="00B5063F"/>
    <w:pPr>
      <w:spacing w:after="0" w:line="240" w:lineRule="auto"/>
    </w:pPr>
    <w:rPr>
      <w:rFonts w:ascii="Arial" w:eastAsia="Times New Roman" w:hAnsi="Arial" w:cs="Times New Roman"/>
      <w:szCs w:val="24"/>
      <w:lang w:eastAsia="en-AU"/>
    </w:rPr>
  </w:style>
  <w:style w:type="paragraph" w:styleId="ListParagraph">
    <w:name w:val="List Paragraph"/>
    <w:basedOn w:val="Normal"/>
    <w:uiPriority w:val="34"/>
    <w:qFormat/>
    <w:rsid w:val="00DA43D9"/>
    <w:pPr>
      <w:ind w:left="720"/>
      <w:contextualSpacing/>
    </w:pPr>
  </w:style>
  <w:style w:type="paragraph" w:styleId="DocumentMap">
    <w:name w:val="Document Map"/>
    <w:basedOn w:val="Normal"/>
    <w:link w:val="DocumentMapChar"/>
    <w:uiPriority w:val="99"/>
    <w:semiHidden/>
    <w:unhideWhenUsed/>
    <w:rsid w:val="00AC36D0"/>
    <w:rPr>
      <w:rFonts w:ascii="Times New Roman" w:hAnsi="Times New Roman"/>
      <w:sz w:val="24"/>
    </w:rPr>
  </w:style>
  <w:style w:type="character" w:customStyle="1" w:styleId="DocumentMapChar">
    <w:name w:val="Document Map Char"/>
    <w:basedOn w:val="DefaultParagraphFont"/>
    <w:link w:val="DocumentMap"/>
    <w:uiPriority w:val="99"/>
    <w:semiHidden/>
    <w:rsid w:val="00AC36D0"/>
    <w:rPr>
      <w:rFonts w:ascii="Times New Roman" w:eastAsia="Times New Roman" w:hAnsi="Times New Roman" w:cs="Times New Roman"/>
      <w:sz w:val="24"/>
      <w:szCs w:val="24"/>
      <w:lang w:eastAsia="en-AU"/>
    </w:rPr>
  </w:style>
  <w:style w:type="character" w:customStyle="1" w:styleId="BulletCharChar">
    <w:name w:val="Bullet Char Char"/>
    <w:link w:val="Bullet"/>
    <w:locked/>
    <w:rsid w:val="00951630"/>
    <w:rPr>
      <w:rFonts w:ascii="Arial" w:hAnsi="Arial"/>
    </w:rPr>
  </w:style>
  <w:style w:type="paragraph" w:customStyle="1" w:styleId="Bullet">
    <w:name w:val="Bullet"/>
    <w:basedOn w:val="Normal"/>
    <w:next w:val="Normal"/>
    <w:link w:val="BulletCharChar"/>
    <w:qFormat/>
    <w:rsid w:val="00951630"/>
    <w:pPr>
      <w:numPr>
        <w:numId w:val="14"/>
      </w:numPr>
      <w:tabs>
        <w:tab w:val="num" w:pos="360"/>
      </w:tabs>
      <w:ind w:left="360"/>
    </w:pPr>
    <w:rPr>
      <w:rFonts w:eastAsiaTheme="minorHAnsi" w:cstheme="minorBidi"/>
      <w:szCs w:val="22"/>
      <w:lang w:eastAsia="en-US"/>
    </w:rPr>
  </w:style>
  <w:style w:type="paragraph" w:styleId="Header">
    <w:name w:val="header"/>
    <w:basedOn w:val="Normal"/>
    <w:link w:val="HeaderChar"/>
    <w:uiPriority w:val="99"/>
    <w:unhideWhenUsed/>
    <w:rsid w:val="005F7DF7"/>
    <w:pPr>
      <w:tabs>
        <w:tab w:val="center" w:pos="4513"/>
        <w:tab w:val="right" w:pos="9026"/>
      </w:tabs>
    </w:pPr>
  </w:style>
  <w:style w:type="character" w:customStyle="1" w:styleId="HeaderChar">
    <w:name w:val="Header Char"/>
    <w:basedOn w:val="DefaultParagraphFont"/>
    <w:link w:val="Header"/>
    <w:uiPriority w:val="99"/>
    <w:rsid w:val="005F7DF7"/>
    <w:rPr>
      <w:rFonts w:ascii="Arial" w:eastAsia="Times New Roman" w:hAnsi="Arial" w:cs="Times New Roman"/>
      <w:szCs w:val="24"/>
      <w:lang w:eastAsia="en-AU"/>
    </w:rPr>
  </w:style>
  <w:style w:type="paragraph" w:customStyle="1" w:styleId="Default">
    <w:name w:val="Default"/>
    <w:basedOn w:val="Normal"/>
    <w:rsid w:val="004E7764"/>
    <w:pPr>
      <w:autoSpaceDE w:val="0"/>
      <w:autoSpaceDN w:val="0"/>
    </w:pPr>
    <w:rPr>
      <w:rFonts w:ascii="Calibri" w:eastAsiaTheme="minorHAnsi" w:hAnsi="Calibri"/>
      <w:color w:val="000000"/>
      <w:sz w:val="24"/>
      <w:lang w:eastAsia="en-US"/>
    </w:rPr>
  </w:style>
  <w:style w:type="character" w:customStyle="1" w:styleId="Heading5Char">
    <w:name w:val="Heading 5 Char"/>
    <w:basedOn w:val="DefaultParagraphFont"/>
    <w:link w:val="Heading5"/>
    <w:uiPriority w:val="9"/>
    <w:rsid w:val="00F131C1"/>
    <w:rPr>
      <w:rFonts w:ascii="Arial" w:eastAsiaTheme="majorEastAsia" w:hAnsi="Arial" w:cstheme="majorBidi"/>
      <w:b/>
      <w:szCs w:val="24"/>
      <w:lang w:eastAsia="en-AU"/>
    </w:rPr>
  </w:style>
  <w:style w:type="character" w:customStyle="1" w:styleId="Heading6Char">
    <w:name w:val="Heading 6 Char"/>
    <w:basedOn w:val="DefaultParagraphFont"/>
    <w:link w:val="Heading6"/>
    <w:uiPriority w:val="9"/>
    <w:rsid w:val="00B93D41"/>
    <w:rPr>
      <w:rFonts w:ascii="Arial" w:eastAsiaTheme="majorEastAsia" w:hAnsi="Arial" w:cstheme="majorBidi"/>
      <w:i/>
      <w:szCs w:val="24"/>
      <w:lang w:eastAsia="en-AU"/>
    </w:rPr>
  </w:style>
  <w:style w:type="character" w:customStyle="1" w:styleId="Heading7Char">
    <w:name w:val="Heading 7 Char"/>
    <w:basedOn w:val="DefaultParagraphFont"/>
    <w:link w:val="Heading7"/>
    <w:uiPriority w:val="9"/>
    <w:rsid w:val="00B93D41"/>
    <w:rPr>
      <w:rFonts w:ascii="Arial" w:hAnsi="Arial" w:cs="Arial"/>
    </w:rPr>
  </w:style>
  <w:style w:type="character" w:customStyle="1" w:styleId="apple-converted-space">
    <w:name w:val="apple-converted-space"/>
    <w:rsid w:val="00B93D41"/>
  </w:style>
  <w:style w:type="paragraph" w:styleId="NoSpacing">
    <w:name w:val="No Spacing"/>
    <w:basedOn w:val="Normal"/>
    <w:uiPriority w:val="1"/>
    <w:qFormat/>
    <w:rsid w:val="00B93D41"/>
    <w:rPr>
      <w:rFonts w:ascii="Calibri" w:eastAsiaTheme="minorHAnsi" w:hAnsi="Calibri"/>
      <w:szCs w:val="22"/>
      <w:lang w:eastAsia="en-US"/>
    </w:rPr>
  </w:style>
  <w:style w:type="paragraph" w:styleId="NormalIndent">
    <w:name w:val="Normal Indent"/>
    <w:basedOn w:val="Normal"/>
    <w:uiPriority w:val="99"/>
    <w:rsid w:val="00B93D41"/>
    <w:pPr>
      <w:tabs>
        <w:tab w:val="left" w:pos="360"/>
        <w:tab w:val="left" w:pos="720"/>
        <w:tab w:val="left" w:pos="1440"/>
      </w:tabs>
      <w:ind w:left="360" w:hanging="36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1366">
      <w:bodyDiv w:val="1"/>
      <w:marLeft w:val="0"/>
      <w:marRight w:val="0"/>
      <w:marTop w:val="0"/>
      <w:marBottom w:val="0"/>
      <w:divBdr>
        <w:top w:val="none" w:sz="0" w:space="0" w:color="auto"/>
        <w:left w:val="none" w:sz="0" w:space="0" w:color="auto"/>
        <w:bottom w:val="none" w:sz="0" w:space="0" w:color="auto"/>
        <w:right w:val="none" w:sz="0" w:space="0" w:color="auto"/>
      </w:divBdr>
    </w:div>
    <w:div w:id="994643076">
      <w:bodyDiv w:val="1"/>
      <w:marLeft w:val="0"/>
      <w:marRight w:val="0"/>
      <w:marTop w:val="0"/>
      <w:marBottom w:val="0"/>
      <w:divBdr>
        <w:top w:val="none" w:sz="0" w:space="0" w:color="auto"/>
        <w:left w:val="none" w:sz="0" w:space="0" w:color="auto"/>
        <w:bottom w:val="none" w:sz="0" w:space="0" w:color="auto"/>
        <w:right w:val="none" w:sz="0" w:space="0" w:color="auto"/>
      </w:divBdr>
    </w:div>
    <w:div w:id="1035807115">
      <w:bodyDiv w:val="1"/>
      <w:marLeft w:val="0"/>
      <w:marRight w:val="0"/>
      <w:marTop w:val="0"/>
      <w:marBottom w:val="0"/>
      <w:divBdr>
        <w:top w:val="none" w:sz="0" w:space="0" w:color="auto"/>
        <w:left w:val="none" w:sz="0" w:space="0" w:color="auto"/>
        <w:bottom w:val="none" w:sz="0" w:space="0" w:color="auto"/>
        <w:right w:val="none" w:sz="0" w:space="0" w:color="auto"/>
      </w:divBdr>
    </w:div>
    <w:div w:id="1183396434">
      <w:bodyDiv w:val="1"/>
      <w:marLeft w:val="0"/>
      <w:marRight w:val="0"/>
      <w:marTop w:val="0"/>
      <w:marBottom w:val="0"/>
      <w:divBdr>
        <w:top w:val="none" w:sz="0" w:space="0" w:color="auto"/>
        <w:left w:val="none" w:sz="0" w:space="0" w:color="auto"/>
        <w:bottom w:val="none" w:sz="0" w:space="0" w:color="auto"/>
        <w:right w:val="none" w:sz="0" w:space="0" w:color="auto"/>
      </w:divBdr>
    </w:div>
    <w:div w:id="1330717645">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896157017">
      <w:bodyDiv w:val="1"/>
      <w:marLeft w:val="0"/>
      <w:marRight w:val="0"/>
      <w:marTop w:val="0"/>
      <w:marBottom w:val="0"/>
      <w:divBdr>
        <w:top w:val="none" w:sz="0" w:space="0" w:color="auto"/>
        <w:left w:val="none" w:sz="0" w:space="0" w:color="auto"/>
        <w:bottom w:val="none" w:sz="0" w:space="0" w:color="auto"/>
        <w:right w:val="none" w:sz="0" w:space="0" w:color="auto"/>
      </w:divBdr>
    </w:div>
    <w:div w:id="20054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foi@museum.vic.gov.au"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museumvictoria.com.au/" TargetMode="Externa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iba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B66B-111D-41D4-B0C6-07A2580F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21278</Words>
  <Characters>121285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142279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Tangey, Penny</dc:creator>
  <cp:lastModifiedBy>Hope, Courtney</cp:lastModifiedBy>
  <cp:revision>2</cp:revision>
  <cp:lastPrinted>2016-07-18T03:59:00Z</cp:lastPrinted>
  <dcterms:created xsi:type="dcterms:W3CDTF">2016-11-14T05:29:00Z</dcterms:created>
  <dcterms:modified xsi:type="dcterms:W3CDTF">2016-11-14T05:29:00Z</dcterms:modified>
</cp:coreProperties>
</file>